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46C92" w:rsidR="000F369C" w:rsidP="00952D67" w:rsidRDefault="000F369C" w14:paraId="219D21D3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</w:p>
    <w:p w:rsidRPr="00E46C92" w:rsidR="000F369C" w:rsidP="00952D67" w:rsidRDefault="008D6FCA" w14:paraId="22EF27A7" w14:textId="06881191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  <w:r w:rsidRPr="4FEDF951" w:rsidR="4FEDF951">
        <w:rPr>
          <w:rFonts w:ascii="Times New Roman" w:hAnsi="Times New Roman" w:cs="Times New Roman"/>
        </w:rPr>
        <w:t>December 23, 2025</w:t>
      </w:r>
    </w:p>
    <w:p w:rsidRPr="00E46C92" w:rsidR="000F369C" w:rsidP="00952D67" w:rsidRDefault="000F369C" w14:paraId="03642474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</w:p>
    <w:p w:rsidRPr="00E46C92" w:rsidR="000F369C" w:rsidP="00952D67" w:rsidRDefault="004E4D1B" w14:paraId="33D7299E" w14:textId="1A9743E7">
      <w:pPr>
        <w:pStyle w:val="Textbody"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E46C92">
        <w:rPr>
          <w:rFonts w:ascii="Times New Roman" w:hAnsi="Times New Roman" w:cs="Times New Roman"/>
          <w:b/>
        </w:rPr>
        <w:t>RE:</w:t>
      </w:r>
      <w:r w:rsidRPr="4F93B9D2" w:rsidR="4F93B9D2">
        <w:rPr>
          <w:rFonts w:ascii="Times New Roman" w:hAnsi="Times New Roman" w:cs="Times New Roman"/>
          <w:b/>
          <w:bCs/>
        </w:rPr>
        <w:t xml:space="preserve"> </w:t>
      </w:r>
      <w:r w:rsidR="00722A43">
        <w:rPr>
          <w:rFonts w:ascii="Times New Roman" w:hAnsi="Times New Roman" w:cs="Times New Roman"/>
          <w:b/>
        </w:rPr>
        <w:t xml:space="preserve">Message From our President: </w:t>
      </w:r>
      <w:r w:rsidR="00186135">
        <w:rPr>
          <w:rFonts w:ascii="Times New Roman" w:hAnsi="Times New Roman" w:cs="Times New Roman"/>
          <w:b/>
        </w:rPr>
        <w:t>Fee Increase 202</w:t>
      </w:r>
      <w:r w:rsidR="008D6FCA">
        <w:rPr>
          <w:rFonts w:ascii="Times New Roman" w:hAnsi="Times New Roman" w:cs="Times New Roman"/>
          <w:b/>
        </w:rPr>
        <w:t>6</w:t>
      </w:r>
      <w:r w:rsidRPr="00E46C92">
        <w:rPr>
          <w:rFonts w:ascii="Times New Roman" w:hAnsi="Times New Roman" w:cs="Times New Roman"/>
          <w:b/>
        </w:rPr>
        <w:t xml:space="preserve">  </w:t>
      </w:r>
    </w:p>
    <w:p w:rsidR="000F369C" w:rsidP="00952D67" w:rsidRDefault="000F369C" w14:paraId="60646412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</w:p>
    <w:p w:rsidR="004B7DDE" w:rsidP="00952D67" w:rsidRDefault="004B7DDE" w14:paraId="058877D4" w14:textId="7EB74D95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Valued Clients:</w:t>
      </w:r>
    </w:p>
    <w:p w:rsidR="005B4BE8" w:rsidP="00952D67" w:rsidRDefault="005B4BE8" w14:paraId="37F16001" w14:textId="77777777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67432A" w:rsidP="00952D67" w:rsidRDefault="00977177" w14:paraId="00124F44" w14:textId="22DCA60E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thank all of you for your business</w:t>
      </w:r>
      <w:r w:rsidR="00C67823">
        <w:rPr>
          <w:rFonts w:ascii="Times New Roman" w:hAnsi="Times New Roman" w:cs="Times New Roman"/>
        </w:rPr>
        <w:t xml:space="preserve">.  We love serving you and look forward to </w:t>
      </w:r>
      <w:r w:rsidR="00026BA1">
        <w:rPr>
          <w:rFonts w:ascii="Times New Roman" w:hAnsi="Times New Roman" w:cs="Times New Roman"/>
        </w:rPr>
        <w:t xml:space="preserve">continuing to serve you for </w:t>
      </w:r>
      <w:r w:rsidR="00B95762">
        <w:rPr>
          <w:rFonts w:ascii="Times New Roman" w:hAnsi="Times New Roman" w:cs="Times New Roman"/>
        </w:rPr>
        <w:t xml:space="preserve">decades </w:t>
      </w:r>
      <w:r w:rsidR="00026BA1">
        <w:rPr>
          <w:rFonts w:ascii="Times New Roman" w:hAnsi="Times New Roman" w:cs="Times New Roman"/>
        </w:rPr>
        <w:t>to come.</w:t>
      </w:r>
      <w:r w:rsidR="0067432A">
        <w:rPr>
          <w:rFonts w:ascii="Times New Roman" w:hAnsi="Times New Roman" w:cs="Times New Roman"/>
        </w:rPr>
        <w:t xml:space="preserve">  </w:t>
      </w:r>
      <w:r w:rsidRPr="25037D7A" w:rsidR="25037D7A">
        <w:rPr>
          <w:rFonts w:ascii="Times New Roman" w:hAnsi="Times New Roman" w:cs="Times New Roman"/>
        </w:rPr>
        <w:t xml:space="preserve">Please </w:t>
      </w:r>
      <w:r w:rsidRPr="73757F33" w:rsidR="73757F33">
        <w:rPr>
          <w:rFonts w:ascii="Times New Roman" w:hAnsi="Times New Roman" w:cs="Times New Roman"/>
        </w:rPr>
        <w:t xml:space="preserve">let me </w:t>
      </w:r>
      <w:r w:rsidR="0067432A">
        <w:rPr>
          <w:rFonts w:ascii="Times New Roman" w:hAnsi="Times New Roman" w:cs="Times New Roman"/>
        </w:rPr>
        <w:t xml:space="preserve">take a moment to </w:t>
      </w:r>
      <w:r w:rsidRPr="693CF45A" w:rsidR="693CF45A">
        <w:rPr>
          <w:rFonts w:ascii="Times New Roman" w:hAnsi="Times New Roman" w:cs="Times New Roman"/>
        </w:rPr>
        <w:t xml:space="preserve">express our </w:t>
      </w:r>
      <w:r w:rsidRPr="3FA407C5" w:rsidR="3FA407C5">
        <w:rPr>
          <w:rFonts w:ascii="Times New Roman" w:hAnsi="Times New Roman" w:cs="Times New Roman"/>
        </w:rPr>
        <w:t xml:space="preserve">appreciation </w:t>
      </w:r>
      <w:r w:rsidR="0067432A">
        <w:rPr>
          <w:rFonts w:ascii="Times New Roman" w:hAnsi="Times New Roman" w:cs="Times New Roman"/>
        </w:rPr>
        <w:t xml:space="preserve">and </w:t>
      </w:r>
      <w:r w:rsidRPr="3CCFB053" w:rsidR="3CCFB053">
        <w:rPr>
          <w:rFonts w:ascii="Times New Roman" w:hAnsi="Times New Roman" w:cs="Times New Roman"/>
        </w:rPr>
        <w:t>advise</w:t>
      </w:r>
      <w:r w:rsidR="0067432A">
        <w:rPr>
          <w:rFonts w:ascii="Times New Roman" w:hAnsi="Times New Roman" w:cs="Times New Roman"/>
        </w:rPr>
        <w:t xml:space="preserve"> you of some upcoming changes.</w:t>
      </w:r>
    </w:p>
    <w:p w:rsidR="0067432A" w:rsidP="00952D67" w:rsidRDefault="0067432A" w14:paraId="7C04D924" w14:textId="77777777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C70EA5" w:rsidP="00952D67" w:rsidRDefault="002A3523" w14:paraId="20015534" w14:textId="5816719D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4FEDF951" w:rsidR="4FEDF951">
        <w:rPr>
          <w:rFonts w:ascii="Times New Roman" w:hAnsi="Times New Roman" w:cs="Times New Roman"/>
        </w:rPr>
        <w:t>We strive always to provide great services at affordable prices</w:t>
      </w:r>
      <w:r w:rsidRPr="4FEDF951" w:rsidR="4FEDF951">
        <w:rPr>
          <w:rFonts w:ascii="Times New Roman" w:hAnsi="Times New Roman" w:cs="Times New Roman"/>
        </w:rPr>
        <w:t xml:space="preserve">.  </w:t>
      </w:r>
      <w:r w:rsidRPr="4FEDF951" w:rsidR="4FEDF951">
        <w:rPr>
          <w:rFonts w:ascii="Times New Roman" w:hAnsi="Times New Roman" w:cs="Times New Roman"/>
        </w:rPr>
        <w:t>In order to</w:t>
      </w:r>
      <w:r w:rsidRPr="4FEDF951" w:rsidR="4FEDF951">
        <w:rPr>
          <w:rFonts w:ascii="Times New Roman" w:hAnsi="Times New Roman" w:cs="Times New Roman"/>
        </w:rPr>
        <w:t xml:space="preserve"> provide that great service, we must </w:t>
      </w:r>
      <w:r w:rsidRPr="4FEDF951" w:rsidR="4FEDF951">
        <w:rPr>
          <w:rFonts w:ascii="Times New Roman" w:hAnsi="Times New Roman" w:cs="Times New Roman"/>
        </w:rPr>
        <w:t>maintain</w:t>
      </w:r>
      <w:r w:rsidRPr="4FEDF951" w:rsidR="4FEDF951">
        <w:rPr>
          <w:rFonts w:ascii="Times New Roman" w:hAnsi="Times New Roman" w:cs="Times New Roman"/>
        </w:rPr>
        <w:t xml:space="preserve"> our incredible staff and improve our systems to better serve you.  As I am sure you have found in your own businesses, prices for services have increased; additionally, we have had to increase salaries to allow our staff to keep up with inflation; all of which has cost more in recent years.  </w:t>
      </w:r>
    </w:p>
    <w:p w:rsidR="00A03DEE" w:rsidP="00952D67" w:rsidRDefault="00A03DEE" w14:paraId="66455C3C" w14:textId="77777777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03DEE" w:rsidP="00952D67" w:rsidRDefault="00A03DEE" w14:paraId="5656CAC3" w14:textId="6D69746B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4FEDF951" w:rsidR="4FEDF951">
        <w:rPr>
          <w:rFonts w:ascii="Times New Roman" w:hAnsi="Times New Roman" w:cs="Times New Roman"/>
        </w:rPr>
        <w:t xml:space="preserve">As such, effective January 1, 2026, the attached fee schedule will be implemented.  Due to the short notice, we will provide a grace period of several weeks where we will honor our 2025 prices as we are aware you may have several cases where you informed your clients of costs based on </w:t>
      </w:r>
      <w:r w:rsidRPr="4FEDF951" w:rsidR="4FEDF951">
        <w:rPr>
          <w:rFonts w:ascii="Times New Roman" w:hAnsi="Times New Roman" w:cs="Times New Roman"/>
        </w:rPr>
        <w:t>our</w:t>
      </w:r>
      <w:r w:rsidRPr="4FEDF951" w:rsidR="4FEDF951">
        <w:rPr>
          <w:rFonts w:ascii="Times New Roman" w:hAnsi="Times New Roman" w:cs="Times New Roman"/>
        </w:rPr>
        <w:t xml:space="preserve"> previous prices.</w:t>
      </w:r>
    </w:p>
    <w:p w:rsidR="00335B4D" w:rsidP="00952D67" w:rsidRDefault="00335B4D" w14:paraId="4C295395" w14:textId="77777777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35B4D" w:rsidP="00952D67" w:rsidRDefault="00335B4D" w14:paraId="6EB0799D" w14:textId="687CC75B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4FEDF951" w:rsidR="4FEDF951">
        <w:rPr>
          <w:rFonts w:ascii="Times New Roman" w:hAnsi="Times New Roman" w:cs="Times New Roman"/>
        </w:rPr>
        <w:t>Along with the price increase, we will continue to improve to serve you better</w:t>
      </w:r>
      <w:r w:rsidRPr="4FEDF951" w:rsidR="4FEDF951">
        <w:rPr>
          <w:rFonts w:ascii="Times New Roman" w:hAnsi="Times New Roman" w:cs="Times New Roman"/>
        </w:rPr>
        <w:t xml:space="preserve">.  </w:t>
      </w:r>
      <w:r w:rsidRPr="4FEDF951" w:rsidR="4FEDF951">
        <w:rPr>
          <w:rFonts w:ascii="Times New Roman" w:hAnsi="Times New Roman" w:cs="Times New Roman"/>
        </w:rPr>
        <w:t xml:space="preserve">Our long-awaited improved ordering portal, which will allow for status updates, direct messaging to the staff working on your case, and a vastly improved user experience, is in the beta testing with </w:t>
      </w:r>
      <w:r w:rsidRPr="4FEDF951" w:rsidR="4FEDF951">
        <w:rPr>
          <w:rFonts w:ascii="Times New Roman" w:hAnsi="Times New Roman" w:cs="Times New Roman"/>
        </w:rPr>
        <w:t>anticipated</w:t>
      </w:r>
      <w:r w:rsidRPr="4FEDF951" w:rsidR="4FEDF951">
        <w:rPr>
          <w:rFonts w:ascii="Times New Roman" w:hAnsi="Times New Roman" w:cs="Times New Roman"/>
        </w:rPr>
        <w:t xml:space="preserve"> launch of Q2 2026</w:t>
      </w:r>
      <w:r w:rsidRPr="4FEDF951" w:rsidR="4FEDF951">
        <w:rPr>
          <w:rFonts w:ascii="Times New Roman" w:hAnsi="Times New Roman" w:cs="Times New Roman"/>
        </w:rPr>
        <w:t xml:space="preserve">. </w:t>
      </w:r>
    </w:p>
    <w:p w:rsidR="00CB71F9" w:rsidP="00952D67" w:rsidRDefault="00CB71F9" w14:paraId="2F0F022C" w14:textId="77777777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Pr="00E46C92" w:rsidR="003027C7" w:rsidP="00952D67" w:rsidRDefault="00CB71F9" w14:paraId="7FE6D2BF" w14:textId="2CE48E24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concerns, please do not hesitate to contact me</w:t>
      </w:r>
      <w:r w:rsidR="00626F7F">
        <w:rPr>
          <w:rFonts w:ascii="Times New Roman" w:hAnsi="Times New Roman" w:cs="Times New Roman"/>
        </w:rPr>
        <w:t xml:space="preserve"> directly</w:t>
      </w:r>
      <w:r w:rsidR="009E073B">
        <w:rPr>
          <w:rFonts w:ascii="Times New Roman" w:hAnsi="Times New Roman" w:cs="Times New Roman"/>
        </w:rPr>
        <w:t xml:space="preserve"> at </w:t>
      </w:r>
      <w:r w:rsidR="00213D55">
        <w:rPr>
          <w:rFonts w:ascii="Times New Roman" w:hAnsi="Times New Roman" w:cs="Times New Roman"/>
        </w:rPr>
        <w:t>(330) 721-600</w:t>
      </w:r>
      <w:r w:rsidR="00D220FA">
        <w:rPr>
          <w:rFonts w:ascii="Times New Roman" w:hAnsi="Times New Roman" w:cs="Times New Roman"/>
        </w:rPr>
        <w:t>4</w:t>
      </w:r>
      <w:r w:rsidR="00626F7F">
        <w:rPr>
          <w:rFonts w:ascii="Times New Roman" w:hAnsi="Times New Roman" w:cs="Times New Roman"/>
        </w:rPr>
        <w:t xml:space="preserve"> or via email at jmyers@qdrogroup.com</w:t>
      </w:r>
      <w:r w:rsidRPr="60D8B1BA" w:rsidR="60D8B1BA">
        <w:rPr>
          <w:rFonts w:ascii="Times New Roman" w:hAnsi="Times New Roman" w:cs="Times New Roman"/>
        </w:rPr>
        <w:t>.</w:t>
      </w:r>
    </w:p>
    <w:p w:rsidRPr="00E46C92" w:rsidR="000F369C" w:rsidP="00952D67" w:rsidRDefault="000F369C" w14:paraId="6D2D76D2" w14:textId="77777777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Pr="00E46C92" w:rsidR="000F369C" w:rsidP="00952D67" w:rsidRDefault="004E4D1B" w14:paraId="043456A5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  <w:r w:rsidRPr="00E46C92">
        <w:rPr>
          <w:rFonts w:ascii="Times New Roman" w:hAnsi="Times New Roman" w:cs="Times New Roman"/>
        </w:rPr>
        <w:t>Sincerely,</w:t>
      </w:r>
    </w:p>
    <w:p w:rsidRPr="00E46C92" w:rsidR="000F369C" w:rsidP="00952D67" w:rsidRDefault="004E4D1B" w14:paraId="66ECB142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  <w:r w:rsidRPr="00E46C92">
        <w:rPr>
          <w:rFonts w:ascii="Times New Roman" w:hAnsi="Times New Roman" w:cs="Times New Roman"/>
          <w:noProof/>
        </w:rPr>
        <w:drawing>
          <wp:inline distT="0" distB="0" distL="0" distR="0" wp14:anchorId="31415D82" wp14:editId="16D68E43">
            <wp:extent cx="3667125" cy="1057275"/>
            <wp:effectExtent l="0" t="0" r="9525" b="9525"/>
            <wp:docPr id="100002" name="Picture 10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049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7646" cy="10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4BE8" w:rsidR="000F369C" w:rsidP="00952D67" w:rsidRDefault="004E4D1B" w14:paraId="21592F75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  <w:lang w:val="fr-FR"/>
        </w:rPr>
      </w:pPr>
      <w:r w:rsidRPr="005B4BE8">
        <w:rPr>
          <w:rFonts w:ascii="Times New Roman" w:hAnsi="Times New Roman" w:cs="Times New Roman"/>
          <w:lang w:val="fr-FR"/>
        </w:rPr>
        <w:t xml:space="preserve"> </w:t>
      </w:r>
    </w:p>
    <w:p w:rsidRPr="005B4BE8" w:rsidR="000F369C" w:rsidP="00952D67" w:rsidRDefault="004E4D1B" w14:paraId="757E665B" w14:textId="042D6FF9">
      <w:pPr>
        <w:pStyle w:val="Textbody"/>
        <w:suppressAutoHyphens/>
        <w:spacing w:after="0" w:line="240" w:lineRule="auto"/>
        <w:rPr>
          <w:rFonts w:ascii="Times New Roman" w:hAnsi="Times New Roman" w:cs="Times New Roman"/>
          <w:lang w:val="fr-FR"/>
        </w:rPr>
      </w:pPr>
      <w:r w:rsidRPr="005B4BE8">
        <w:rPr>
          <w:rFonts w:ascii="Times New Roman" w:hAnsi="Times New Roman" w:cs="Times New Roman"/>
          <w:lang w:val="fr-FR"/>
        </w:rPr>
        <w:t>James R. Myers, Jr.</w:t>
      </w:r>
      <w:r w:rsidRPr="005B4BE8" w:rsidR="005B4BE8">
        <w:rPr>
          <w:rFonts w:ascii="Times New Roman" w:hAnsi="Times New Roman" w:cs="Times New Roman"/>
          <w:lang w:val="fr-FR"/>
        </w:rPr>
        <w:t>, E</w:t>
      </w:r>
      <w:r w:rsidR="005B4BE8">
        <w:rPr>
          <w:rFonts w:ascii="Times New Roman" w:hAnsi="Times New Roman" w:cs="Times New Roman"/>
          <w:lang w:val="fr-FR"/>
        </w:rPr>
        <w:t>sq.</w:t>
      </w:r>
    </w:p>
    <w:p w:rsidRPr="00E46C92" w:rsidR="000F369C" w:rsidP="00952D67" w:rsidRDefault="005B4BE8" w14:paraId="0D299C82" w14:textId="68895843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  <w:r w:rsidRPr="00E46C92" w:rsidR="004E4D1B">
        <w:rPr>
          <w:rFonts w:ascii="Times New Roman" w:hAnsi="Times New Roman" w:cs="Times New Roman"/>
        </w:rPr>
        <w:t>/</w:t>
      </w:r>
      <w:r w:rsidR="00D220FA">
        <w:rPr>
          <w:rFonts w:ascii="Times New Roman" w:hAnsi="Times New Roman" w:cs="Times New Roman"/>
        </w:rPr>
        <w:t>Staff</w:t>
      </w:r>
      <w:r w:rsidRPr="00E46C92" w:rsidR="004E4D1B">
        <w:rPr>
          <w:rFonts w:ascii="Times New Roman" w:hAnsi="Times New Roman" w:cs="Times New Roman"/>
        </w:rPr>
        <w:t xml:space="preserve"> Attorney</w:t>
      </w:r>
    </w:p>
    <w:p w:rsidR="00F90DC8" w:rsidP="00952D67" w:rsidRDefault="00F90DC8" w14:paraId="1065ECFD" w14:textId="61A601F9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  <w:r w:rsidRPr="00F90DC8">
        <w:rPr>
          <w:rFonts w:ascii="Times New Roman" w:hAnsi="Times New Roman" w:cs="Times New Roman"/>
        </w:rPr>
        <w:t>jmyers@qdrogroup.com</w:t>
      </w:r>
    </w:p>
    <w:p w:rsidR="00F90DC8" w:rsidP="00952D67" w:rsidRDefault="00F90DC8" w14:paraId="57593E9C" w14:textId="77777777">
      <w:pPr>
        <w:widowControl/>
        <w:autoSpaceD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F90DC8" w:rsidR="00F90DC8" w:rsidP="00952D67" w:rsidRDefault="00F90DC8" w14:paraId="497C3BB2" w14:textId="77777777">
      <w:pPr>
        <w:widowControl/>
        <w:pBdr>
          <w:bottom w:val="single" w:color="5FB946" w:sz="12" w:space="0"/>
        </w:pBdr>
        <w:shd w:val="clear" w:color="auto" w:fill="F0F1F1"/>
        <w:autoSpaceDE/>
        <w:autoSpaceDN/>
        <w:spacing w:before="450" w:after="300"/>
        <w:textAlignment w:val="auto"/>
        <w:outlineLvl w:val="4"/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</w:pPr>
      <w:r w:rsidRPr="00F90DC8"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  <w:lastRenderedPageBreak/>
        <w:t>Order Drafting Services</w:t>
      </w:r>
    </w:p>
    <w:tbl>
      <w:tblPr>
        <w:tblW w:w="5000" w:type="pct"/>
        <w:jc w:val="center"/>
        <w:tblBorders>
          <w:top w:val="single" w:color="6E6E70" w:sz="6" w:space="0"/>
          <w:left w:val="single" w:color="6E6E70" w:sz="6" w:space="0"/>
          <w:bottom w:val="single" w:color="6E6E70" w:sz="6" w:space="0"/>
          <w:right w:val="single" w:color="6E6E70" w:sz="6" w:space="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9"/>
        <w:gridCol w:w="5504"/>
        <w:gridCol w:w="1151"/>
      </w:tblGrid>
      <w:tr w:rsidRPr="00F90DC8" w:rsidR="00F90DC8" w:rsidTr="4FEDF951" w14:paraId="168E2028" w14:textId="77777777">
        <w:trPr>
          <w:jc w:val="center"/>
        </w:trPr>
        <w:tc>
          <w:tcPr>
            <w:tcW w:w="14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3E0AFBCC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Service</w:t>
            </w:r>
          </w:p>
        </w:tc>
        <w:tc>
          <w:tcPr>
            <w:tcW w:w="29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466A9CAC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More Info</w:t>
            </w:r>
          </w:p>
        </w:tc>
        <w:tc>
          <w:tcPr>
            <w:tcW w:w="6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03094AFB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Fee</w:t>
            </w:r>
          </w:p>
        </w:tc>
      </w:tr>
      <w:tr w:rsidRPr="00F90DC8" w:rsidR="00F90DC8" w:rsidTr="4FEDF951" w14:paraId="1BAED9F7" w14:textId="77777777"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5744F03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QDRO or Other Non-Military Division Order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3A080493" w14:textId="0EA8FE3D">
            <w:pPr>
              <w:widowControl w:val="1"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4FEDF951">
              <w:rPr>
                <w:rFonts w:ascii="Calibri" w:hAnsi="Calibri" w:eastAsia="Times New Roman" w:cs="Times New Roman"/>
                <w:i w:val="1"/>
                <w:iCs w:val="1"/>
                <w:kern w:val="0"/>
                <w:lang w:eastAsia="en-US" w:bidi="ar-SA"/>
              </w:rPr>
              <w:t xml:space="preserve">We review the Decree and plan documents </w:t>
            </w:r>
            <w:r w:rsidRPr="4FEDF951">
              <w:rPr>
                <w:rFonts w:ascii="Calibri" w:hAnsi="Calibri" w:eastAsia="Times New Roman" w:cs="Times New Roman"/>
                <w:i w:val="1"/>
                <w:iCs w:val="1"/>
                <w:kern w:val="0"/>
                <w:lang w:eastAsia="en-US" w:bidi="ar-SA"/>
              </w:rPr>
              <w:t xml:space="preserve">to </w:t>
            </w:r>
            <w:r w:rsidRPr="4FEDF951">
              <w:rPr>
                <w:rFonts w:ascii="Calibri" w:hAnsi="Calibri" w:eastAsia="Times New Roman" w:cs="Times New Roman"/>
                <w:i w:val="1"/>
                <w:iCs w:val="1"/>
                <w:kern w:val="0"/>
                <w:lang w:eastAsia="en-US" w:bidi="ar-SA"/>
              </w:rPr>
              <w:t xml:space="preserve">draft an Order that is customized to the case.  </w:t>
            </w:r>
            <w:r w:rsidRPr="4FEDF951">
              <w:rPr>
                <w:rFonts w:ascii="Calibri" w:hAnsi="Calibri" w:eastAsia="Times New Roman" w:cs="Times New Roman"/>
                <w:i w:val="1"/>
                <w:iCs w:val="1"/>
                <w:kern w:val="0"/>
                <w:lang w:eastAsia="en-US" w:bidi="ar-SA"/>
              </w:rPr>
              <w:t>When</w:t>
            </w:r>
            <w:r w:rsidRPr="4FEDF951">
              <w:rPr>
                <w:rFonts w:ascii="Calibri" w:hAnsi="Calibri" w:eastAsia="Times New Roman" w:cs="Times New Roman"/>
                <w:i w:val="1"/>
                <w:iCs w:val="1"/>
                <w:kern w:val="0"/>
                <w:lang w:eastAsia="en-US" w:bidi="ar-SA"/>
              </w:rPr>
              <w:t xml:space="preserve"> the Entry is vague or silent, we will require instruction from the requesting attorney.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0A4571D" w14:textId="33EE35D4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13627F">
              <w:rPr>
                <w:rFonts w:ascii="Calibri" w:hAnsi="Calibri" w:eastAsia="Times New Roman" w:cs="Times New Roman"/>
                <w:kern w:val="0"/>
                <w:lang w:eastAsia="en-US" w:bidi="ar-SA"/>
              </w:rPr>
              <w:t>6</w:t>
            </w: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</w:t>
            </w:r>
          </w:p>
        </w:tc>
      </w:tr>
      <w:tr w:rsidRPr="00F90DC8" w:rsidR="00F90DC8" w:rsidTr="4FEDF951" w14:paraId="4438F010" w14:textId="77777777"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1DEC97D3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IRA Letter of Instruction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18892AE2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Most IRAs don’t require QDROs.  This letter provides the administrator with the necessary division instructions.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13EE08A" w14:textId="0A586240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034AC3">
              <w:rPr>
                <w:rFonts w:ascii="Calibri" w:hAnsi="Calibri" w:eastAsia="Times New Roman" w:cs="Times New Roman"/>
                <w:kern w:val="0"/>
                <w:lang w:eastAsia="en-US" w:bidi="ar-SA"/>
              </w:rPr>
              <w:t>4</w:t>
            </w:r>
            <w:r w:rsidR="00180B1F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</w:t>
            </w: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</w:t>
            </w:r>
          </w:p>
        </w:tc>
      </w:tr>
      <w:tr w:rsidRPr="00F90DC8" w:rsidR="00F90DC8" w:rsidTr="4FEDF951" w14:paraId="5799BBD5" w14:textId="77777777"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575E7F29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Military Order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5F413091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Military Qualifying Court Order for any of the branches of the US Military.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2F1215C" w14:textId="4232A041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034AC3">
              <w:rPr>
                <w:rFonts w:ascii="Calibri" w:hAnsi="Calibri" w:eastAsia="Times New Roman" w:cs="Times New Roman"/>
                <w:kern w:val="0"/>
                <w:lang w:eastAsia="en-US" w:bidi="ar-SA"/>
              </w:rPr>
              <w:t>9</w:t>
            </w: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</w:t>
            </w:r>
          </w:p>
        </w:tc>
      </w:tr>
      <w:tr w:rsidRPr="00F90DC8" w:rsidR="00F90DC8" w:rsidTr="4FEDF951" w14:paraId="6D50B22F" w14:textId="77777777"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3FC7CC6C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Update Order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EFA103E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Change provisions of </w:t>
            </w:r>
            <w:r w:rsidRPr="77885203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a previously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drafted Order which has not been rejected</w:t>
            </w:r>
            <w:r w:rsidRPr="00A11887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0A4DFF88" w14:textId="72CC0C70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034AC3">
              <w:rPr>
                <w:rFonts w:ascii="Calibri" w:hAnsi="Calibri" w:eastAsia="Times New Roman" w:cs="Times New Roman"/>
                <w:kern w:val="0"/>
                <w:lang w:eastAsia="en-US" w:bidi="ar-SA"/>
              </w:rPr>
              <w:t>300</w:t>
            </w:r>
          </w:p>
        </w:tc>
      </w:tr>
      <w:tr w:rsidRPr="00F90DC8" w:rsidR="00F90DC8" w:rsidTr="4FEDF951" w14:paraId="5B433FF1" w14:textId="77777777"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F90DC8" w:rsidR="00F90DC8" w:rsidP="00952D67" w:rsidRDefault="00F90DC8" w14:paraId="4BD0B49A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Offset Calculations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F90DC8" w:rsidR="00F90DC8" w:rsidP="00952D67" w:rsidRDefault="00F90DC8" w14:paraId="20AD57C8" w14:textId="1DB4D475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An offset of two or more plans starts at $</w:t>
            </w:r>
            <w:r w:rsidR="005D17BF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3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00.  We </w:t>
            </w:r>
            <w:r w:rsidRPr="12927E93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may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charge more based on the number of plans involved</w:t>
            </w:r>
            <w:r w:rsidRPr="27C66744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</w:t>
            </w:r>
            <w:r w:rsidRPr="0474513D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or </w:t>
            </w:r>
            <w:r w:rsidRPr="54B6A8BD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the 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complexity of the calculation. We may waive the fee if we performed a passive growth </w:t>
            </w:r>
            <w:r w:rsidRPr="07A46A1B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analysis or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other valuation.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F90DC8" w:rsidR="00F90DC8" w:rsidP="00952D67" w:rsidRDefault="00F90DC8" w14:paraId="350D5359" w14:textId="1DF12752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Starts at $</w:t>
            </w:r>
            <w:r w:rsidR="00ED7AD0">
              <w:rPr>
                <w:rFonts w:ascii="Calibri" w:hAnsi="Calibri" w:eastAsia="Times New Roman" w:cs="Times New Roman"/>
                <w:kern w:val="0"/>
                <w:lang w:eastAsia="en-US" w:bidi="ar-SA"/>
              </w:rPr>
              <w:t>3</w:t>
            </w: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</w:t>
            </w:r>
          </w:p>
        </w:tc>
      </w:tr>
    </w:tbl>
    <w:p w:rsidR="00910282" w:rsidP="00952D67" w:rsidRDefault="00910282" w14:paraId="07634884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Times New Roman" w:cs="Arial"/>
          <w:b/>
          <w:bCs/>
          <w:color w:val="333333"/>
          <w:kern w:val="0"/>
          <w:sz w:val="26"/>
          <w:szCs w:val="26"/>
          <w:lang w:eastAsia="en-US" w:bidi="ar-SA"/>
        </w:rPr>
      </w:pPr>
    </w:p>
    <w:p w:rsidRPr="00F90DC8" w:rsidR="00910282" w:rsidP="00910282" w:rsidRDefault="00910282" w14:paraId="37D59006" w14:textId="77777777">
      <w:pPr>
        <w:widowControl/>
        <w:pBdr>
          <w:bottom w:val="single" w:color="5FB946" w:sz="12" w:space="0"/>
        </w:pBdr>
        <w:shd w:val="clear" w:color="auto" w:fill="F0F1F1"/>
        <w:autoSpaceDE/>
        <w:autoSpaceDN/>
        <w:spacing w:before="450" w:after="300"/>
        <w:textAlignment w:val="auto"/>
        <w:outlineLvl w:val="4"/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</w:pPr>
      <w:r w:rsidRPr="00F90DC8"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  <w:t>Discounts</w:t>
      </w:r>
    </w:p>
    <w:p w:rsidRPr="00F90DC8" w:rsidR="00910282" w:rsidP="00910282" w:rsidRDefault="00910282" w14:paraId="1702FABE" w14:textId="4CEA1C26">
      <w:pPr>
        <w:widowControl/>
        <w:shd w:val="clear" w:color="auto" w:fill="F0F1F1"/>
        <w:autoSpaceDE/>
        <w:autoSpaceDN/>
        <w:spacing w:after="300" w:line="360" w:lineRule="atLeast"/>
        <w:textAlignment w:val="auto"/>
        <w:rPr>
          <w:rFonts w:ascii="Calibri" w:hAnsi="Calibri" w:eastAsia="Times New Roman" w:cs="Arial"/>
          <w:b/>
          <w:bCs/>
          <w:color w:val="333333"/>
          <w:kern w:val="0"/>
          <w:sz w:val="26"/>
          <w:szCs w:val="26"/>
          <w:lang w:eastAsia="en-US" w:bidi="ar-SA"/>
        </w:rPr>
      </w:pPr>
      <w:r>
        <w:rPr>
          <w:rFonts w:ascii="Calibri" w:hAnsi="Calibri" w:eastAsia="Times New Roman" w:cs="Arial"/>
          <w:color w:val="333333"/>
          <w:kern w:val="0"/>
          <w:sz w:val="26"/>
          <w:szCs w:val="26"/>
          <w:lang w:eastAsia="en-US" w:bidi="ar-SA"/>
        </w:rPr>
        <w:t>We will no longer offer a discount on multiple orders for the same case.</w:t>
      </w:r>
      <w:r w:rsidR="005A26B4">
        <w:rPr>
          <w:rFonts w:ascii="Calibri" w:hAnsi="Calibri" w:eastAsia="Times New Roman" w:cs="Arial"/>
          <w:color w:val="333333"/>
          <w:kern w:val="0"/>
          <w:sz w:val="26"/>
          <w:szCs w:val="26"/>
          <w:lang w:eastAsia="en-US" w:bidi="ar-SA"/>
        </w:rPr>
        <w:t xml:space="preserve">  All fees </w:t>
      </w:r>
      <w:proofErr w:type="gramStart"/>
      <w:r w:rsidR="005A26B4">
        <w:rPr>
          <w:rFonts w:ascii="Calibri" w:hAnsi="Calibri" w:eastAsia="Times New Roman" w:cs="Arial"/>
          <w:color w:val="333333"/>
          <w:kern w:val="0"/>
          <w:sz w:val="26"/>
          <w:szCs w:val="26"/>
          <w:lang w:eastAsia="en-US" w:bidi="ar-SA"/>
        </w:rPr>
        <w:t>are as</w:t>
      </w:r>
      <w:proofErr w:type="gramEnd"/>
      <w:r w:rsidR="005A26B4">
        <w:rPr>
          <w:rFonts w:ascii="Calibri" w:hAnsi="Calibri" w:eastAsia="Times New Roman" w:cs="Arial"/>
          <w:color w:val="333333"/>
          <w:kern w:val="0"/>
          <w:sz w:val="26"/>
          <w:szCs w:val="26"/>
          <w:lang w:eastAsia="en-US" w:bidi="ar-SA"/>
        </w:rPr>
        <w:t xml:space="preserve"> listed.</w:t>
      </w:r>
    </w:p>
    <w:p w:rsidR="00910282" w:rsidP="00952D67" w:rsidRDefault="00910282" w14:paraId="19672336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Times New Roman" w:cs="Arial"/>
          <w:b/>
          <w:bCs/>
          <w:color w:val="333333"/>
          <w:kern w:val="0"/>
          <w:sz w:val="26"/>
          <w:szCs w:val="26"/>
          <w:lang w:eastAsia="en-US" w:bidi="ar-SA"/>
        </w:rPr>
      </w:pPr>
    </w:p>
    <w:p w:rsidRPr="00F90DC8" w:rsidR="00F90DC8" w:rsidP="00952D67" w:rsidRDefault="00F90DC8" w14:paraId="2573309B" w14:textId="06E1A442">
      <w:pPr>
        <w:widowControl/>
        <w:autoSpaceDE/>
        <w:autoSpaceDN/>
        <w:spacing w:line="259" w:lineRule="auto"/>
        <w:textAlignment w:val="auto"/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</w:pPr>
      <w:r w:rsidRPr="00F90DC8">
        <w:rPr>
          <w:rFonts w:ascii="Calibri" w:hAnsi="Calibri" w:eastAsia="Times New Roman" w:cs="Arial"/>
          <w:b/>
          <w:bCs/>
          <w:color w:val="333333"/>
          <w:kern w:val="0"/>
          <w:sz w:val="26"/>
          <w:szCs w:val="26"/>
          <w:lang w:eastAsia="en-US" w:bidi="ar-SA"/>
        </w:rPr>
        <w:br w:type="page"/>
      </w:r>
      <w:r w:rsidRPr="00F90DC8"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  <w:lastRenderedPageBreak/>
        <w:t>Valuation Services</w:t>
      </w:r>
    </w:p>
    <w:tbl>
      <w:tblPr>
        <w:tblW w:w="9435" w:type="dxa"/>
        <w:jc w:val="center"/>
        <w:tblBorders>
          <w:top w:val="single" w:color="6E6E70" w:sz="6" w:space="0"/>
          <w:left w:val="single" w:color="6E6E70" w:sz="6" w:space="0"/>
          <w:bottom w:val="single" w:color="6E6E70" w:sz="6" w:space="0"/>
          <w:right w:val="single" w:color="6E6E70" w:sz="6" w:space="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7"/>
        <w:gridCol w:w="5526"/>
        <w:gridCol w:w="1222"/>
      </w:tblGrid>
      <w:tr w:rsidRPr="00F90DC8" w:rsidR="00F90DC8" w:rsidTr="13F3A270" w14:paraId="5B6181DA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4F1C613B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Service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0ECAF3BF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More Info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1AF59BAA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Fee</w:t>
            </w:r>
          </w:p>
        </w:tc>
      </w:tr>
      <w:tr w:rsidRPr="00F90DC8" w:rsidR="00F90DC8" w:rsidTr="13F3A270" w14:paraId="2A85F85C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46BF71C5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Present Value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397C69C9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Provides the current lump sum value of the accrued pension at the normal retirement age.  This service includes discovery. 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74F307FA" w14:textId="630CA84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$3</w:t>
            </w:r>
            <w:r w:rsidR="00EA1E0E">
              <w:rPr>
                <w:rFonts w:ascii="Calibri" w:hAnsi="Calibri" w:eastAsia="Times New Roman" w:cs="Times New Roman"/>
                <w:kern w:val="0"/>
                <w:lang w:eastAsia="en-US" w:bidi="ar-SA"/>
              </w:rPr>
              <w:t>75</w:t>
            </w:r>
          </w:p>
        </w:tc>
      </w:tr>
      <w:tr w:rsidRPr="00F90DC8" w:rsidR="00F90DC8" w:rsidTr="13F3A270" w14:paraId="45DE3925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7095A2AF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Passive Growth Analysis on Defined Contribution Plans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378EF56E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Tracing the passive growth of separate property brought into defined contribution plans. Please note: For complex plans that will take longer than usual, we will contact you with an additional cost estimate.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026A5F7F" w14:textId="2C7E7E38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Starts at $</w:t>
            </w:r>
            <w:r w:rsidR="00EA1E0E">
              <w:rPr>
                <w:rFonts w:ascii="Calibri" w:hAnsi="Calibri" w:eastAsia="Times New Roman" w:cs="Times New Roman"/>
                <w:kern w:val="0"/>
                <w:lang w:eastAsia="en-US" w:bidi="ar-SA"/>
              </w:rPr>
              <w:t>800</w:t>
            </w:r>
          </w:p>
        </w:tc>
      </w:tr>
      <w:tr w:rsidRPr="00F90DC8" w:rsidR="00F90DC8" w:rsidTr="13F3A270" w14:paraId="4AAD0A3E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79430826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Deferred Retirement Option Plan (DROP) Analysis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1B9C8421" w14:textId="68EFA62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Calculation of an alternate payee’s portion of a DROP account given at monthly intervals assuming the member terminates sometime between the current date and the member’s Maximum DROP date</w:t>
            </w:r>
            <w:r w:rsidRPr="4470ED23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1C4A04" w:rsidR="00F90DC8" w:rsidP="00952D67" w:rsidRDefault="00F90DC8" w14:paraId="5E85B63C" w14:textId="39E7BF59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Pr="001C4A04" w:rsid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5</w:t>
            </w:r>
            <w:r w:rsidRP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</w:t>
            </w:r>
          </w:p>
        </w:tc>
      </w:tr>
      <w:tr w:rsidRPr="00F90DC8" w:rsidR="00F90DC8" w:rsidTr="13F3A270" w14:paraId="1B04C840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B6EBC52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Excess Survivorship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123B80CA" w14:textId="48E53A0A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For retired participants who elected a Joint and Survivor Annuity percentage larger than required by law or indicated by marital coverture</w:t>
            </w:r>
            <w:r w:rsidRPr="1A6BCD99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1C4A04" w:rsidR="00F90DC8" w:rsidP="00952D67" w:rsidRDefault="00F90DC8" w14:paraId="0FC8878C" w14:textId="7AE5D61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Pr="001C4A04" w:rsid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5</w:t>
            </w:r>
            <w:r w:rsidRP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</w:t>
            </w:r>
          </w:p>
        </w:tc>
      </w:tr>
      <w:tr w:rsidRPr="00F90DC8" w:rsidR="00F90DC8" w:rsidTr="13F3A270" w14:paraId="2288A257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2182F02E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Lost Survivorship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3744DFA4" w14:textId="466A4FEB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For former spouses of a retired participant who were not elected for the survivorship awarded by the court</w:t>
            </w:r>
            <w:r w:rsidRPr="36E3069F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1C4A04" w:rsidR="00F90DC8" w:rsidP="00952D67" w:rsidRDefault="00F90DC8" w14:paraId="684462A1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1C4A04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$500</w:t>
            </w:r>
          </w:p>
        </w:tc>
      </w:tr>
      <w:tr w:rsidRPr="00F90DC8" w:rsidR="00F90DC8" w:rsidTr="13F3A270" w14:paraId="31808548" w14:textId="77777777">
        <w:trPr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6EC8B400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Additional Date / Multiple Assumptions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24AE6062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When you need one report with two different dates for the end of the marriage or when you need multiple values based on health assumptions or disability options</w:t>
            </w:r>
            <w:r w:rsidRPr="3AA3FDC7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F90DC8" w:rsidR="00F90DC8" w:rsidP="00952D67" w:rsidRDefault="00F90DC8" w14:paraId="50B45728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Contact us for additional charges</w:t>
            </w:r>
          </w:p>
        </w:tc>
      </w:tr>
      <w:tr w:rsidRPr="00F90DC8" w:rsidR="00C779EA" w:rsidTr="13F3A270" w14:paraId="19157BCA" w14:textId="77777777">
        <w:trPr>
          <w:trHeight w:val="684"/>
          <w:jc w:val="center"/>
        </w:trPr>
        <w:tc>
          <w:tcPr>
            <w:tcW w:w="2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F90DC8" w:rsidR="00C779EA" w:rsidP="00952D67" w:rsidRDefault="00C779EA" w14:paraId="50376B3D" w14:textId="55DFFF6E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Equalization/Stream of Income Report</w:t>
            </w:r>
          </w:p>
        </w:tc>
        <w:tc>
          <w:tcPr>
            <w:tcW w:w="5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F90DC8" w:rsidR="00C779EA" w:rsidP="00952D67" w:rsidRDefault="00784C16" w14:paraId="7919ED8E" w14:textId="000DEF85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</w:pPr>
            <w:r w:rsidRPr="7BF3B479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Analyzes the </w:t>
            </w:r>
            <w:r w:rsidRPr="24014237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multiple </w:t>
            </w:r>
            <w:r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streams of income </w:t>
            </w:r>
            <w:r w:rsidRPr="4ED5468E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of each </w:t>
            </w:r>
            <w:r w:rsidRPr="5B40D906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party to </w:t>
            </w:r>
            <w:r w:rsidRPr="2C56750F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determine </w:t>
            </w:r>
            <w:r w:rsidRPr="7C0A7EF6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an </w:t>
            </w:r>
            <w:r w:rsidRPr="1D650331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equalization </w:t>
            </w:r>
            <w:r w:rsidRPr="1EA47AAE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strategy.</w:t>
            </w:r>
          </w:p>
        </w:tc>
        <w:tc>
          <w:tcPr>
            <w:tcW w:w="1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F90DC8" w:rsidR="00C779EA" w:rsidP="00952D67" w:rsidRDefault="00784C16" w14:paraId="72BB5E17" w14:textId="1CA21AB3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851CE3">
              <w:rPr>
                <w:rFonts w:ascii="Calibri" w:hAnsi="Calibri" w:eastAsia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</w:t>
            </w:r>
          </w:p>
        </w:tc>
      </w:tr>
    </w:tbl>
    <w:p w:rsidRPr="00F90DC8" w:rsidR="00F90DC8" w:rsidP="00952D67" w:rsidRDefault="00F90DC8" w14:paraId="2A85D647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Calibri" w:cs="Times New Roman"/>
          <w:kern w:val="0"/>
          <w:sz w:val="22"/>
          <w:szCs w:val="22"/>
          <w:lang w:eastAsia="en-US" w:bidi="ar-SA"/>
        </w:rPr>
      </w:pPr>
    </w:p>
    <w:p w:rsidRPr="00F90DC8" w:rsidR="00F90DC8" w:rsidP="00952D67" w:rsidRDefault="00F90DC8" w14:paraId="6B7A2154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Calibri" w:cs="Times New Roman"/>
          <w:kern w:val="0"/>
          <w:sz w:val="22"/>
          <w:szCs w:val="22"/>
          <w:lang w:eastAsia="en-US" w:bidi="ar-SA"/>
        </w:rPr>
      </w:pPr>
      <w:r w:rsidRPr="00F90DC8">
        <w:rPr>
          <w:rFonts w:ascii="Calibri" w:hAnsi="Calibri" w:eastAsia="Calibri" w:cs="Times New Roman"/>
          <w:kern w:val="0"/>
          <w:sz w:val="22"/>
          <w:szCs w:val="22"/>
          <w:lang w:eastAsia="en-US" w:bidi="ar-SA"/>
        </w:rPr>
        <w:br w:type="page"/>
      </w:r>
    </w:p>
    <w:p w:rsidRPr="00F90DC8" w:rsidR="00F90DC8" w:rsidP="00952D67" w:rsidRDefault="00F90DC8" w14:paraId="475D94EB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Calibri" w:cs="Times New Roman"/>
          <w:kern w:val="0"/>
          <w:sz w:val="22"/>
          <w:szCs w:val="22"/>
          <w:lang w:eastAsia="en-US" w:bidi="ar-SA"/>
        </w:rPr>
      </w:pPr>
    </w:p>
    <w:p w:rsidRPr="00F90DC8" w:rsidR="00F90DC8" w:rsidP="00952D67" w:rsidRDefault="00F90DC8" w14:paraId="6C26C985" w14:textId="77777777">
      <w:pPr>
        <w:widowControl/>
        <w:pBdr>
          <w:bottom w:val="single" w:color="5FB946" w:sz="12" w:space="0"/>
        </w:pBdr>
        <w:shd w:val="clear" w:color="auto" w:fill="F0F1F1"/>
        <w:autoSpaceDE/>
        <w:autoSpaceDN/>
        <w:spacing w:before="450" w:after="300"/>
        <w:textAlignment w:val="auto"/>
        <w:outlineLvl w:val="4"/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</w:pPr>
      <w:r w:rsidRPr="00F90DC8">
        <w:rPr>
          <w:rFonts w:ascii="Calibri" w:hAnsi="Calibri" w:eastAsia="Times New Roman" w:cs="Arial"/>
          <w:color w:val="126EB7"/>
          <w:kern w:val="0"/>
          <w:sz w:val="32"/>
          <w:szCs w:val="32"/>
          <w:lang w:eastAsia="en-US" w:bidi="ar-SA"/>
        </w:rPr>
        <w:t>General Services</w:t>
      </w:r>
    </w:p>
    <w:tbl>
      <w:tblPr>
        <w:tblW w:w="9733" w:type="dxa"/>
        <w:jc w:val="center"/>
        <w:tblBorders>
          <w:top w:val="single" w:color="6E6E70" w:sz="6" w:space="0"/>
          <w:left w:val="single" w:color="6E6E70" w:sz="6" w:space="0"/>
          <w:bottom w:val="single" w:color="6E6E70" w:sz="6" w:space="0"/>
          <w:right w:val="single" w:color="6E6E70" w:sz="6" w:space="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5582"/>
        <w:gridCol w:w="12"/>
        <w:gridCol w:w="1304"/>
      </w:tblGrid>
      <w:tr w:rsidRPr="00F90DC8" w:rsidR="00F90DC8" w:rsidTr="585D3EFB" w14:paraId="301AB001" w14:textId="77777777">
        <w:trPr>
          <w:trHeight w:val="206"/>
          <w:jc w:val="center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vAlign w:val="center"/>
            <w:hideMark/>
          </w:tcPr>
          <w:p w:rsidRPr="00F90DC8" w:rsidR="00F90DC8" w:rsidP="00952D67" w:rsidRDefault="00F90DC8" w14:paraId="270DDE77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Service</w:t>
            </w:r>
          </w:p>
        </w:tc>
        <w:tc>
          <w:tcPr>
            <w:tcW w:w="5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vAlign w:val="center"/>
            <w:hideMark/>
          </w:tcPr>
          <w:p w:rsidRPr="00F90DC8" w:rsidR="00F90DC8" w:rsidP="00952D67" w:rsidRDefault="00F90DC8" w14:paraId="5A1C4B7A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More Info</w:t>
            </w:r>
          </w:p>
        </w:tc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126EB7"/>
            <w:vAlign w:val="center"/>
            <w:hideMark/>
          </w:tcPr>
          <w:p w:rsidRPr="00F90DC8" w:rsidR="00F90DC8" w:rsidP="00952D67" w:rsidRDefault="00F90DC8" w14:paraId="0A8875C5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FFFFFF"/>
                <w:kern w:val="0"/>
                <w:lang w:eastAsia="en-US" w:bidi="ar-SA"/>
              </w:rPr>
              <w:t>Fee</w:t>
            </w:r>
          </w:p>
        </w:tc>
      </w:tr>
      <w:tr w:rsidRPr="00F90DC8" w:rsidR="00F90DC8" w:rsidTr="585D3EFB" w14:paraId="7DAFE33B" w14:textId="77777777">
        <w:trPr>
          <w:trHeight w:val="705"/>
          <w:jc w:val="center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0ADEDB00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Consultations/Catch-All Help</w:t>
            </w:r>
          </w:p>
        </w:tc>
        <w:tc>
          <w:tcPr>
            <w:tcW w:w="5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2284512A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Set up a time to discuss your case by phone or in person. We’ll discuss your issues, come up with a plan, and help you implement that plan.</w:t>
            </w:r>
          </w:p>
        </w:tc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492A7AA5" w14:textId="1F677F12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A24B29">
              <w:rPr>
                <w:rFonts w:ascii="Calibri" w:hAnsi="Calibri" w:eastAsia="Times New Roman" w:cs="Times New Roman"/>
                <w:kern w:val="0"/>
                <w:lang w:eastAsia="en-US" w:bidi="ar-SA"/>
              </w:rPr>
              <w:t>4</w:t>
            </w: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00/hour</w:t>
            </w:r>
          </w:p>
        </w:tc>
      </w:tr>
      <w:tr w:rsidRPr="00F90DC8" w:rsidR="00F90DC8" w:rsidTr="585D3EFB" w14:paraId="3E4DAC58" w14:textId="77777777">
        <w:trPr>
          <w:trHeight w:val="808"/>
          <w:jc w:val="center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5FAD3FB9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Expert Testimony</w:t>
            </w:r>
          </w:p>
        </w:tc>
        <w:tc>
          <w:tcPr>
            <w:tcW w:w="5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41BC4" w:rsidP="00952D67" w:rsidRDefault="00F90DC8" w14:paraId="351312A4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Our </w:t>
            </w:r>
            <w:r w:rsidR="007D648A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minimum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</w:t>
            </w:r>
            <w:r w:rsidR="007D648A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r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ate is $</w:t>
            </w:r>
            <w:r w:rsidR="00851CE3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2,000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for expert testimony</w:t>
            </w:r>
            <w:r w:rsidR="007D648A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.  </w:t>
            </w: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In addition to the time spent testifying, this rate will be charged for preparation time and travel expenses. We will discuss the case and provide a quote on the fees for testimony.</w:t>
            </w:r>
          </w:p>
          <w:p w:rsidR="00541BC4" w:rsidP="00952D67" w:rsidRDefault="00541BC4" w14:paraId="354048DF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</w:pPr>
          </w:p>
          <w:p w:rsidRPr="00F90DC8" w:rsidR="00F90DC8" w:rsidP="00952D67" w:rsidRDefault="00541BC4" w14:paraId="14728EA0" w14:textId="325D4351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There is a $1,000 surcharge if we are retained with less than </w:t>
            </w:r>
            <w:r w:rsidR="00C049A1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two</w:t>
            </w:r>
            <w:r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weeks</w:t>
            </w:r>
            <w:r w:rsidR="00C049A1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’</w:t>
            </w:r>
            <w:r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notic</w:t>
            </w:r>
            <w:r w:rsidR="00C049A1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e.</w:t>
            </w:r>
          </w:p>
        </w:tc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09D6519E" w14:textId="6DC46556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 xml:space="preserve">Starts at </w:t>
            </w:r>
            <w:proofErr w:type="gramStart"/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</w:t>
            </w:r>
            <w:r w:rsidR="00851CE3">
              <w:rPr>
                <w:rFonts w:ascii="Calibri" w:hAnsi="Calibri" w:eastAsia="Times New Roman" w:cs="Times New Roman"/>
                <w:kern w:val="0"/>
                <w:lang w:eastAsia="en-US" w:bidi="ar-SA"/>
              </w:rPr>
              <w:t>2,000</w:t>
            </w: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;</w:t>
            </w:r>
            <w:proofErr w:type="gramEnd"/>
          </w:p>
          <w:p w:rsidRPr="00F90DC8" w:rsidR="00F90DC8" w:rsidP="00952D67" w:rsidRDefault="00F90DC8" w14:paraId="7E05C46E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Contact us for a free quote</w:t>
            </w:r>
          </w:p>
        </w:tc>
      </w:tr>
      <w:tr w:rsidRPr="00F90DC8" w:rsidR="00F90DC8" w:rsidTr="585D3EFB" w14:paraId="77D71F2A" w14:textId="77777777">
        <w:trPr>
          <w:trHeight w:val="456"/>
          <w:jc w:val="center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44D97386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Expedite – Next Business Day</w:t>
            </w:r>
          </w:p>
        </w:tc>
        <w:tc>
          <w:tcPr>
            <w:tcW w:w="55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6531C76D" w14:textId="4F40EE9A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Additional </w:t>
            </w:r>
            <w:proofErr w:type="gramStart"/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fee</w:t>
            </w:r>
            <w:proofErr w:type="gramEnd"/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beyond regular cost of service</w:t>
            </w:r>
            <w:r w:rsidRPr="68628C95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41BC8214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$400/item</w:t>
            </w:r>
          </w:p>
        </w:tc>
      </w:tr>
      <w:tr w:rsidRPr="00F90DC8" w:rsidR="00F90DC8" w:rsidTr="585D3EFB" w14:paraId="11E8A10B" w14:textId="77777777">
        <w:trPr>
          <w:trHeight w:val="543"/>
          <w:jc w:val="center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12D38FA9" w14:textId="77777777">
            <w:pPr>
              <w:widowControl/>
              <w:autoSpaceDE/>
              <w:autoSpaceDN/>
              <w:spacing w:after="300" w:line="360" w:lineRule="atLeast"/>
              <w:textAlignment w:val="auto"/>
              <w:rPr>
                <w:rFonts w:ascii="Calibri" w:hAnsi="Calibri" w:eastAsia="Times New Roman" w:cs="Times New Roman"/>
                <w:color w:val="126EB7"/>
                <w:kern w:val="0"/>
                <w:sz w:val="21"/>
                <w:szCs w:val="21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b/>
                <w:bCs/>
                <w:color w:val="126EB7"/>
                <w:kern w:val="0"/>
                <w:sz w:val="21"/>
                <w:szCs w:val="21"/>
                <w:lang w:eastAsia="en-US" w:bidi="ar-SA"/>
              </w:rPr>
              <w:t>Expedite – 3 Business Days</w:t>
            </w:r>
          </w:p>
        </w:tc>
        <w:tc>
          <w:tcPr>
            <w:tcW w:w="55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593B148B" w14:textId="615C4D12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Additional </w:t>
            </w:r>
            <w:proofErr w:type="gramStart"/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fee</w:t>
            </w:r>
            <w:proofErr w:type="gramEnd"/>
            <w:r w:rsidRPr="00F90DC8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 xml:space="preserve"> beyond regular cost of service</w:t>
            </w:r>
            <w:r w:rsidRPr="301EF41B">
              <w:rPr>
                <w:rFonts w:ascii="Calibri" w:hAnsi="Calibri" w:eastAsia="Times New Roman" w:cs="Times New Roman"/>
                <w:i/>
                <w:iCs/>
                <w:kern w:val="0"/>
                <w:lang w:eastAsia="en-US" w:bidi="ar-SA"/>
              </w:rPr>
              <w:t>.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F90DC8" w:rsidR="00F90DC8" w:rsidP="00952D67" w:rsidRDefault="00F90DC8" w14:paraId="4A9003A5" w14:textId="77777777">
            <w:pPr>
              <w:widowControl/>
              <w:autoSpaceDE/>
              <w:autoSpaceDN/>
              <w:spacing w:after="0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 w:rsidRPr="00F90DC8">
              <w:rPr>
                <w:rFonts w:ascii="Calibri" w:hAnsi="Calibri" w:eastAsia="Times New Roman" w:cs="Times New Roman"/>
                <w:kern w:val="0"/>
                <w:lang w:eastAsia="en-US" w:bidi="ar-SA"/>
              </w:rPr>
              <w:t>$200/item</w:t>
            </w:r>
          </w:p>
        </w:tc>
      </w:tr>
    </w:tbl>
    <w:p w:rsidRPr="00F90DC8" w:rsidR="00F90DC8" w:rsidP="00952D67" w:rsidRDefault="00F90DC8" w14:paraId="2476DD24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Calibri" w:cs="Times New Roman"/>
          <w:kern w:val="0"/>
          <w:sz w:val="22"/>
          <w:szCs w:val="22"/>
          <w:lang w:eastAsia="en-US" w:bidi="ar-SA"/>
        </w:rPr>
      </w:pPr>
    </w:p>
    <w:p w:rsidRPr="00F90DC8" w:rsidR="00F90DC8" w:rsidP="00952D67" w:rsidRDefault="00F90DC8" w14:paraId="7F0E861E" w14:textId="77777777">
      <w:pPr>
        <w:widowControl/>
        <w:autoSpaceDE/>
        <w:autoSpaceDN/>
        <w:spacing w:line="259" w:lineRule="auto"/>
        <w:textAlignment w:val="auto"/>
        <w:rPr>
          <w:rFonts w:ascii="Calibri" w:hAnsi="Calibri" w:eastAsia="Calibri" w:cs="Times New Roman"/>
          <w:kern w:val="0"/>
          <w:sz w:val="22"/>
          <w:szCs w:val="22"/>
          <w:lang w:eastAsia="en-US" w:bidi="ar-SA"/>
        </w:rPr>
      </w:pPr>
    </w:p>
    <w:p w:rsidR="00F702B4" w:rsidP="00952D67" w:rsidRDefault="00F702B4" w14:paraId="14C4B983" w14:textId="77777777">
      <w:pPr>
        <w:pStyle w:val="Textbody"/>
        <w:suppressAutoHyphens/>
        <w:spacing w:after="0" w:line="240" w:lineRule="auto"/>
        <w:rPr>
          <w:rFonts w:ascii="Times New Roman" w:hAnsi="Times New Roman" w:cs="Times New Roman"/>
        </w:rPr>
      </w:pPr>
    </w:p>
    <w:sectPr w:rsidR="00F702B4" w:rsidSect="000F369C">
      <w:headerReference w:type="first" r:id="rId11"/>
      <w:type w:val="continuous"/>
      <w:pgSz w:w="12240" w:h="15840" w:orient="portrait"/>
      <w:pgMar w:top="1440" w:right="1440" w:bottom="1440" w:left="1440" w:header="27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487" w:rsidRDefault="00983487" w14:paraId="71D91919" w14:textId="77777777">
      <w:pPr>
        <w:spacing w:after="0"/>
      </w:pPr>
      <w:r>
        <w:separator/>
      </w:r>
    </w:p>
  </w:endnote>
  <w:endnote w:type="continuationSeparator" w:id="0">
    <w:p w:rsidR="00983487" w:rsidRDefault="00983487" w14:paraId="3F81DA0E" w14:textId="77777777">
      <w:pPr>
        <w:spacing w:after="0"/>
      </w:pPr>
      <w:r>
        <w:continuationSeparator/>
      </w:r>
    </w:p>
  </w:endnote>
  <w:endnote w:type="continuationNotice" w:id="1">
    <w:p w:rsidR="00983487" w:rsidRDefault="00983487" w14:paraId="0948001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487" w:rsidRDefault="00983487" w14:paraId="4BE884A2" w14:textId="77777777">
      <w:pPr>
        <w:spacing w:after="0"/>
      </w:pPr>
      <w:r>
        <w:separator/>
      </w:r>
    </w:p>
  </w:footnote>
  <w:footnote w:type="continuationSeparator" w:id="0">
    <w:p w:rsidR="00983487" w:rsidRDefault="00983487" w14:paraId="386AA75B" w14:textId="77777777">
      <w:pPr>
        <w:spacing w:after="0"/>
      </w:pPr>
      <w:r>
        <w:continuationSeparator/>
      </w:r>
    </w:p>
  </w:footnote>
  <w:footnote w:type="continuationNotice" w:id="1">
    <w:p w:rsidR="00983487" w:rsidRDefault="00983487" w14:paraId="0108593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B3904" w:rsidR="000F369C" w:rsidP="001445FB" w:rsidRDefault="006874CB" w14:paraId="6E69201B" w14:textId="19A03AB3">
    <w:pPr>
      <w:pStyle w:val="Header"/>
      <w:ind w:left="-540"/>
    </w:pPr>
    <w:r>
      <w:rPr>
        <w:noProof/>
      </w:rPr>
      <w:drawing>
        <wp:inline distT="0" distB="0" distL="0" distR="0" wp14:anchorId="32F89E46" wp14:editId="700F8E4B">
          <wp:extent cx="6635750" cy="1057910"/>
          <wp:effectExtent l="0" t="0" r="0" b="8890"/>
          <wp:docPr id="991405532" name="Picture 991405532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157494" name="Picture 2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7494" cy="1058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1120"/>
    <w:multiLevelType w:val="multilevel"/>
    <w:tmpl w:val="77C0802E"/>
    <w:lvl w:ilvl="0">
      <w:numFmt w:val="bullet"/>
      <w:lvlText w:val=""/>
      <w:lvlJc w:val="left"/>
      <w:pPr>
        <w:ind w:left="1920" w:hanging="360"/>
      </w:pPr>
      <w:rPr>
        <w:rFonts w:ascii="Wingdings" w:hAnsi="Wingdings" w:eastAsia="Times New Roman" w:cs="Times New Roman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1" w15:restartNumberingAfterBreak="0">
    <w:nsid w:val="2A8854C1"/>
    <w:multiLevelType w:val="multilevel"/>
    <w:tmpl w:val="B7306596"/>
    <w:styleLink w:val="WW8Num1"/>
    <w:lvl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86142173">
    <w:abstractNumId w:val="1"/>
  </w:num>
  <w:num w:numId="2" w16cid:durableId="12702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EF"/>
    <w:rsid w:val="000015A1"/>
    <w:rsid w:val="000017F0"/>
    <w:rsid w:val="00001A98"/>
    <w:rsid w:val="000027CA"/>
    <w:rsid w:val="00003AAB"/>
    <w:rsid w:val="00003EF2"/>
    <w:rsid w:val="0002115A"/>
    <w:rsid w:val="00026BA1"/>
    <w:rsid w:val="00026D95"/>
    <w:rsid w:val="00034AC3"/>
    <w:rsid w:val="00035E31"/>
    <w:rsid w:val="00040A12"/>
    <w:rsid w:val="00041FDE"/>
    <w:rsid w:val="00044F7F"/>
    <w:rsid w:val="00066C3B"/>
    <w:rsid w:val="00074524"/>
    <w:rsid w:val="00077B2B"/>
    <w:rsid w:val="00082345"/>
    <w:rsid w:val="00087FAC"/>
    <w:rsid w:val="00090917"/>
    <w:rsid w:val="000A0566"/>
    <w:rsid w:val="000A110E"/>
    <w:rsid w:val="000A2527"/>
    <w:rsid w:val="000A3EE1"/>
    <w:rsid w:val="000A4F64"/>
    <w:rsid w:val="000B398A"/>
    <w:rsid w:val="000B532D"/>
    <w:rsid w:val="000C3479"/>
    <w:rsid w:val="000C38EF"/>
    <w:rsid w:val="000D66D3"/>
    <w:rsid w:val="000E04CB"/>
    <w:rsid w:val="000E2516"/>
    <w:rsid w:val="000E3D49"/>
    <w:rsid w:val="000F0A26"/>
    <w:rsid w:val="000F369C"/>
    <w:rsid w:val="000F60E8"/>
    <w:rsid w:val="000F7932"/>
    <w:rsid w:val="00100D9B"/>
    <w:rsid w:val="001228C3"/>
    <w:rsid w:val="00122F17"/>
    <w:rsid w:val="00123FC0"/>
    <w:rsid w:val="00125FCA"/>
    <w:rsid w:val="0013293B"/>
    <w:rsid w:val="00132FF5"/>
    <w:rsid w:val="0013627F"/>
    <w:rsid w:val="001445FB"/>
    <w:rsid w:val="00144B39"/>
    <w:rsid w:val="00145776"/>
    <w:rsid w:val="00171862"/>
    <w:rsid w:val="001721D7"/>
    <w:rsid w:val="00177357"/>
    <w:rsid w:val="00180B1F"/>
    <w:rsid w:val="00184F6C"/>
    <w:rsid w:val="00186135"/>
    <w:rsid w:val="00187267"/>
    <w:rsid w:val="00193DF0"/>
    <w:rsid w:val="00197700"/>
    <w:rsid w:val="001A217B"/>
    <w:rsid w:val="001A22F0"/>
    <w:rsid w:val="001A379F"/>
    <w:rsid w:val="001A64D9"/>
    <w:rsid w:val="001B0AEF"/>
    <w:rsid w:val="001C3D6B"/>
    <w:rsid w:val="001C4A04"/>
    <w:rsid w:val="001D1706"/>
    <w:rsid w:val="001D18E3"/>
    <w:rsid w:val="001D468B"/>
    <w:rsid w:val="001D6256"/>
    <w:rsid w:val="001D7352"/>
    <w:rsid w:val="001E0A39"/>
    <w:rsid w:val="001E165F"/>
    <w:rsid w:val="001F1141"/>
    <w:rsid w:val="00201735"/>
    <w:rsid w:val="002032C7"/>
    <w:rsid w:val="00204759"/>
    <w:rsid w:val="002078A8"/>
    <w:rsid w:val="00213D55"/>
    <w:rsid w:val="00230DCA"/>
    <w:rsid w:val="00235895"/>
    <w:rsid w:val="00242CBB"/>
    <w:rsid w:val="0025119B"/>
    <w:rsid w:val="00252DCD"/>
    <w:rsid w:val="002571CE"/>
    <w:rsid w:val="00260385"/>
    <w:rsid w:val="00261827"/>
    <w:rsid w:val="00271EC0"/>
    <w:rsid w:val="00286D2A"/>
    <w:rsid w:val="002874AD"/>
    <w:rsid w:val="002928DF"/>
    <w:rsid w:val="002978CE"/>
    <w:rsid w:val="002A0176"/>
    <w:rsid w:val="002A0E98"/>
    <w:rsid w:val="002A3523"/>
    <w:rsid w:val="002A5CBC"/>
    <w:rsid w:val="002B2F2A"/>
    <w:rsid w:val="002B7A61"/>
    <w:rsid w:val="002C1D6F"/>
    <w:rsid w:val="002C3EA5"/>
    <w:rsid w:val="002E32EB"/>
    <w:rsid w:val="003027C7"/>
    <w:rsid w:val="00304BF3"/>
    <w:rsid w:val="00313FD4"/>
    <w:rsid w:val="0032215F"/>
    <w:rsid w:val="00325F31"/>
    <w:rsid w:val="00331844"/>
    <w:rsid w:val="0033224F"/>
    <w:rsid w:val="00335B4D"/>
    <w:rsid w:val="003400CF"/>
    <w:rsid w:val="0035094A"/>
    <w:rsid w:val="00352B5F"/>
    <w:rsid w:val="00362BC9"/>
    <w:rsid w:val="0036528A"/>
    <w:rsid w:val="00370C25"/>
    <w:rsid w:val="00376ED1"/>
    <w:rsid w:val="003801D0"/>
    <w:rsid w:val="00380D6F"/>
    <w:rsid w:val="00382819"/>
    <w:rsid w:val="003862F5"/>
    <w:rsid w:val="003938C6"/>
    <w:rsid w:val="003B0670"/>
    <w:rsid w:val="003B0E2D"/>
    <w:rsid w:val="003B6DF8"/>
    <w:rsid w:val="003C0E8D"/>
    <w:rsid w:val="003C4C7F"/>
    <w:rsid w:val="003C4D20"/>
    <w:rsid w:val="003D4F71"/>
    <w:rsid w:val="003E41DB"/>
    <w:rsid w:val="003F33A5"/>
    <w:rsid w:val="003F3B16"/>
    <w:rsid w:val="00402B39"/>
    <w:rsid w:val="004059E0"/>
    <w:rsid w:val="00421B6E"/>
    <w:rsid w:val="00422721"/>
    <w:rsid w:val="00426550"/>
    <w:rsid w:val="00433746"/>
    <w:rsid w:val="004470B5"/>
    <w:rsid w:val="00447101"/>
    <w:rsid w:val="004474BF"/>
    <w:rsid w:val="00451771"/>
    <w:rsid w:val="00456AD5"/>
    <w:rsid w:val="004606F6"/>
    <w:rsid w:val="00460B17"/>
    <w:rsid w:val="00461060"/>
    <w:rsid w:val="00463C17"/>
    <w:rsid w:val="00465444"/>
    <w:rsid w:val="00467940"/>
    <w:rsid w:val="00475B8E"/>
    <w:rsid w:val="00483DEC"/>
    <w:rsid w:val="0048493E"/>
    <w:rsid w:val="00491CAC"/>
    <w:rsid w:val="0049223E"/>
    <w:rsid w:val="004A0D9E"/>
    <w:rsid w:val="004AE6C1"/>
    <w:rsid w:val="004B7DDE"/>
    <w:rsid w:val="004C43E9"/>
    <w:rsid w:val="004C6E62"/>
    <w:rsid w:val="004E20FC"/>
    <w:rsid w:val="004E4D1B"/>
    <w:rsid w:val="004F10F1"/>
    <w:rsid w:val="004F3C1C"/>
    <w:rsid w:val="004F6992"/>
    <w:rsid w:val="005015FE"/>
    <w:rsid w:val="00505C04"/>
    <w:rsid w:val="0050623E"/>
    <w:rsid w:val="00512DBD"/>
    <w:rsid w:val="0051703A"/>
    <w:rsid w:val="0052273F"/>
    <w:rsid w:val="005249F8"/>
    <w:rsid w:val="00535091"/>
    <w:rsid w:val="00537300"/>
    <w:rsid w:val="0054062F"/>
    <w:rsid w:val="00540BF1"/>
    <w:rsid w:val="00541BC4"/>
    <w:rsid w:val="00542EFF"/>
    <w:rsid w:val="00546068"/>
    <w:rsid w:val="005470A7"/>
    <w:rsid w:val="005652B2"/>
    <w:rsid w:val="00566DB6"/>
    <w:rsid w:val="00567C21"/>
    <w:rsid w:val="0057677A"/>
    <w:rsid w:val="005951D7"/>
    <w:rsid w:val="00596243"/>
    <w:rsid w:val="00596F9A"/>
    <w:rsid w:val="005A2398"/>
    <w:rsid w:val="005A26B4"/>
    <w:rsid w:val="005A2C8B"/>
    <w:rsid w:val="005A60FC"/>
    <w:rsid w:val="005B4BE8"/>
    <w:rsid w:val="005B6C82"/>
    <w:rsid w:val="005C57CD"/>
    <w:rsid w:val="005C5C70"/>
    <w:rsid w:val="005C6644"/>
    <w:rsid w:val="005C6F53"/>
    <w:rsid w:val="005D17BF"/>
    <w:rsid w:val="005D2A9C"/>
    <w:rsid w:val="005D3FCA"/>
    <w:rsid w:val="005D4C4B"/>
    <w:rsid w:val="005E6293"/>
    <w:rsid w:val="005E66B8"/>
    <w:rsid w:val="00601599"/>
    <w:rsid w:val="006121D4"/>
    <w:rsid w:val="00615167"/>
    <w:rsid w:val="006268A1"/>
    <w:rsid w:val="00626F7F"/>
    <w:rsid w:val="00640595"/>
    <w:rsid w:val="00646923"/>
    <w:rsid w:val="00652072"/>
    <w:rsid w:val="00653A35"/>
    <w:rsid w:val="006576E7"/>
    <w:rsid w:val="006606D5"/>
    <w:rsid w:val="0067432A"/>
    <w:rsid w:val="006874CB"/>
    <w:rsid w:val="00687B69"/>
    <w:rsid w:val="00687BF5"/>
    <w:rsid w:val="00695FBC"/>
    <w:rsid w:val="006A27DD"/>
    <w:rsid w:val="006B0D92"/>
    <w:rsid w:val="006B1164"/>
    <w:rsid w:val="006B7026"/>
    <w:rsid w:val="006C19C5"/>
    <w:rsid w:val="006C2EE7"/>
    <w:rsid w:val="006C33D6"/>
    <w:rsid w:val="006C61A0"/>
    <w:rsid w:val="006D2371"/>
    <w:rsid w:val="006D4BF3"/>
    <w:rsid w:val="006E42AD"/>
    <w:rsid w:val="006F1EAA"/>
    <w:rsid w:val="006F51FE"/>
    <w:rsid w:val="006F7224"/>
    <w:rsid w:val="006F7D06"/>
    <w:rsid w:val="00705B2E"/>
    <w:rsid w:val="00713025"/>
    <w:rsid w:val="00714FA3"/>
    <w:rsid w:val="007179BE"/>
    <w:rsid w:val="00722A43"/>
    <w:rsid w:val="00736035"/>
    <w:rsid w:val="007367F7"/>
    <w:rsid w:val="00736C80"/>
    <w:rsid w:val="00740287"/>
    <w:rsid w:val="00740D84"/>
    <w:rsid w:val="00741D79"/>
    <w:rsid w:val="00744318"/>
    <w:rsid w:val="007531BC"/>
    <w:rsid w:val="00755FC5"/>
    <w:rsid w:val="00760FC1"/>
    <w:rsid w:val="00763536"/>
    <w:rsid w:val="007715FF"/>
    <w:rsid w:val="00771AF7"/>
    <w:rsid w:val="00780B06"/>
    <w:rsid w:val="007815D7"/>
    <w:rsid w:val="007822B2"/>
    <w:rsid w:val="00784C16"/>
    <w:rsid w:val="007860FE"/>
    <w:rsid w:val="00790DB8"/>
    <w:rsid w:val="007923AE"/>
    <w:rsid w:val="007A2B99"/>
    <w:rsid w:val="007B1346"/>
    <w:rsid w:val="007B7495"/>
    <w:rsid w:val="007C71E2"/>
    <w:rsid w:val="007D50A4"/>
    <w:rsid w:val="007D5B8C"/>
    <w:rsid w:val="007D648A"/>
    <w:rsid w:val="007E5453"/>
    <w:rsid w:val="007F308D"/>
    <w:rsid w:val="007F3C22"/>
    <w:rsid w:val="007F494A"/>
    <w:rsid w:val="00805312"/>
    <w:rsid w:val="00811FA4"/>
    <w:rsid w:val="00815C4B"/>
    <w:rsid w:val="0081673B"/>
    <w:rsid w:val="00817D1F"/>
    <w:rsid w:val="0083053A"/>
    <w:rsid w:val="008314C7"/>
    <w:rsid w:val="008375B0"/>
    <w:rsid w:val="00841414"/>
    <w:rsid w:val="00851A5E"/>
    <w:rsid w:val="00851CE3"/>
    <w:rsid w:val="008570B8"/>
    <w:rsid w:val="00863FB7"/>
    <w:rsid w:val="008700DC"/>
    <w:rsid w:val="00870F12"/>
    <w:rsid w:val="00872052"/>
    <w:rsid w:val="00873493"/>
    <w:rsid w:val="0087752D"/>
    <w:rsid w:val="0088142E"/>
    <w:rsid w:val="00881FBB"/>
    <w:rsid w:val="0088796C"/>
    <w:rsid w:val="008911B4"/>
    <w:rsid w:val="0089484E"/>
    <w:rsid w:val="008965AE"/>
    <w:rsid w:val="008A062B"/>
    <w:rsid w:val="008A3161"/>
    <w:rsid w:val="008B2264"/>
    <w:rsid w:val="008B33AA"/>
    <w:rsid w:val="008B51D1"/>
    <w:rsid w:val="008C1475"/>
    <w:rsid w:val="008C162D"/>
    <w:rsid w:val="008D6FCA"/>
    <w:rsid w:val="008E209D"/>
    <w:rsid w:val="008E266A"/>
    <w:rsid w:val="008E45A6"/>
    <w:rsid w:val="008F0959"/>
    <w:rsid w:val="008F0971"/>
    <w:rsid w:val="008F13F0"/>
    <w:rsid w:val="008F5275"/>
    <w:rsid w:val="008F695F"/>
    <w:rsid w:val="008F6D3D"/>
    <w:rsid w:val="00900BBC"/>
    <w:rsid w:val="00901A5A"/>
    <w:rsid w:val="00902DBE"/>
    <w:rsid w:val="009043B0"/>
    <w:rsid w:val="00910282"/>
    <w:rsid w:val="0092009E"/>
    <w:rsid w:val="00922DAC"/>
    <w:rsid w:val="009234A1"/>
    <w:rsid w:val="009247D1"/>
    <w:rsid w:val="009259F5"/>
    <w:rsid w:val="00926857"/>
    <w:rsid w:val="009268A0"/>
    <w:rsid w:val="0093157B"/>
    <w:rsid w:val="0093222C"/>
    <w:rsid w:val="0093548A"/>
    <w:rsid w:val="00936D1D"/>
    <w:rsid w:val="00945AE3"/>
    <w:rsid w:val="00947398"/>
    <w:rsid w:val="00952D67"/>
    <w:rsid w:val="0096626A"/>
    <w:rsid w:val="00977177"/>
    <w:rsid w:val="00983487"/>
    <w:rsid w:val="00983905"/>
    <w:rsid w:val="0098450A"/>
    <w:rsid w:val="0098614B"/>
    <w:rsid w:val="009955AB"/>
    <w:rsid w:val="009970AA"/>
    <w:rsid w:val="009A472E"/>
    <w:rsid w:val="009B1BF2"/>
    <w:rsid w:val="009C00F1"/>
    <w:rsid w:val="009C7D18"/>
    <w:rsid w:val="009D10DE"/>
    <w:rsid w:val="009D6271"/>
    <w:rsid w:val="009E073B"/>
    <w:rsid w:val="009E21C4"/>
    <w:rsid w:val="009E304A"/>
    <w:rsid w:val="009E3224"/>
    <w:rsid w:val="009E3E99"/>
    <w:rsid w:val="009E3F89"/>
    <w:rsid w:val="00A026FC"/>
    <w:rsid w:val="00A03DEE"/>
    <w:rsid w:val="00A0433F"/>
    <w:rsid w:val="00A11887"/>
    <w:rsid w:val="00A22776"/>
    <w:rsid w:val="00A24B29"/>
    <w:rsid w:val="00A26232"/>
    <w:rsid w:val="00A269DD"/>
    <w:rsid w:val="00A30269"/>
    <w:rsid w:val="00A351AB"/>
    <w:rsid w:val="00A36295"/>
    <w:rsid w:val="00A443F0"/>
    <w:rsid w:val="00A4776F"/>
    <w:rsid w:val="00A72179"/>
    <w:rsid w:val="00A7384D"/>
    <w:rsid w:val="00A8553A"/>
    <w:rsid w:val="00A86F90"/>
    <w:rsid w:val="00A91F9E"/>
    <w:rsid w:val="00AA1481"/>
    <w:rsid w:val="00AA5388"/>
    <w:rsid w:val="00AA5C0E"/>
    <w:rsid w:val="00AA64F9"/>
    <w:rsid w:val="00AB128B"/>
    <w:rsid w:val="00AB733E"/>
    <w:rsid w:val="00AC0739"/>
    <w:rsid w:val="00AC19F7"/>
    <w:rsid w:val="00AC1E7D"/>
    <w:rsid w:val="00AC7F91"/>
    <w:rsid w:val="00AD7CF3"/>
    <w:rsid w:val="00AE602F"/>
    <w:rsid w:val="00AE6069"/>
    <w:rsid w:val="00AF2E9C"/>
    <w:rsid w:val="00AF6146"/>
    <w:rsid w:val="00AF673E"/>
    <w:rsid w:val="00B00FC2"/>
    <w:rsid w:val="00B02D5D"/>
    <w:rsid w:val="00B04B87"/>
    <w:rsid w:val="00B25088"/>
    <w:rsid w:val="00B30D78"/>
    <w:rsid w:val="00B31817"/>
    <w:rsid w:val="00B37307"/>
    <w:rsid w:val="00B5267E"/>
    <w:rsid w:val="00B5725E"/>
    <w:rsid w:val="00B574F7"/>
    <w:rsid w:val="00B63713"/>
    <w:rsid w:val="00B6588C"/>
    <w:rsid w:val="00B77992"/>
    <w:rsid w:val="00B8031E"/>
    <w:rsid w:val="00B82284"/>
    <w:rsid w:val="00B83A88"/>
    <w:rsid w:val="00B879AD"/>
    <w:rsid w:val="00B95762"/>
    <w:rsid w:val="00BB1675"/>
    <w:rsid w:val="00BB19F5"/>
    <w:rsid w:val="00BB200D"/>
    <w:rsid w:val="00BB2647"/>
    <w:rsid w:val="00BC4CF5"/>
    <w:rsid w:val="00BD3AAC"/>
    <w:rsid w:val="00BD4806"/>
    <w:rsid w:val="00BD4865"/>
    <w:rsid w:val="00BD5F20"/>
    <w:rsid w:val="00BE0BD8"/>
    <w:rsid w:val="00BE45D4"/>
    <w:rsid w:val="00BF408A"/>
    <w:rsid w:val="00BF42EF"/>
    <w:rsid w:val="00BF434B"/>
    <w:rsid w:val="00BF4480"/>
    <w:rsid w:val="00C01DEF"/>
    <w:rsid w:val="00C037F2"/>
    <w:rsid w:val="00C03E0E"/>
    <w:rsid w:val="00C049A1"/>
    <w:rsid w:val="00C04EA4"/>
    <w:rsid w:val="00C05CDA"/>
    <w:rsid w:val="00C1179F"/>
    <w:rsid w:val="00C169F9"/>
    <w:rsid w:val="00C246BB"/>
    <w:rsid w:val="00C416FB"/>
    <w:rsid w:val="00C41EC1"/>
    <w:rsid w:val="00C425D0"/>
    <w:rsid w:val="00C44A89"/>
    <w:rsid w:val="00C466D8"/>
    <w:rsid w:val="00C46AC2"/>
    <w:rsid w:val="00C52DC5"/>
    <w:rsid w:val="00C53E2D"/>
    <w:rsid w:val="00C56EA0"/>
    <w:rsid w:val="00C67823"/>
    <w:rsid w:val="00C67CBD"/>
    <w:rsid w:val="00C70EA5"/>
    <w:rsid w:val="00C72D2D"/>
    <w:rsid w:val="00C73F8D"/>
    <w:rsid w:val="00C76014"/>
    <w:rsid w:val="00C779EA"/>
    <w:rsid w:val="00C77CC5"/>
    <w:rsid w:val="00C801FB"/>
    <w:rsid w:val="00C81494"/>
    <w:rsid w:val="00C81C55"/>
    <w:rsid w:val="00C873FA"/>
    <w:rsid w:val="00CB6405"/>
    <w:rsid w:val="00CB71F9"/>
    <w:rsid w:val="00CB7381"/>
    <w:rsid w:val="00CC37E3"/>
    <w:rsid w:val="00CC3EEF"/>
    <w:rsid w:val="00CC48A4"/>
    <w:rsid w:val="00CC5DC7"/>
    <w:rsid w:val="00CD3322"/>
    <w:rsid w:val="00CD4DE9"/>
    <w:rsid w:val="00CE0675"/>
    <w:rsid w:val="00CF0B38"/>
    <w:rsid w:val="00CF388A"/>
    <w:rsid w:val="00CF553C"/>
    <w:rsid w:val="00D005A3"/>
    <w:rsid w:val="00D177A9"/>
    <w:rsid w:val="00D204E2"/>
    <w:rsid w:val="00D220FA"/>
    <w:rsid w:val="00D244D5"/>
    <w:rsid w:val="00D2798E"/>
    <w:rsid w:val="00D337DA"/>
    <w:rsid w:val="00D33AF9"/>
    <w:rsid w:val="00D41843"/>
    <w:rsid w:val="00D41D87"/>
    <w:rsid w:val="00D46EDB"/>
    <w:rsid w:val="00D52837"/>
    <w:rsid w:val="00D56E21"/>
    <w:rsid w:val="00D57AD8"/>
    <w:rsid w:val="00D661EA"/>
    <w:rsid w:val="00D74E07"/>
    <w:rsid w:val="00D812A2"/>
    <w:rsid w:val="00D85AEA"/>
    <w:rsid w:val="00D873AA"/>
    <w:rsid w:val="00D91886"/>
    <w:rsid w:val="00D94802"/>
    <w:rsid w:val="00D96D80"/>
    <w:rsid w:val="00DB0274"/>
    <w:rsid w:val="00DB044D"/>
    <w:rsid w:val="00DB696B"/>
    <w:rsid w:val="00DC4E7C"/>
    <w:rsid w:val="00DC5F76"/>
    <w:rsid w:val="00DD018A"/>
    <w:rsid w:val="00DD0C71"/>
    <w:rsid w:val="00DD4F2A"/>
    <w:rsid w:val="00DE3A58"/>
    <w:rsid w:val="00DF5040"/>
    <w:rsid w:val="00DF6FBD"/>
    <w:rsid w:val="00DF70E9"/>
    <w:rsid w:val="00E02BCC"/>
    <w:rsid w:val="00E06D6D"/>
    <w:rsid w:val="00E13295"/>
    <w:rsid w:val="00E13667"/>
    <w:rsid w:val="00E1539C"/>
    <w:rsid w:val="00E17887"/>
    <w:rsid w:val="00E24E84"/>
    <w:rsid w:val="00E3118B"/>
    <w:rsid w:val="00E33E10"/>
    <w:rsid w:val="00E40436"/>
    <w:rsid w:val="00E46C92"/>
    <w:rsid w:val="00E47CFA"/>
    <w:rsid w:val="00E54F5A"/>
    <w:rsid w:val="00E6197C"/>
    <w:rsid w:val="00E6590F"/>
    <w:rsid w:val="00E73504"/>
    <w:rsid w:val="00E7606A"/>
    <w:rsid w:val="00E803B3"/>
    <w:rsid w:val="00E83E8C"/>
    <w:rsid w:val="00E844B2"/>
    <w:rsid w:val="00E84F6D"/>
    <w:rsid w:val="00E861B5"/>
    <w:rsid w:val="00E87415"/>
    <w:rsid w:val="00E8777F"/>
    <w:rsid w:val="00E93722"/>
    <w:rsid w:val="00EA1E0E"/>
    <w:rsid w:val="00EB1F2A"/>
    <w:rsid w:val="00EC32A0"/>
    <w:rsid w:val="00EC654E"/>
    <w:rsid w:val="00ED3259"/>
    <w:rsid w:val="00ED5CB4"/>
    <w:rsid w:val="00ED6010"/>
    <w:rsid w:val="00ED7AD0"/>
    <w:rsid w:val="00EE17C8"/>
    <w:rsid w:val="00EE1B40"/>
    <w:rsid w:val="00EE5D44"/>
    <w:rsid w:val="00EE6A0F"/>
    <w:rsid w:val="00EF0479"/>
    <w:rsid w:val="00EF306F"/>
    <w:rsid w:val="00EF7959"/>
    <w:rsid w:val="00F005F8"/>
    <w:rsid w:val="00F03A2E"/>
    <w:rsid w:val="00F2222E"/>
    <w:rsid w:val="00F27670"/>
    <w:rsid w:val="00F33460"/>
    <w:rsid w:val="00F36929"/>
    <w:rsid w:val="00F4014B"/>
    <w:rsid w:val="00F41D39"/>
    <w:rsid w:val="00F44A82"/>
    <w:rsid w:val="00F53241"/>
    <w:rsid w:val="00F534E2"/>
    <w:rsid w:val="00F61514"/>
    <w:rsid w:val="00F702B4"/>
    <w:rsid w:val="00F70FEB"/>
    <w:rsid w:val="00F73A93"/>
    <w:rsid w:val="00F75959"/>
    <w:rsid w:val="00F75A63"/>
    <w:rsid w:val="00F77436"/>
    <w:rsid w:val="00F85C2B"/>
    <w:rsid w:val="00F87522"/>
    <w:rsid w:val="00F90DC8"/>
    <w:rsid w:val="00F95B01"/>
    <w:rsid w:val="00FA04B9"/>
    <w:rsid w:val="00FA51C7"/>
    <w:rsid w:val="00FB3D51"/>
    <w:rsid w:val="00FC0C95"/>
    <w:rsid w:val="00FC5D3A"/>
    <w:rsid w:val="00FD371B"/>
    <w:rsid w:val="00FD6293"/>
    <w:rsid w:val="024B2F62"/>
    <w:rsid w:val="0474513D"/>
    <w:rsid w:val="06127F7E"/>
    <w:rsid w:val="07519254"/>
    <w:rsid w:val="0790F99D"/>
    <w:rsid w:val="07A46A1B"/>
    <w:rsid w:val="0A0FB6C1"/>
    <w:rsid w:val="0A7B5143"/>
    <w:rsid w:val="0ADD39CD"/>
    <w:rsid w:val="0BE0712F"/>
    <w:rsid w:val="0C793CFF"/>
    <w:rsid w:val="0C9EE473"/>
    <w:rsid w:val="0D377D72"/>
    <w:rsid w:val="0F9948FB"/>
    <w:rsid w:val="12927E93"/>
    <w:rsid w:val="13B53746"/>
    <w:rsid w:val="13B7307F"/>
    <w:rsid w:val="13F3A270"/>
    <w:rsid w:val="17518319"/>
    <w:rsid w:val="18ADB960"/>
    <w:rsid w:val="1A6BCD99"/>
    <w:rsid w:val="1B6BAAFC"/>
    <w:rsid w:val="1C857B05"/>
    <w:rsid w:val="1D650331"/>
    <w:rsid w:val="1EA47AAE"/>
    <w:rsid w:val="1ED9978C"/>
    <w:rsid w:val="1F9D67A5"/>
    <w:rsid w:val="1FFB86F1"/>
    <w:rsid w:val="20B833CD"/>
    <w:rsid w:val="24014237"/>
    <w:rsid w:val="242459F5"/>
    <w:rsid w:val="2435C79D"/>
    <w:rsid w:val="25037D7A"/>
    <w:rsid w:val="271B2810"/>
    <w:rsid w:val="27C66744"/>
    <w:rsid w:val="27ED0BD2"/>
    <w:rsid w:val="2AA310E3"/>
    <w:rsid w:val="2B53707E"/>
    <w:rsid w:val="2B79AF6A"/>
    <w:rsid w:val="2C4FE94A"/>
    <w:rsid w:val="2C56750F"/>
    <w:rsid w:val="2E301922"/>
    <w:rsid w:val="301EF41B"/>
    <w:rsid w:val="308CED78"/>
    <w:rsid w:val="31F73768"/>
    <w:rsid w:val="32F1B7F6"/>
    <w:rsid w:val="3448C439"/>
    <w:rsid w:val="34A581C4"/>
    <w:rsid w:val="36122994"/>
    <w:rsid w:val="36E3069F"/>
    <w:rsid w:val="37900C3B"/>
    <w:rsid w:val="3A56B4AB"/>
    <w:rsid w:val="3AA3FDC7"/>
    <w:rsid w:val="3C00CB86"/>
    <w:rsid w:val="3C09825A"/>
    <w:rsid w:val="3CCFB053"/>
    <w:rsid w:val="3F125F32"/>
    <w:rsid w:val="3FA407C5"/>
    <w:rsid w:val="422BAD93"/>
    <w:rsid w:val="423A8B85"/>
    <w:rsid w:val="4353F5EC"/>
    <w:rsid w:val="43A0A790"/>
    <w:rsid w:val="4470ED23"/>
    <w:rsid w:val="465D9D0D"/>
    <w:rsid w:val="49B3C301"/>
    <w:rsid w:val="4A1EF8DC"/>
    <w:rsid w:val="4B3F21D9"/>
    <w:rsid w:val="4D3E08B9"/>
    <w:rsid w:val="4E61270E"/>
    <w:rsid w:val="4ED5468E"/>
    <w:rsid w:val="4EE064DF"/>
    <w:rsid w:val="4F93B9D2"/>
    <w:rsid w:val="4FEDF951"/>
    <w:rsid w:val="5058B8DB"/>
    <w:rsid w:val="50CCD85B"/>
    <w:rsid w:val="50E99725"/>
    <w:rsid w:val="539A0C90"/>
    <w:rsid w:val="5419B003"/>
    <w:rsid w:val="5456869B"/>
    <w:rsid w:val="54B6A8BD"/>
    <w:rsid w:val="5519F20D"/>
    <w:rsid w:val="585D3EFB"/>
    <w:rsid w:val="5963A823"/>
    <w:rsid w:val="5AE22242"/>
    <w:rsid w:val="5B40D906"/>
    <w:rsid w:val="5D8BDA12"/>
    <w:rsid w:val="5DA8CAB2"/>
    <w:rsid w:val="5E11A3A8"/>
    <w:rsid w:val="5EA5DBF1"/>
    <w:rsid w:val="60D8B1BA"/>
    <w:rsid w:val="633A4A72"/>
    <w:rsid w:val="63D24BF9"/>
    <w:rsid w:val="641D3735"/>
    <w:rsid w:val="661D7FD6"/>
    <w:rsid w:val="66A63EC4"/>
    <w:rsid w:val="677CAB75"/>
    <w:rsid w:val="68628C95"/>
    <w:rsid w:val="692E7C0A"/>
    <w:rsid w:val="693CF45A"/>
    <w:rsid w:val="6BFE0E1F"/>
    <w:rsid w:val="6C01A48C"/>
    <w:rsid w:val="6D427DCA"/>
    <w:rsid w:val="6DE9F3C0"/>
    <w:rsid w:val="6F77E349"/>
    <w:rsid w:val="70FC1EE4"/>
    <w:rsid w:val="72327AE6"/>
    <w:rsid w:val="73757F33"/>
    <w:rsid w:val="7563C2B4"/>
    <w:rsid w:val="77885203"/>
    <w:rsid w:val="77E34926"/>
    <w:rsid w:val="78745A41"/>
    <w:rsid w:val="79CE290B"/>
    <w:rsid w:val="7BF3B479"/>
    <w:rsid w:val="7C0A7EF6"/>
    <w:rsid w:val="7C62B392"/>
    <w:rsid w:val="7D8F5209"/>
    <w:rsid w:val="7FBB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F33AE"/>
  <w15:docId w15:val="{806F7C4B-C822-4CA8-A4AC-3DA69544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SimSun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pPr>
      <w:widowControl w:val="0"/>
      <w:suppressAutoHyphens/>
      <w:autoSpaceDE w:val="0"/>
    </w:pPr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EndnoteText">
    <w:name w:val="endnote text"/>
    <w:basedOn w:val="Normal"/>
    <w:pPr>
      <w:tabs>
        <w:tab w:val="left" w:pos="-720"/>
      </w:tabs>
      <w:spacing w:line="240" w:lineRule="atLeast"/>
    </w:pPr>
  </w:style>
  <w:style w:type="paragraph" w:styleId="FootnoteText">
    <w:name w:val="footnote text"/>
    <w:basedOn w:val="Normal"/>
    <w:pPr>
      <w:tabs>
        <w:tab w:val="left" w:pos="-720"/>
      </w:tabs>
      <w:spacing w:line="240" w:lineRule="atLeast"/>
    </w:p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 w:after="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6">
    <w:name w:val="toc 6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" w:customStyle="1">
    <w:name w:val="Index"/>
    <w:basedOn w:val="Standard"/>
    <w:pPr>
      <w:suppressLineNumbers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pacing w:line="240" w:lineRule="atLeast"/>
      <w:ind w:left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pacing w:line="240" w:lineRule="atLeast"/>
    </w:pPr>
  </w:style>
  <w:style w:type="paragraph" w:styleId="Caption">
    <w:name w:val="caption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footnotetex" w:customStyle="1">
    <w:name w:val="footnote tex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uppressAutoHyphens/>
      <w:autoSpaceDE w:val="0"/>
      <w:spacing w:after="0" w:line="240" w:lineRule="atLeast"/>
    </w:pPr>
    <w:rPr>
      <w:rFonts w:ascii="Baskerville Old Face" w:hAnsi="Baskerville Old Face" w:eastAsia="Baskerville Old Face" w:cs="Baskerville Old Face"/>
    </w:rPr>
  </w:style>
  <w:style w:type="paragraph" w:styleId="BalloonText">
    <w:name w:val="Balloon Text"/>
    <w:basedOn w:val="Normal"/>
    <w:pPr>
      <w:tabs>
        <w:tab w:val="left" w:pos="-720"/>
      </w:tabs>
      <w:spacing w:line="240" w:lineRule="atLeast"/>
    </w:pPr>
    <w:rPr>
      <w:rFonts w:ascii="Arial" w:hAnsi="Arial" w:eastAsia="Arial" w:cs="Arial"/>
      <w:sz w:val="16"/>
      <w:szCs w:val="16"/>
    </w:rPr>
  </w:style>
  <w:style w:type="paragraph" w:styleId="List">
    <w:name w:val="List"/>
    <w:basedOn w:val="Textbody"/>
  </w:style>
  <w:style w:type="character" w:styleId="EndnoteReference">
    <w:name w:val="endnote reference"/>
    <w:basedOn w:val="DefaultParagraphFont"/>
    <w:rPr>
      <w:rFonts w:ascii="Times New Roman" w:hAnsi="Times New Roman" w:eastAsia="Times New Roman" w:cs="Times New Roman"/>
      <w:position w:val="0"/>
      <w:sz w:val="24"/>
      <w:szCs w:val="24"/>
      <w:vertAlign w:val="superscript"/>
      <w:lang w:val="en-US"/>
    </w:rPr>
  </w:style>
  <w:style w:type="character" w:styleId="FootnoteReference">
    <w:name w:val="footnote reference"/>
    <w:basedOn w:val="DefaultParagraphFont"/>
    <w:rPr>
      <w:rFonts w:ascii="Times New Roman" w:hAnsi="Times New Roman" w:eastAsia="Times New Roman" w:cs="Times New Roman"/>
      <w:position w:val="0"/>
      <w:sz w:val="24"/>
      <w:szCs w:val="24"/>
      <w:vertAlign w:val="superscript"/>
      <w:lang w:val="en-US"/>
    </w:rPr>
  </w:style>
  <w:style w:type="character" w:styleId="DefaultParagraphFo" w:customStyle="1">
    <w:name w:val="Default Paragraph Fo"/>
    <w:basedOn w:val="DefaultParagraphFont"/>
  </w:style>
  <w:style w:type="character" w:styleId="EquationCaption" w:customStyle="1">
    <w:name w:val="_Equation Caption"/>
    <w:basedOn w:val="DefaultParagraphFont"/>
  </w:style>
  <w:style w:type="character" w:styleId="EquationCaption1" w:customStyle="1">
    <w:name w:val="_Equation Caption1"/>
    <w:basedOn w:val="DefaultParagraphFont"/>
  </w:style>
  <w:style w:type="character" w:styleId="EquationCaption2" w:customStyle="1">
    <w:name w:val="_Equation Caption2"/>
  </w:style>
  <w:style w:type="character" w:styleId="FootnoteSymbol" w:customStyle="1">
    <w:name w:val="Footnote Symbol"/>
  </w:style>
  <w:style w:type="character" w:styleId="EndnoteSymbol" w:customStyle="1">
    <w:name w:val="Endnote Symbol"/>
  </w:style>
  <w:style w:type="character" w:styleId="PageNumber">
    <w:name w:val="page number"/>
    <w:basedOn w:val="DefaultParagraphFont"/>
  </w:style>
  <w:style w:type="character" w:styleId="FooterChar" w:customStyle="1">
    <w:name w:val="Footer Char"/>
    <w:basedOn w:val="DefaultParagraphFont"/>
    <w:rPr>
      <w:rFonts w:ascii="CG Times" w:hAnsi="CG Times" w:eastAsia="CG Times" w:cs="CG Times"/>
      <w:sz w:val="24"/>
      <w:szCs w:val="24"/>
    </w:rPr>
  </w:style>
  <w:style w:type="character" w:styleId="BulletList1" w:customStyle="1">
    <w:name w:val="Bullet List 1"/>
    <w:basedOn w:val="DefaultParagraphFont"/>
  </w:style>
  <w:style w:type="character" w:styleId="DefaultPara" w:customStyle="1">
    <w:name w:val="Default Para"/>
    <w:basedOn w:val="DefaultParagraphFont"/>
  </w:style>
  <w:style w:type="character" w:styleId="endnoterefe" w:customStyle="1">
    <w:name w:val="endnote refe"/>
    <w:basedOn w:val="DefaultParagraphFont"/>
    <w:rPr>
      <w:rFonts w:ascii="Baskerville Old Face" w:hAnsi="Baskerville Old Face" w:eastAsia="Baskerville Old Face" w:cs="Baskerville Old Face"/>
      <w:position w:val="0"/>
      <w:sz w:val="24"/>
      <w:szCs w:val="24"/>
      <w:vertAlign w:val="superscript"/>
      <w:lang w:val="en-US"/>
    </w:rPr>
  </w:style>
  <w:style w:type="character" w:styleId="footnoteref" w:customStyle="1">
    <w:name w:val="footnote ref"/>
    <w:basedOn w:val="DefaultParagraphFont"/>
    <w:rPr>
      <w:rFonts w:ascii="Baskerville Old Face" w:hAnsi="Baskerville Old Face" w:eastAsia="Baskerville Old Face" w:cs="Baskerville Old Face"/>
      <w:position w:val="0"/>
      <w:sz w:val="24"/>
      <w:szCs w:val="24"/>
      <w:vertAlign w:val="superscript"/>
      <w:lang w:val="en-US"/>
    </w:rPr>
  </w:style>
  <w:style w:type="character" w:styleId="EquationCa" w:customStyle="1">
    <w:name w:val="_Equation Ca"/>
    <w:basedOn w:val="DefaultParagraphFont"/>
  </w:style>
  <w:style w:type="character" w:styleId="EquationC1" w:customStyle="1">
    <w:name w:val="_Equation C1"/>
    <w:basedOn w:val="DefaultParagraphFont"/>
  </w:style>
  <w:style w:type="character" w:styleId="HeaderChar" w:customStyle="1">
    <w:name w:val="Header Char"/>
    <w:basedOn w:val="DefaultParagraphFont"/>
    <w:rPr>
      <w:rFonts w:ascii="CG Times" w:hAnsi="CG Times" w:eastAsia="CG Times" w:cs="CG Times"/>
      <w:sz w:val="24"/>
      <w:szCs w:val="24"/>
    </w:rPr>
  </w:style>
  <w:style w:type="character" w:styleId="BalloonTextChar" w:customStyle="1">
    <w:name w:val="Balloon Text Char"/>
    <w:basedOn w:val="DefaultParagraphFont"/>
    <w:rPr>
      <w:rFonts w:ascii="Segoe UI" w:hAnsi="Segoe UI" w:eastAsia="Segoe UI" w:cs="Segoe UI"/>
      <w:sz w:val="18"/>
      <w:szCs w:val="18"/>
    </w:rPr>
  </w:style>
  <w:style w:type="character" w:styleId="FootnoteTextChar" w:customStyle="1">
    <w:name w:val="Footnote Text Char"/>
    <w:basedOn w:val="DefaultParagraphFont"/>
    <w:rPr>
      <w:rFonts w:ascii="CG Times" w:hAnsi="CG Times" w:eastAsia="CG Times" w:cs="CG Times"/>
      <w:sz w:val="20"/>
      <w:szCs w:val="20"/>
    </w:rPr>
  </w:style>
  <w:style w:type="character" w:styleId="EndnoteTextChar" w:customStyle="1">
    <w:name w:val="Endnote Text Char"/>
    <w:basedOn w:val="DefaultParagraphFont"/>
    <w:rPr>
      <w:rFonts w:ascii="CG Times" w:hAnsi="CG Times" w:eastAsia="CG Times" w:cs="CG Times"/>
      <w:sz w:val="20"/>
      <w:szCs w:val="20"/>
    </w:rPr>
  </w:style>
  <w:style w:type="character" w:styleId="Character20style" w:customStyle="1">
    <w:name w:val="Character_20_style"/>
  </w:style>
  <w:style w:type="character" w:styleId="RightPar8" w:customStyle="1">
    <w:name w:val="Right Par 8"/>
    <w:basedOn w:val="DefaultParagraphFont"/>
  </w:style>
  <w:style w:type="paragraph" w:styleId="ListParagraph">
    <w:name w:val="List Paragraph"/>
    <w:basedOn w:val="Normal"/>
    <w:pPr>
      <w:ind w:left="720"/>
    </w:pPr>
    <w:rPr>
      <w:szCs w:val="21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E0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0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54e76-ad1a-4a61-9d01-6950c7b73c29" xsi:nil="true"/>
    <lcf76f155ced4ddcb4097134ff3c332f xmlns="d45d166b-7f7d-4976-ad0a-439624e7f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90ADBEFCB3F4DBF0C3FD76398CB02" ma:contentTypeVersion="17" ma:contentTypeDescription="Create a new document." ma:contentTypeScope="" ma:versionID="ce27dde233fdd10e3b3790d6781984a8">
  <xsd:schema xmlns:xsd="http://www.w3.org/2001/XMLSchema" xmlns:xs="http://www.w3.org/2001/XMLSchema" xmlns:p="http://schemas.microsoft.com/office/2006/metadata/properties" xmlns:ns2="d45d166b-7f7d-4976-ad0a-439624e7f181" xmlns:ns3="c5154e76-ad1a-4a61-9d01-6950c7b73c29" targetNamespace="http://schemas.microsoft.com/office/2006/metadata/properties" ma:root="true" ma:fieldsID="1192d014aa5016295146debac42b1a40" ns2:_="" ns3:_="">
    <xsd:import namespace="d45d166b-7f7d-4976-ad0a-439624e7f181"/>
    <xsd:import namespace="c5154e76-ad1a-4a61-9d01-6950c7b73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d166b-7f7d-4976-ad0a-439624e7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d90d39-96e5-4e00-b2c0-2d982e09e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4e76-ad1a-4a61-9d01-6950c7b7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5d791f-1598-4fa1-b67a-62e272f27b78}" ma:internalName="TaxCatchAll" ma:showField="CatchAllData" ma:web="c5154e76-ad1a-4a61-9d01-6950c7b73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F2737-FE68-41D3-8F40-20E7FB021F61}">
  <ds:schemaRefs>
    <ds:schemaRef ds:uri="http://schemas.microsoft.com/office/2006/metadata/properties"/>
    <ds:schemaRef ds:uri="http://schemas.microsoft.com/office/infopath/2007/PartnerControls"/>
    <ds:schemaRef ds:uri="c5154e76-ad1a-4a61-9d01-6950c7b73c29"/>
    <ds:schemaRef ds:uri="d45d166b-7f7d-4976-ad0a-439624e7f181"/>
  </ds:schemaRefs>
</ds:datastoreItem>
</file>

<file path=customXml/itemProps2.xml><?xml version="1.0" encoding="utf-8"?>
<ds:datastoreItem xmlns:ds="http://schemas.openxmlformats.org/officeDocument/2006/customXml" ds:itemID="{C86D25DF-87B2-4725-8487-A1BB2A795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A71C0-6DA7-4830-87F7-6DFFD0B83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d166b-7f7d-4976-ad0a-439624e7f181"/>
    <ds:schemaRef ds:uri="c5154e76-ad1a-4a61-9d01-6950c7b7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Brian Hogan</dc:creator>
  <lastModifiedBy>Guest User</lastModifiedBy>
  <revision>33</revision>
  <lastPrinted>2024-04-04T15:24:00.0000000Z</lastPrinted>
  <dcterms:created xsi:type="dcterms:W3CDTF">2025-12-17T15:43:00.0000000Z</dcterms:created>
  <dcterms:modified xsi:type="dcterms:W3CDTF">2025-12-22T22:04:20.9554397Z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0x0101001A690ADBEFCB3F4DBF0C3FD76398CB02</vt:lpwstr>
  </property>
  <property fmtid="{D5CDD505-2E9C-101B-9397-08002B2CF9AE}" pid="3" name="MediaServiceImageTags">
    <vt:lpwstr/>
  </property>
</Properties>
</file>