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24D7C"/>
          <w:sz w:val="32"/>
        </w:rPr>
        <w:t>Formato de examen mental — Adultos</w:t>
      </w:r>
    </w:p>
    <w:p>
      <w:r>
        <w:rPr>
          <w:color w:val="24394D"/>
          <w:sz w:val="18"/>
        </w:rPr>
        <w:t>Guía de registro por áreas. Saludtools · Documento gratuito</w:t>
      </w:r>
    </w:p>
    <w:tbl>
      <w:tblPr>
        <w:tblStyle w:val="TableGrid"/>
        <w:tblW w:type="auto" w:w="0"/>
        <w:tblLook w:firstColumn="1" w:firstRow="1" w:lastColumn="0" w:lastRow="0" w:noHBand="0" w:noVBand="1" w:val="04A0"/>
      </w:tblPr>
      <w:tblGrid>
        <w:gridCol w:w="4986"/>
        <w:gridCol w:w="4986"/>
      </w:tblGrid>
      <w:tr>
        <w:tc>
          <w:tcPr>
            <w:tcW w:type="dxa" w:w="4986"/>
          </w:tcPr>
          <w:p>
            <w:r>
              <w:rPr>
                <w:b/>
                <w:sz w:val="18"/>
              </w:rPr>
              <w:t>Nombre del paciente</w:t>
            </w:r>
          </w:p>
        </w:tc>
        <w:tc>
          <w:tcPr>
            <w:tcW w:type="dxa" w:w="4986"/>
          </w:tcPr>
          <w:p>
            <w:r/>
          </w:p>
        </w:tc>
      </w:tr>
      <w:tr>
        <w:tc>
          <w:tcPr>
            <w:tcW w:type="dxa" w:w="4986"/>
          </w:tcPr>
          <w:p>
            <w:r>
              <w:rPr>
                <w:b/>
                <w:sz w:val="18"/>
              </w:rPr>
              <w:t>Documento de identidad</w:t>
            </w:r>
          </w:p>
        </w:tc>
        <w:tc>
          <w:tcPr>
            <w:tcW w:type="dxa" w:w="4986"/>
          </w:tcPr>
          <w:p>
            <w:r/>
          </w:p>
        </w:tc>
      </w:tr>
      <w:tr>
        <w:tc>
          <w:tcPr>
            <w:tcW w:type="dxa" w:w="4986"/>
          </w:tcPr>
          <w:p>
            <w:r>
              <w:rPr>
                <w:b/>
                <w:sz w:val="18"/>
              </w:rPr>
              <w:t>Fecha de nacimiento / edad</w:t>
            </w:r>
          </w:p>
        </w:tc>
        <w:tc>
          <w:tcPr>
            <w:tcW w:type="dxa" w:w="4986"/>
          </w:tcPr>
          <w:p>
            <w:r/>
          </w:p>
        </w:tc>
      </w:tr>
      <w:tr>
        <w:tc>
          <w:tcPr>
            <w:tcW w:type="dxa" w:w="4986"/>
          </w:tcPr>
          <w:p>
            <w:r>
              <w:rPr>
                <w:b/>
                <w:sz w:val="18"/>
              </w:rPr>
              <w:t>Fecha y hora del examen</w:t>
            </w:r>
          </w:p>
        </w:tc>
        <w:tc>
          <w:tcPr>
            <w:tcW w:type="dxa" w:w="4986"/>
          </w:tcPr>
          <w:p>
            <w:r/>
          </w:p>
        </w:tc>
      </w:tr>
      <w:tr>
        <w:tc>
          <w:tcPr>
            <w:tcW w:type="dxa" w:w="4986"/>
          </w:tcPr>
          <w:p>
            <w:r>
              <w:rPr>
                <w:b/>
                <w:sz w:val="18"/>
              </w:rPr>
              <w:t>Profesional que examina</w:t>
            </w:r>
          </w:p>
        </w:tc>
        <w:tc>
          <w:tcPr>
            <w:tcW w:type="dxa" w:w="4986"/>
          </w:tcPr>
          <w:p>
            <w:r/>
          </w:p>
        </w:tc>
      </w:tr>
      <w:tr>
        <w:tc>
          <w:tcPr>
            <w:tcW w:type="dxa" w:w="4986"/>
          </w:tcPr>
          <w:p>
            <w:r>
              <w:rPr>
                <w:b/>
                <w:sz w:val="18"/>
              </w:rPr>
              <w:t>Registro profesional (ReTHUS)</w:t>
            </w:r>
          </w:p>
        </w:tc>
        <w:tc>
          <w:tcPr>
            <w:tcW w:type="dxa" w:w="4986"/>
          </w:tcPr>
          <w:p>
            <w:r/>
          </w:p>
        </w:tc>
      </w:tr>
    </w:tbl>
    <w:p/>
    <w:p>
      <w:r>
        <w:rPr>
          <w:b/>
          <w:color w:val="224D7C"/>
          <w:sz w:val="21"/>
        </w:rPr>
        <w:t>1. Porte, actitud y comportamiento</w:t>
      </w:r>
    </w:p>
    <w:p>
      <w:r>
        <w:rPr>
          <w:i/>
          <w:color w:val="5A6B7F"/>
          <w:sz w:val="17"/>
        </w:rPr>
        <w:t>Apariencia general, higiene y arreglo personal, vestimenta acorde al contexto. Contacto visual. Actitud hacia el examinador (colaboradora, suspicaz, hostil, seductora, indiferente). Actividad motora: normal, inquietud, agitación, enlentecimiento, temblor, tics, manierismos.</w:t>
      </w:r>
    </w:p>
    <w:tbl>
      <w:tblPr>
        <w:tblStyle w:val="TableGrid"/>
        <w:tblW w:type="auto" w:w="0"/>
        <w:tblLook w:firstColumn="1" w:firstRow="1" w:lastColumn="0" w:lastRow="0" w:noHBand="0" w:noVBand="1" w:val="04A0"/>
      </w:tblPr>
      <w:tblGrid>
        <w:gridCol w:w="9972"/>
      </w:tblGrid>
      <w:tr>
        <w:tc>
          <w:tcPr>
            <w:tcW w:type="dxa" w:w="9972"/>
          </w:tcPr>
          <w:p>
            <w:r>
              <w:br/>
            </w:r>
          </w:p>
        </w:tc>
      </w:tr>
    </w:tbl>
    <w:p>
      <w:r>
        <w:rPr>
          <w:b/>
          <w:color w:val="224D7C"/>
          <w:sz w:val="21"/>
        </w:rPr>
        <w:t>2. Estado de conciencia</w:t>
      </w:r>
    </w:p>
    <w:p>
      <w:r>
        <w:rPr>
          <w:i/>
          <w:color w:val="5A6B7F"/>
          <w:sz w:val="17"/>
        </w:rPr>
        <w:t>Alerta · Somnoliento · Obnubilado · Estuporoso · Comatoso. Fluctuaciones durante la entrevista.</w:t>
      </w:r>
    </w:p>
    <w:tbl>
      <w:tblPr>
        <w:tblStyle w:val="TableGrid"/>
        <w:tblW w:type="auto" w:w="0"/>
        <w:tblLook w:firstColumn="1" w:firstRow="1" w:lastColumn="0" w:lastRow="0" w:noHBand="0" w:noVBand="1" w:val="04A0"/>
      </w:tblPr>
      <w:tblGrid>
        <w:gridCol w:w="9972"/>
      </w:tblGrid>
      <w:tr>
        <w:tc>
          <w:tcPr>
            <w:tcW w:type="dxa" w:w="9972"/>
          </w:tcPr>
          <w:p>
            <w:r>
              <w:br/>
            </w:r>
          </w:p>
        </w:tc>
      </w:tr>
    </w:tbl>
    <w:p>
      <w:r>
        <w:rPr>
          <w:b/>
          <w:color w:val="224D7C"/>
          <w:sz w:val="21"/>
        </w:rPr>
        <w:t>3. Orientación</w:t>
      </w:r>
    </w:p>
    <w:p>
      <w:r>
        <w:rPr>
          <w:i/>
          <w:color w:val="5A6B7F"/>
          <w:sz w:val="17"/>
        </w:rPr>
        <w:t>En persona · En tiempo (día, mes, año) · En lugar · En situación. Anotar en cuál falla y cómo.</w:t>
      </w:r>
    </w:p>
    <w:tbl>
      <w:tblPr>
        <w:tblStyle w:val="TableGrid"/>
        <w:tblW w:type="auto" w:w="0"/>
        <w:tblLook w:firstColumn="1" w:firstRow="1" w:lastColumn="0" w:lastRow="0" w:noHBand="0" w:noVBand="1" w:val="04A0"/>
      </w:tblPr>
      <w:tblGrid>
        <w:gridCol w:w="9972"/>
      </w:tblGrid>
      <w:tr>
        <w:tc>
          <w:tcPr>
            <w:tcW w:type="dxa" w:w="9972"/>
          </w:tcPr>
          <w:p>
            <w:r>
              <w:br/>
            </w:r>
          </w:p>
        </w:tc>
      </w:tr>
    </w:tbl>
    <w:p>
      <w:r>
        <w:rPr>
          <w:b/>
          <w:color w:val="224D7C"/>
          <w:sz w:val="21"/>
        </w:rPr>
        <w:t>4. Atención y concentración</w:t>
      </w:r>
    </w:p>
    <w:p>
      <w:r>
        <w:rPr>
          <w:i/>
          <w:color w:val="5A6B7F"/>
          <w:sz w:val="17"/>
        </w:rPr>
        <w:t>Capacidad de sostener y dirigir la atención durante la entrevista. Distraibilidad. Pruebas usadas si aplica (series, repetición de dígitos, deletreo inverso).</w:t>
      </w:r>
    </w:p>
    <w:tbl>
      <w:tblPr>
        <w:tblStyle w:val="TableGrid"/>
        <w:tblW w:type="auto" w:w="0"/>
        <w:tblLook w:firstColumn="1" w:firstRow="1" w:lastColumn="0" w:lastRow="0" w:noHBand="0" w:noVBand="1" w:val="04A0"/>
      </w:tblPr>
      <w:tblGrid>
        <w:gridCol w:w="9972"/>
      </w:tblGrid>
      <w:tr>
        <w:tc>
          <w:tcPr>
            <w:tcW w:type="dxa" w:w="9972"/>
          </w:tcPr>
          <w:p>
            <w:r>
              <w:br/>
            </w:r>
          </w:p>
        </w:tc>
      </w:tr>
    </w:tbl>
    <w:p>
      <w:r>
        <w:rPr>
          <w:b/>
          <w:color w:val="224D7C"/>
          <w:sz w:val="21"/>
        </w:rPr>
        <w:t>5. Memoria</w:t>
      </w:r>
    </w:p>
    <w:p>
      <w:r>
        <w:rPr>
          <w:i/>
          <w:color w:val="5A6B7F"/>
          <w:sz w:val="17"/>
        </w:rPr>
        <w:t>Inmediata (registro) · Reciente (últimas horas o días) · Remota (biográfica). Anotar si hay confabulación o lagunas.</w:t>
      </w:r>
    </w:p>
    <w:tbl>
      <w:tblPr>
        <w:tblStyle w:val="TableGrid"/>
        <w:tblW w:type="auto" w:w="0"/>
        <w:tblLook w:firstColumn="1" w:firstRow="1" w:lastColumn="0" w:lastRow="0" w:noHBand="0" w:noVBand="1" w:val="04A0"/>
      </w:tblPr>
      <w:tblGrid>
        <w:gridCol w:w="9972"/>
      </w:tblGrid>
      <w:tr>
        <w:tc>
          <w:tcPr>
            <w:tcW w:type="dxa" w:w="9972"/>
          </w:tcPr>
          <w:p>
            <w:r>
              <w:br/>
            </w:r>
          </w:p>
        </w:tc>
      </w:tr>
    </w:tbl>
    <w:p>
      <w:r>
        <w:rPr>
          <w:b/>
          <w:color w:val="224D7C"/>
          <w:sz w:val="21"/>
        </w:rPr>
        <w:t>6. Lenguaje</w:t>
      </w:r>
    </w:p>
    <w:p>
      <w:r>
        <w:rPr>
          <w:i/>
          <w:color w:val="5A6B7F"/>
          <w:sz w:val="17"/>
        </w:rPr>
        <w:t>Fluidez, volumen, ritmo y latencia de respuesta. Prosodia. Comprensión. Presencia de disartria, afasia, neologismos o ecolalia.</w:t>
      </w:r>
    </w:p>
    <w:tbl>
      <w:tblPr>
        <w:tblStyle w:val="TableGrid"/>
        <w:tblW w:type="auto" w:w="0"/>
        <w:tblLook w:firstColumn="1" w:firstRow="1" w:lastColumn="0" w:lastRow="0" w:noHBand="0" w:noVBand="1" w:val="04A0"/>
      </w:tblPr>
      <w:tblGrid>
        <w:gridCol w:w="9972"/>
      </w:tblGrid>
      <w:tr>
        <w:tc>
          <w:tcPr>
            <w:tcW w:type="dxa" w:w="9972"/>
          </w:tcPr>
          <w:p>
            <w:r>
              <w:br/>
            </w:r>
          </w:p>
        </w:tc>
      </w:tr>
    </w:tbl>
    <w:p>
      <w:r>
        <w:rPr>
          <w:b/>
          <w:color w:val="224D7C"/>
          <w:sz w:val="21"/>
        </w:rPr>
        <w:t>7. Pensamiento</w:t>
      </w:r>
    </w:p>
    <w:p>
      <w:r>
        <w:rPr>
          <w:i/>
          <w:color w:val="5A6B7F"/>
          <w:sz w:val="17"/>
        </w:rPr>
        <w:t>CURSO: acelerado, enlentecido, fuga de ideas, bloqueo.</w:t>
      </w:r>
    </w:p>
    <w:p>
      <w:r>
        <w:rPr>
          <w:i/>
          <w:color w:val="5A6B7F"/>
          <w:sz w:val="17"/>
        </w:rPr>
        <w:t>FORMA: lógico y coherente, circunstancial, tangencial, disgregado, incoherente.</w:t>
      </w:r>
    </w:p>
    <w:p>
      <w:r>
        <w:rPr>
          <w:i/>
          <w:color w:val="5A6B7F"/>
          <w:sz w:val="17"/>
        </w:rPr>
        <w:t>CONTENIDO: ideas sobrevaloradas, delirantes (tipo y sistematización), obsesivas, fóbicas. Ideación de muerte, suicida u homicida: registrar de forma explícita, con estructuración y planificación.</w:t>
      </w:r>
    </w:p>
    <w:tbl>
      <w:tblPr>
        <w:tblStyle w:val="TableGrid"/>
        <w:tblW w:type="auto" w:w="0"/>
        <w:tblLook w:firstColumn="1" w:firstRow="1" w:lastColumn="0" w:lastRow="0" w:noHBand="0" w:noVBand="1" w:val="04A0"/>
      </w:tblPr>
      <w:tblGrid>
        <w:gridCol w:w="9972"/>
      </w:tblGrid>
      <w:tr>
        <w:tc>
          <w:tcPr>
            <w:tcW w:type="dxa" w:w="9972"/>
          </w:tcPr>
          <w:p>
            <w:r>
              <w:br/>
            </w:r>
          </w:p>
        </w:tc>
      </w:tr>
    </w:tbl>
    <w:p>
      <w:r>
        <w:rPr>
          <w:b/>
          <w:color w:val="224D7C"/>
          <w:sz w:val="21"/>
        </w:rPr>
        <w:t>8. Sensopercepción</w:t>
      </w:r>
    </w:p>
    <w:p>
      <w:r>
        <w:rPr>
          <w:i/>
          <w:color w:val="5A6B7F"/>
          <w:sz w:val="17"/>
        </w:rPr>
        <w:t>Alucinaciones (auditivas, visuales, táctiles, olfativas, gustativas), pseudoalucinaciones, ilusiones, despersonalización, desrealización. Describir contenido y repercusión conductual.</w:t>
      </w:r>
    </w:p>
    <w:tbl>
      <w:tblPr>
        <w:tblStyle w:val="TableGrid"/>
        <w:tblW w:type="auto" w:w="0"/>
        <w:tblLook w:firstColumn="1" w:firstRow="1" w:lastColumn="0" w:lastRow="0" w:noHBand="0" w:noVBand="1" w:val="04A0"/>
      </w:tblPr>
      <w:tblGrid>
        <w:gridCol w:w="9972"/>
      </w:tblGrid>
      <w:tr>
        <w:tc>
          <w:tcPr>
            <w:tcW w:type="dxa" w:w="9972"/>
          </w:tcPr>
          <w:p>
            <w:r>
              <w:br/>
            </w:r>
          </w:p>
        </w:tc>
      </w:tr>
    </w:tbl>
    <w:p>
      <w:r>
        <w:rPr>
          <w:b/>
          <w:color w:val="224D7C"/>
          <w:sz w:val="21"/>
        </w:rPr>
        <w:t>9. Afecto y estado de ánimo</w:t>
      </w:r>
    </w:p>
    <w:p>
      <w:r>
        <w:rPr>
          <w:i/>
          <w:color w:val="5A6B7F"/>
          <w:sz w:val="17"/>
        </w:rPr>
        <w:t>Ánimo referido por el paciente (subjetivo) y afecto observado (objetivo). Rango, intensidad, reactividad, congruencia con el discurso, labilidad, aplanamiento.</w:t>
      </w:r>
    </w:p>
    <w:tbl>
      <w:tblPr>
        <w:tblStyle w:val="TableGrid"/>
        <w:tblW w:type="auto" w:w="0"/>
        <w:tblLook w:firstColumn="1" w:firstRow="1" w:lastColumn="0" w:lastRow="0" w:noHBand="0" w:noVBand="1" w:val="04A0"/>
      </w:tblPr>
      <w:tblGrid>
        <w:gridCol w:w="9972"/>
      </w:tblGrid>
      <w:tr>
        <w:tc>
          <w:tcPr>
            <w:tcW w:type="dxa" w:w="9972"/>
          </w:tcPr>
          <w:p>
            <w:r>
              <w:br/>
            </w:r>
          </w:p>
        </w:tc>
      </w:tr>
    </w:tbl>
    <w:p>
      <w:r>
        <w:rPr>
          <w:b/>
          <w:color w:val="224D7C"/>
          <w:sz w:val="21"/>
        </w:rPr>
        <w:t>10. Funciones cognitivas superiores</w:t>
      </w:r>
    </w:p>
    <w:p>
      <w:r>
        <w:rPr>
          <w:i/>
          <w:color w:val="5A6B7F"/>
          <w:sz w:val="17"/>
        </w:rPr>
        <w:t>Cálculo, abstracción (refranes, semejanzas), capacidad visoconstructiva. Nivel intelectual estimado y su coherencia con la escolaridad.</w:t>
      </w:r>
    </w:p>
    <w:tbl>
      <w:tblPr>
        <w:tblStyle w:val="TableGrid"/>
        <w:tblW w:type="auto" w:w="0"/>
        <w:tblLook w:firstColumn="1" w:firstRow="1" w:lastColumn="0" w:lastRow="0" w:noHBand="0" w:noVBand="1" w:val="04A0"/>
      </w:tblPr>
      <w:tblGrid>
        <w:gridCol w:w="9972"/>
      </w:tblGrid>
      <w:tr>
        <w:tc>
          <w:tcPr>
            <w:tcW w:type="dxa" w:w="9972"/>
          </w:tcPr>
          <w:p>
            <w:r>
              <w:br/>
            </w:r>
          </w:p>
        </w:tc>
      </w:tr>
    </w:tbl>
    <w:p>
      <w:r>
        <w:rPr>
          <w:b/>
          <w:color w:val="224D7C"/>
          <w:sz w:val="21"/>
        </w:rPr>
        <w:t>11. Juicio de realidad</w:t>
      </w:r>
    </w:p>
    <w:p>
      <w:r>
        <w:rPr>
          <w:i/>
          <w:color w:val="5A6B7F"/>
          <w:sz w:val="17"/>
        </w:rPr>
        <w:t>Conservado · Debilitado · Alterado. Capacidad de anticipar consecuencias y tomar decisiones.</w:t>
      </w:r>
    </w:p>
    <w:tbl>
      <w:tblPr>
        <w:tblStyle w:val="TableGrid"/>
        <w:tblW w:type="auto" w:w="0"/>
        <w:tblLook w:firstColumn="1" w:firstRow="1" w:lastColumn="0" w:lastRow="0" w:noHBand="0" w:noVBand="1" w:val="04A0"/>
      </w:tblPr>
      <w:tblGrid>
        <w:gridCol w:w="9972"/>
      </w:tblGrid>
      <w:tr>
        <w:tc>
          <w:tcPr>
            <w:tcW w:type="dxa" w:w="9972"/>
          </w:tcPr>
          <w:p>
            <w:r>
              <w:br/>
            </w:r>
          </w:p>
        </w:tc>
      </w:tr>
    </w:tbl>
    <w:p>
      <w:r>
        <w:rPr>
          <w:b/>
          <w:color w:val="224D7C"/>
          <w:sz w:val="21"/>
        </w:rPr>
        <w:t>12. Introspección (insight)</w:t>
      </w:r>
    </w:p>
    <w:p>
      <w:r>
        <w:rPr>
          <w:i/>
          <w:color w:val="5A6B7F"/>
          <w:sz w:val="17"/>
        </w:rPr>
        <w:t>Nula · Parcial · Adecuada. Reconocimiento del malestar y de la necesidad de tratamiento.</w:t>
      </w:r>
    </w:p>
    <w:tbl>
      <w:tblPr>
        <w:tblStyle w:val="TableGrid"/>
        <w:tblW w:type="auto" w:w="0"/>
        <w:tblLook w:firstColumn="1" w:firstRow="1" w:lastColumn="0" w:lastRow="0" w:noHBand="0" w:noVBand="1" w:val="04A0"/>
      </w:tblPr>
      <w:tblGrid>
        <w:gridCol w:w="9972"/>
      </w:tblGrid>
      <w:tr>
        <w:tc>
          <w:tcPr>
            <w:tcW w:type="dxa" w:w="9972"/>
          </w:tcPr>
          <w:p>
            <w:r>
              <w:br/>
            </w:r>
          </w:p>
        </w:tc>
      </w:tr>
    </w:tbl>
    <w:p>
      <w:r>
        <w:rPr>
          <w:b/>
          <w:color w:val="224D7C"/>
          <w:sz w:val="21"/>
        </w:rPr>
        <w:t>13. Valoración del riesgo</w:t>
      </w:r>
    </w:p>
    <w:p>
      <w:r>
        <w:rPr>
          <w:i/>
          <w:color w:val="5A6B7F"/>
          <w:sz w:val="17"/>
        </w:rPr>
        <w:t>Riesgo de autoagresión y de heteroagresión. Factores de riesgo y factores protectores. Conducta adoptada ante el riesgo detectado.</w:t>
      </w:r>
    </w:p>
    <w:tbl>
      <w:tblPr>
        <w:tblStyle w:val="TableGrid"/>
        <w:tblW w:type="auto" w:w="0"/>
        <w:tblLook w:firstColumn="1" w:firstRow="1" w:lastColumn="0" w:lastRow="0" w:noHBand="0" w:noVBand="1" w:val="04A0"/>
      </w:tblPr>
      <w:tblGrid>
        <w:gridCol w:w="9972"/>
      </w:tblGrid>
      <w:tr>
        <w:tc>
          <w:tcPr>
            <w:tcW w:type="dxa" w:w="9972"/>
          </w:tcPr>
          <w:p>
            <w:r>
              <w:br/>
            </w:r>
          </w:p>
        </w:tc>
      </w:tr>
    </w:tbl>
    <w:p>
      <w:r>
        <w:rPr>
          <w:b/>
          <w:color w:val="224D7C"/>
          <w:sz w:val="21"/>
        </w:rPr>
        <w:t>14. Impresión diagnóstica y plan</w:t>
      </w:r>
    </w:p>
    <w:p>
      <w:r>
        <w:rPr>
          <w:i/>
          <w:color w:val="5A6B7F"/>
          <w:sz w:val="17"/>
        </w:rPr>
        <w:t>Impresión diagnóstica (CIE-11). Conducta, remisiones y fecha de próximo control.</w:t>
      </w:r>
    </w:p>
    <w:tbl>
      <w:tblPr>
        <w:tblStyle w:val="TableGrid"/>
        <w:tblW w:type="auto" w:w="0"/>
        <w:tblLook w:firstColumn="1" w:firstRow="1" w:lastColumn="0" w:lastRow="0" w:noHBand="0" w:noVBand="1" w:val="04A0"/>
      </w:tblPr>
      <w:tblGrid>
        <w:gridCol w:w="9972"/>
      </w:tblGrid>
      <w:tr>
        <w:tc>
          <w:tcPr>
            <w:tcW w:type="dxa" w:w="9972"/>
          </w:tcPr>
          <w:p>
            <w:r>
              <w:br/>
            </w:r>
          </w:p>
        </w:tc>
      </w:tr>
    </w:tbl>
    <w:p/>
    <w:p>
      <w:r>
        <w:rPr>
          <w:i/>
          <w:color w:val="8A95A6"/>
          <w:sz w:val="15"/>
        </w:rPr>
        <w:t>Este formato es una guía orientativa de registro clínico. No sustituye el criterio profesional ni constituye un instrumento psicométrico. La historia clínica debe cumplir la Resolución 1995 de 1999, modificada por la Resolución 839 de 2017, en cuanto a integridad, trazabilidad y custodia.</w:t>
      </w:r>
    </w:p>
    <w:p>
      <w:r>
        <w:br w:type="page"/>
      </w:r>
    </w:p>
    <w:p>
      <w:r>
        <w:rPr>
          <w:b/>
          <w:color w:val="224D7C"/>
          <w:sz w:val="32"/>
        </w:rPr>
        <w:t>Formato de examen mental — Niños y adolescentes</w:t>
      </w:r>
    </w:p>
    <w:p>
      <w:r>
        <w:rPr>
          <w:color w:val="24394D"/>
          <w:sz w:val="18"/>
        </w:rPr>
        <w:t>Guía de registro por áreas, adaptada al desarrollo. Saludtools · Documento gratuito</w:t>
      </w:r>
    </w:p>
    <w:tbl>
      <w:tblPr>
        <w:tblStyle w:val="TableGrid"/>
        <w:tblW w:type="auto" w:w="0"/>
        <w:tblLook w:firstColumn="1" w:firstRow="1" w:lastColumn="0" w:lastRow="0" w:noHBand="0" w:noVBand="1" w:val="04A0"/>
      </w:tblPr>
      <w:tblGrid>
        <w:gridCol w:w="4986"/>
        <w:gridCol w:w="4986"/>
      </w:tblGrid>
      <w:tr>
        <w:tc>
          <w:tcPr>
            <w:tcW w:type="dxa" w:w="4986"/>
          </w:tcPr>
          <w:p>
            <w:r>
              <w:rPr>
                <w:b/>
                <w:sz w:val="18"/>
              </w:rPr>
              <w:t>Nombre del paciente</w:t>
            </w:r>
          </w:p>
        </w:tc>
        <w:tc>
          <w:tcPr>
            <w:tcW w:type="dxa" w:w="4986"/>
          </w:tcPr>
          <w:p>
            <w:r/>
          </w:p>
        </w:tc>
      </w:tr>
      <w:tr>
        <w:tc>
          <w:tcPr>
            <w:tcW w:type="dxa" w:w="4986"/>
          </w:tcPr>
          <w:p>
            <w:r>
              <w:rPr>
                <w:b/>
                <w:sz w:val="18"/>
              </w:rPr>
              <w:t>Documento de identidad</w:t>
            </w:r>
          </w:p>
        </w:tc>
        <w:tc>
          <w:tcPr>
            <w:tcW w:type="dxa" w:w="4986"/>
          </w:tcPr>
          <w:p>
            <w:r/>
          </w:p>
        </w:tc>
      </w:tr>
      <w:tr>
        <w:tc>
          <w:tcPr>
            <w:tcW w:type="dxa" w:w="4986"/>
          </w:tcPr>
          <w:p>
            <w:r>
              <w:rPr>
                <w:b/>
                <w:sz w:val="18"/>
              </w:rPr>
              <w:t>Fecha de nacimiento / edad</w:t>
            </w:r>
          </w:p>
        </w:tc>
        <w:tc>
          <w:tcPr>
            <w:tcW w:type="dxa" w:w="4986"/>
          </w:tcPr>
          <w:p>
            <w:r/>
          </w:p>
        </w:tc>
      </w:tr>
      <w:tr>
        <w:tc>
          <w:tcPr>
            <w:tcW w:type="dxa" w:w="4986"/>
          </w:tcPr>
          <w:p>
            <w:r>
              <w:rPr>
                <w:b/>
                <w:sz w:val="18"/>
              </w:rPr>
              <w:t>Curso o grado escolar</w:t>
            </w:r>
          </w:p>
        </w:tc>
        <w:tc>
          <w:tcPr>
            <w:tcW w:type="dxa" w:w="4986"/>
          </w:tcPr>
          <w:p>
            <w:r/>
          </w:p>
        </w:tc>
      </w:tr>
      <w:tr>
        <w:tc>
          <w:tcPr>
            <w:tcW w:type="dxa" w:w="4986"/>
          </w:tcPr>
          <w:p>
            <w:r>
              <w:rPr>
                <w:b/>
                <w:sz w:val="18"/>
              </w:rPr>
              <w:t>Acudiente presente y parentesco</w:t>
            </w:r>
          </w:p>
        </w:tc>
        <w:tc>
          <w:tcPr>
            <w:tcW w:type="dxa" w:w="4986"/>
          </w:tcPr>
          <w:p>
            <w:r/>
          </w:p>
        </w:tc>
      </w:tr>
      <w:tr>
        <w:tc>
          <w:tcPr>
            <w:tcW w:type="dxa" w:w="4986"/>
          </w:tcPr>
          <w:p>
            <w:r>
              <w:rPr>
                <w:b/>
                <w:sz w:val="18"/>
              </w:rPr>
              <w:t>Fecha y hora del examen</w:t>
            </w:r>
          </w:p>
        </w:tc>
        <w:tc>
          <w:tcPr>
            <w:tcW w:type="dxa" w:w="4986"/>
          </w:tcPr>
          <w:p>
            <w:r/>
          </w:p>
        </w:tc>
      </w:tr>
      <w:tr>
        <w:tc>
          <w:tcPr>
            <w:tcW w:type="dxa" w:w="4986"/>
          </w:tcPr>
          <w:p>
            <w:r>
              <w:rPr>
                <w:b/>
                <w:sz w:val="18"/>
              </w:rPr>
              <w:t>Profesional que examina</w:t>
            </w:r>
          </w:p>
        </w:tc>
        <w:tc>
          <w:tcPr>
            <w:tcW w:type="dxa" w:w="4986"/>
          </w:tcPr>
          <w:p>
            <w:r/>
          </w:p>
        </w:tc>
      </w:tr>
      <w:tr>
        <w:tc>
          <w:tcPr>
            <w:tcW w:type="dxa" w:w="4986"/>
          </w:tcPr>
          <w:p>
            <w:r>
              <w:rPr>
                <w:b/>
                <w:sz w:val="18"/>
              </w:rPr>
              <w:t>Registro profesional (ReTHUS)</w:t>
            </w:r>
          </w:p>
        </w:tc>
        <w:tc>
          <w:tcPr>
            <w:tcW w:type="dxa" w:w="4986"/>
          </w:tcPr>
          <w:p>
            <w:r/>
          </w:p>
        </w:tc>
      </w:tr>
    </w:tbl>
    <w:p/>
    <w:p>
      <w:r>
        <w:rPr>
          <w:b/>
          <w:color w:val="224D7C"/>
          <w:sz w:val="21"/>
        </w:rPr>
        <w:t>1. Apariencia, porte y comportamiento</w:t>
      </w:r>
    </w:p>
    <w:p>
      <w:r>
        <w:rPr>
          <w:i/>
          <w:color w:val="5A6B7F"/>
          <w:sz w:val="17"/>
        </w:rPr>
        <w:t>Apariencia y cuidado acorde a la edad. Contacto visual. Separación del acudiente. Actividad motora y nivel de inquietud para su etapa del desarrollo. Conducta durante el juego.</w:t>
      </w:r>
    </w:p>
    <w:tbl>
      <w:tblPr>
        <w:tblStyle w:val="TableGrid"/>
        <w:tblW w:type="auto" w:w="0"/>
        <w:tblLook w:firstColumn="1" w:firstRow="1" w:lastColumn="0" w:lastRow="0" w:noHBand="0" w:noVBand="1" w:val="04A0"/>
      </w:tblPr>
      <w:tblGrid>
        <w:gridCol w:w="9972"/>
      </w:tblGrid>
      <w:tr>
        <w:tc>
          <w:tcPr>
            <w:tcW w:type="dxa" w:w="9972"/>
          </w:tcPr>
          <w:p>
            <w:r>
              <w:br/>
            </w:r>
          </w:p>
        </w:tc>
      </w:tr>
    </w:tbl>
    <w:p>
      <w:r>
        <w:rPr>
          <w:b/>
          <w:color w:val="224D7C"/>
          <w:sz w:val="21"/>
        </w:rPr>
        <w:t>2. Estado de conciencia y alerta</w:t>
      </w:r>
    </w:p>
    <w:p>
      <w:r>
        <w:rPr>
          <w:i/>
          <w:color w:val="5A6B7F"/>
          <w:sz w:val="17"/>
        </w:rPr>
        <w:t>Alerta · Somnoliento · Fluctuante. Adecuación al horario y a la edad.</w:t>
      </w:r>
    </w:p>
    <w:tbl>
      <w:tblPr>
        <w:tblStyle w:val="TableGrid"/>
        <w:tblW w:type="auto" w:w="0"/>
        <w:tblLook w:firstColumn="1" w:firstRow="1" w:lastColumn="0" w:lastRow="0" w:noHBand="0" w:noVBand="1" w:val="04A0"/>
      </w:tblPr>
      <w:tblGrid>
        <w:gridCol w:w="9972"/>
      </w:tblGrid>
      <w:tr>
        <w:tc>
          <w:tcPr>
            <w:tcW w:type="dxa" w:w="9972"/>
          </w:tcPr>
          <w:p>
            <w:r>
              <w:br/>
            </w:r>
          </w:p>
        </w:tc>
      </w:tr>
    </w:tbl>
    <w:p>
      <w:r>
        <w:rPr>
          <w:b/>
          <w:color w:val="224D7C"/>
          <w:sz w:val="21"/>
        </w:rPr>
        <w:t>3. Orientación (según edad esperable)</w:t>
      </w:r>
    </w:p>
    <w:p>
      <w:r>
        <w:rPr>
          <w:i/>
          <w:color w:val="5A6B7F"/>
          <w:sz w:val="17"/>
        </w:rPr>
        <w:t>En persona, tiempo y lugar, evaluada de acuerdo con lo esperado para su edad y escolaridad.</w:t>
      </w:r>
    </w:p>
    <w:tbl>
      <w:tblPr>
        <w:tblStyle w:val="TableGrid"/>
        <w:tblW w:type="auto" w:w="0"/>
        <w:tblLook w:firstColumn="1" w:firstRow="1" w:lastColumn="0" w:lastRow="0" w:noHBand="0" w:noVBand="1" w:val="04A0"/>
      </w:tblPr>
      <w:tblGrid>
        <w:gridCol w:w="9972"/>
      </w:tblGrid>
      <w:tr>
        <w:tc>
          <w:tcPr>
            <w:tcW w:type="dxa" w:w="9972"/>
          </w:tcPr>
          <w:p>
            <w:r>
              <w:br/>
            </w:r>
          </w:p>
        </w:tc>
      </w:tr>
    </w:tbl>
    <w:p>
      <w:r>
        <w:rPr>
          <w:b/>
          <w:color w:val="224D7C"/>
          <w:sz w:val="21"/>
        </w:rPr>
        <w:t>4. Atención y concentración</w:t>
      </w:r>
    </w:p>
    <w:p>
      <w:r>
        <w:rPr>
          <w:i/>
          <w:color w:val="5A6B7F"/>
          <w:sz w:val="17"/>
        </w:rPr>
        <w:t>Tiempo de permanencia en una actividad. Distraibilidad frente a estímulos. Diferencias entre el juego libre y la tarea dirigida.</w:t>
      </w:r>
    </w:p>
    <w:tbl>
      <w:tblPr>
        <w:tblStyle w:val="TableGrid"/>
        <w:tblW w:type="auto" w:w="0"/>
        <w:tblLook w:firstColumn="1" w:firstRow="1" w:lastColumn="0" w:lastRow="0" w:noHBand="0" w:noVBand="1" w:val="04A0"/>
      </w:tblPr>
      <w:tblGrid>
        <w:gridCol w:w="9972"/>
      </w:tblGrid>
      <w:tr>
        <w:tc>
          <w:tcPr>
            <w:tcW w:type="dxa" w:w="9972"/>
          </w:tcPr>
          <w:p>
            <w:r>
              <w:br/>
            </w:r>
          </w:p>
        </w:tc>
      </w:tr>
    </w:tbl>
    <w:p>
      <w:r>
        <w:rPr>
          <w:b/>
          <w:color w:val="224D7C"/>
          <w:sz w:val="21"/>
        </w:rPr>
        <w:t>5. Lenguaje y comunicación</w:t>
      </w:r>
    </w:p>
    <w:p>
      <w:r>
        <w:rPr>
          <w:i/>
          <w:color w:val="5A6B7F"/>
          <w:sz w:val="17"/>
        </w:rPr>
        <w:t>Nivel de lenguaje expresivo y comprensivo frente a lo esperado para la edad. Articulación. Uso social del lenguaje, intención comunicativa y juego simbólico.</w:t>
      </w:r>
    </w:p>
    <w:tbl>
      <w:tblPr>
        <w:tblStyle w:val="TableGrid"/>
        <w:tblW w:type="auto" w:w="0"/>
        <w:tblLook w:firstColumn="1" w:firstRow="1" w:lastColumn="0" w:lastRow="0" w:noHBand="0" w:noVBand="1" w:val="04A0"/>
      </w:tblPr>
      <w:tblGrid>
        <w:gridCol w:w="9972"/>
      </w:tblGrid>
      <w:tr>
        <w:tc>
          <w:tcPr>
            <w:tcW w:type="dxa" w:w="9972"/>
          </w:tcPr>
          <w:p>
            <w:r>
              <w:br/>
            </w:r>
          </w:p>
        </w:tc>
      </w:tr>
    </w:tbl>
    <w:p>
      <w:r>
        <w:rPr>
          <w:b/>
          <w:color w:val="224D7C"/>
          <w:sz w:val="21"/>
        </w:rPr>
        <w:t>6. Desarrollo psicomotor</w:t>
      </w:r>
    </w:p>
    <w:p>
      <w:r>
        <w:rPr>
          <w:i/>
          <w:color w:val="5A6B7F"/>
          <w:sz w:val="17"/>
        </w:rPr>
        <w:t>Motricidad gruesa y fina. Lateralidad. Coordinación. Hitos alcanzados o pendientes.</w:t>
      </w:r>
    </w:p>
    <w:tbl>
      <w:tblPr>
        <w:tblStyle w:val="TableGrid"/>
        <w:tblW w:type="auto" w:w="0"/>
        <w:tblLook w:firstColumn="1" w:firstRow="1" w:lastColumn="0" w:lastRow="0" w:noHBand="0" w:noVBand="1" w:val="04A0"/>
      </w:tblPr>
      <w:tblGrid>
        <w:gridCol w:w="9972"/>
      </w:tblGrid>
      <w:tr>
        <w:tc>
          <w:tcPr>
            <w:tcW w:type="dxa" w:w="9972"/>
          </w:tcPr>
          <w:p>
            <w:r>
              <w:br/>
            </w:r>
          </w:p>
        </w:tc>
      </w:tr>
    </w:tbl>
    <w:p>
      <w:r>
        <w:rPr>
          <w:b/>
          <w:color w:val="224D7C"/>
          <w:sz w:val="21"/>
        </w:rPr>
        <w:t>7. Pensamiento e imaginación</w:t>
      </w:r>
    </w:p>
    <w:p>
      <w:r>
        <w:rPr>
          <w:i/>
          <w:color w:val="5A6B7F"/>
          <w:sz w:val="17"/>
        </w:rPr>
        <w:t>Curso y contenido acordes a la edad. Diferenciación entre fantasía y realidad según el momento evolutivo. Preocupaciones, miedos, ideas de muerte o autolesión: registrar explícitamente.</w:t>
      </w:r>
    </w:p>
    <w:tbl>
      <w:tblPr>
        <w:tblStyle w:val="TableGrid"/>
        <w:tblW w:type="auto" w:w="0"/>
        <w:tblLook w:firstColumn="1" w:firstRow="1" w:lastColumn="0" w:lastRow="0" w:noHBand="0" w:noVBand="1" w:val="04A0"/>
      </w:tblPr>
      <w:tblGrid>
        <w:gridCol w:w="9972"/>
      </w:tblGrid>
      <w:tr>
        <w:tc>
          <w:tcPr>
            <w:tcW w:type="dxa" w:w="9972"/>
          </w:tcPr>
          <w:p>
            <w:r>
              <w:br/>
            </w:r>
          </w:p>
        </w:tc>
      </w:tr>
    </w:tbl>
    <w:p>
      <w:r>
        <w:rPr>
          <w:b/>
          <w:color w:val="224D7C"/>
          <w:sz w:val="21"/>
        </w:rPr>
        <w:t>8. Sensopercepción</w:t>
      </w:r>
    </w:p>
    <w:p>
      <w:r>
        <w:rPr>
          <w:i/>
          <w:color w:val="5A6B7F"/>
          <w:sz w:val="17"/>
        </w:rPr>
        <w:t>Distinguir fenómenos propios del desarrollo (amigo imaginario, fantasía) de alucinaciones. Describir contenido y repercusión.</w:t>
      </w:r>
    </w:p>
    <w:tbl>
      <w:tblPr>
        <w:tblStyle w:val="TableGrid"/>
        <w:tblW w:type="auto" w:w="0"/>
        <w:tblLook w:firstColumn="1" w:firstRow="1" w:lastColumn="0" w:lastRow="0" w:noHBand="0" w:noVBand="1" w:val="04A0"/>
      </w:tblPr>
      <w:tblGrid>
        <w:gridCol w:w="9972"/>
      </w:tblGrid>
      <w:tr>
        <w:tc>
          <w:tcPr>
            <w:tcW w:type="dxa" w:w="9972"/>
          </w:tcPr>
          <w:p>
            <w:r>
              <w:br/>
            </w:r>
          </w:p>
        </w:tc>
      </w:tr>
    </w:tbl>
    <w:p>
      <w:r>
        <w:rPr>
          <w:b/>
          <w:color w:val="224D7C"/>
          <w:sz w:val="21"/>
        </w:rPr>
        <w:t>9. Afecto y regulación emocional</w:t>
      </w:r>
    </w:p>
    <w:p>
      <w:r>
        <w:rPr>
          <w:i/>
          <w:color w:val="5A6B7F"/>
          <w:sz w:val="17"/>
        </w:rPr>
        <w:t>Ánimo predominante, expresividad, reactividad. Capacidad de autorregulación. Rabietas, llanto, irritabilidad, retraimiento.</w:t>
      </w:r>
    </w:p>
    <w:tbl>
      <w:tblPr>
        <w:tblStyle w:val="TableGrid"/>
        <w:tblW w:type="auto" w:w="0"/>
        <w:tblLook w:firstColumn="1" w:firstRow="1" w:lastColumn="0" w:lastRow="0" w:noHBand="0" w:noVBand="1" w:val="04A0"/>
      </w:tblPr>
      <w:tblGrid>
        <w:gridCol w:w="9972"/>
      </w:tblGrid>
      <w:tr>
        <w:tc>
          <w:tcPr>
            <w:tcW w:type="dxa" w:w="9972"/>
          </w:tcPr>
          <w:p>
            <w:r>
              <w:br/>
            </w:r>
          </w:p>
        </w:tc>
      </w:tr>
    </w:tbl>
    <w:p>
      <w:r>
        <w:rPr>
          <w:b/>
          <w:color w:val="224D7C"/>
          <w:sz w:val="21"/>
        </w:rPr>
        <w:t>10. Vínculo y relación con el acudiente</w:t>
      </w:r>
    </w:p>
    <w:p>
      <w:r>
        <w:rPr>
          <w:i/>
          <w:color w:val="5A6B7F"/>
          <w:sz w:val="17"/>
        </w:rPr>
        <w:t>Calidad de la interacción observada. Búsqueda de contacto, respuesta al límite, coherencia entre lo que reporta el acudiente y lo observado.</w:t>
      </w:r>
    </w:p>
    <w:tbl>
      <w:tblPr>
        <w:tblStyle w:val="TableGrid"/>
        <w:tblW w:type="auto" w:w="0"/>
        <w:tblLook w:firstColumn="1" w:firstRow="1" w:lastColumn="0" w:lastRow="0" w:noHBand="0" w:noVBand="1" w:val="04A0"/>
      </w:tblPr>
      <w:tblGrid>
        <w:gridCol w:w="9972"/>
      </w:tblGrid>
      <w:tr>
        <w:tc>
          <w:tcPr>
            <w:tcW w:type="dxa" w:w="9972"/>
          </w:tcPr>
          <w:p>
            <w:r>
              <w:br/>
            </w:r>
          </w:p>
        </w:tc>
      </w:tr>
    </w:tbl>
    <w:p>
      <w:r>
        <w:rPr>
          <w:b/>
          <w:color w:val="224D7C"/>
          <w:sz w:val="21"/>
        </w:rPr>
        <w:t>11. Funcionamiento escolar y social</w:t>
      </w:r>
    </w:p>
    <w:p>
      <w:r>
        <w:rPr>
          <w:i/>
          <w:color w:val="5A6B7F"/>
          <w:sz w:val="17"/>
        </w:rPr>
        <w:t>Rendimiento, adaptación a normas, relación con pares y con figuras de autoridad. Reportes del colegio si están disponibles.</w:t>
      </w:r>
    </w:p>
    <w:tbl>
      <w:tblPr>
        <w:tblStyle w:val="TableGrid"/>
        <w:tblW w:type="auto" w:w="0"/>
        <w:tblLook w:firstColumn="1" w:firstRow="1" w:lastColumn="0" w:lastRow="0" w:noHBand="0" w:noVBand="1" w:val="04A0"/>
      </w:tblPr>
      <w:tblGrid>
        <w:gridCol w:w="9972"/>
      </w:tblGrid>
      <w:tr>
        <w:tc>
          <w:tcPr>
            <w:tcW w:type="dxa" w:w="9972"/>
          </w:tcPr>
          <w:p>
            <w:r>
              <w:br/>
            </w:r>
          </w:p>
        </w:tc>
      </w:tr>
    </w:tbl>
    <w:p>
      <w:r>
        <w:rPr>
          <w:b/>
          <w:color w:val="224D7C"/>
          <w:sz w:val="21"/>
        </w:rPr>
        <w:t>12. Juicio e introspección (según edad)</w:t>
      </w:r>
    </w:p>
    <w:p>
      <w:r>
        <w:rPr>
          <w:i/>
          <w:color w:val="5A6B7F"/>
          <w:sz w:val="17"/>
        </w:rPr>
        <w:t>Comprensión del motivo de consulta y de las consecuencias de sus actos, según su etapa.</w:t>
      </w:r>
    </w:p>
    <w:tbl>
      <w:tblPr>
        <w:tblStyle w:val="TableGrid"/>
        <w:tblW w:type="auto" w:w="0"/>
        <w:tblLook w:firstColumn="1" w:firstRow="1" w:lastColumn="0" w:lastRow="0" w:noHBand="0" w:noVBand="1" w:val="04A0"/>
      </w:tblPr>
      <w:tblGrid>
        <w:gridCol w:w="9972"/>
      </w:tblGrid>
      <w:tr>
        <w:tc>
          <w:tcPr>
            <w:tcW w:type="dxa" w:w="9972"/>
          </w:tcPr>
          <w:p>
            <w:r>
              <w:br/>
            </w:r>
          </w:p>
        </w:tc>
      </w:tr>
    </w:tbl>
    <w:p>
      <w:r>
        <w:rPr>
          <w:b/>
          <w:color w:val="224D7C"/>
          <w:sz w:val="21"/>
        </w:rPr>
        <w:t>13. Valoración del riesgo</w:t>
      </w:r>
    </w:p>
    <w:p>
      <w:r>
        <w:rPr>
          <w:i/>
          <w:color w:val="5A6B7F"/>
          <w:sz w:val="17"/>
        </w:rPr>
        <w:t>Riesgo de autoagresión y heteroagresión. Señales de maltrato, negligencia o abuso: si se detectan, activar la ruta de protección correspondiente. Factores protectores.</w:t>
      </w:r>
    </w:p>
    <w:tbl>
      <w:tblPr>
        <w:tblStyle w:val="TableGrid"/>
        <w:tblW w:type="auto" w:w="0"/>
        <w:tblLook w:firstColumn="1" w:firstRow="1" w:lastColumn="0" w:lastRow="0" w:noHBand="0" w:noVBand="1" w:val="04A0"/>
      </w:tblPr>
      <w:tblGrid>
        <w:gridCol w:w="9972"/>
      </w:tblGrid>
      <w:tr>
        <w:tc>
          <w:tcPr>
            <w:tcW w:type="dxa" w:w="9972"/>
          </w:tcPr>
          <w:p>
            <w:r>
              <w:br/>
            </w:r>
          </w:p>
        </w:tc>
      </w:tr>
    </w:tbl>
    <w:p>
      <w:r>
        <w:rPr>
          <w:b/>
          <w:color w:val="224D7C"/>
          <w:sz w:val="21"/>
        </w:rPr>
        <w:t>14. Impresión diagnóstica y plan</w:t>
      </w:r>
    </w:p>
    <w:p>
      <w:r>
        <w:rPr>
          <w:i/>
          <w:color w:val="5A6B7F"/>
          <w:sz w:val="17"/>
        </w:rPr>
        <w:t>Impresión diagnóstica (CIE-11). Conducta, remisiones, recomendaciones al acudiente y al colegio, y fecha de próximo control.</w:t>
      </w:r>
    </w:p>
    <w:tbl>
      <w:tblPr>
        <w:tblStyle w:val="TableGrid"/>
        <w:tblW w:type="auto" w:w="0"/>
        <w:tblLook w:firstColumn="1" w:firstRow="1" w:lastColumn="0" w:lastRow="0" w:noHBand="0" w:noVBand="1" w:val="04A0"/>
      </w:tblPr>
      <w:tblGrid>
        <w:gridCol w:w="9972"/>
      </w:tblGrid>
      <w:tr>
        <w:tc>
          <w:tcPr>
            <w:tcW w:type="dxa" w:w="9972"/>
          </w:tcPr>
          <w:p>
            <w:r>
              <w:br/>
            </w:r>
          </w:p>
        </w:tc>
      </w:tr>
    </w:tbl>
    <w:p/>
    <w:p>
      <w:r>
        <w:rPr>
          <w:i/>
          <w:color w:val="8A95A6"/>
          <w:sz w:val="15"/>
        </w:rPr>
        <w:t>Este formato es una guía orientativa de registro clínico. No sustituye el criterio profesional ni constituye un instrumento psicométrico. La historia clínica debe cumplir la Resolución 1995 de 1999, modificada por la Resolución 839 de 2017, en cuanto a integridad, trazabilidad y custodia.</w:t>
      </w:r>
    </w:p>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