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24D7C"/>
          <w:sz w:val="32"/>
        </w:rPr>
        <w:t>Checklist de telepsicología</w:t>
      </w:r>
    </w:p>
    <w:p>
      <w:r>
        <w:rPr>
          <w:color w:val="24394D"/>
          <w:sz w:val="18"/>
        </w:rPr>
        <w:t>Qué debes tener listo bajo la Resolución 1644 de 2026. Saludtools · Documento gratuito</w:t>
      </w:r>
    </w:p>
    <w:p>
      <w:r>
        <w:rPr>
          <w:b/>
          <w:color w:val="224D7C"/>
          <w:sz w:val="22"/>
        </w:rPr>
        <w:t>1. Habilitación y marco del servicio</w:t>
      </w:r>
    </w:p>
    <w:p>
      <w:pPr>
        <w:pStyle w:val="ListBullet"/>
      </w:pPr>
      <w:r>
        <w:rPr>
          <w:sz w:val="19"/>
        </w:rPr>
        <w:t>El servicio de telemedicina está inscrito y habilitado en el REPS, no solo el servicio presencial.</w:t>
      </w:r>
    </w:p>
    <w:p>
      <w:pPr>
        <w:pStyle w:val="ListBullet"/>
      </w:pPr>
      <w:r>
        <w:rPr>
          <w:sz w:val="19"/>
        </w:rPr>
        <w:t>Tarjeta profesional vigente y registro en ReTHUS del profesional que atiende.</w:t>
      </w:r>
    </w:p>
    <w:p>
      <w:pPr>
        <w:pStyle w:val="ListBullet"/>
      </w:pPr>
      <w:r>
        <w:rPr>
          <w:sz w:val="19"/>
        </w:rPr>
        <w:t>Se tiene identificada la modalidad que se presta: teleconsulta, telexperticia, teleconcepto o telemonitoreo.</w:t>
      </w:r>
    </w:p>
    <w:p>
      <w:pPr>
        <w:pStyle w:val="ListBullet"/>
      </w:pPr>
      <w:r>
        <w:rPr>
          <w:sz w:val="19"/>
        </w:rPr>
        <w:t>Si ya se prestaba telemedicina antes del 31 de julio de 2026, está contado el plazo de doce meses de transición.</w:t>
      </w:r>
    </w:p>
    <w:p>
      <w:r>
        <w:rPr>
          <w:b/>
          <w:color w:val="224D7C"/>
          <w:sz w:val="22"/>
        </w:rPr>
        <w:t>2. Plataforma de atención</w:t>
      </w:r>
    </w:p>
    <w:p>
      <w:pPr>
        <w:pStyle w:val="ListBullet"/>
      </w:pPr>
      <w:r>
        <w:rPr>
          <w:sz w:val="19"/>
        </w:rPr>
        <w:t>La atención NO se presta por WhatsApp ni por redes sociales: la norma señala que no cumplen los estándares exigidos.</w:t>
      </w:r>
    </w:p>
    <w:p>
      <w:pPr>
        <w:pStyle w:val="ListBullet"/>
      </w:pPr>
      <w:r>
        <w:rPr>
          <w:sz w:val="19"/>
        </w:rPr>
        <w:t>La plataforma usada permite el intercambio seguro de datos clínicos.</w:t>
      </w:r>
    </w:p>
    <w:p>
      <w:pPr>
        <w:pStyle w:val="ListBullet"/>
      </w:pPr>
      <w:r>
        <w:rPr>
          <w:sz w:val="19"/>
        </w:rPr>
        <w:t>La plataforma puede comunicarse con la historia clínica electrónica para dejar constancia de la atención.</w:t>
      </w:r>
    </w:p>
    <w:p>
      <w:pPr>
        <w:pStyle w:val="ListBullet"/>
      </w:pPr>
      <w:r>
        <w:rPr>
          <w:sz w:val="19"/>
        </w:rPr>
        <w:t>Existe un plan de contingencia escrito para fallas técnicas durante la sesión.</w:t>
      </w:r>
    </w:p>
    <w:p>
      <w:r>
        <w:rPr>
          <w:b/>
          <w:color w:val="224D7C"/>
          <w:sz w:val="22"/>
        </w:rPr>
        <w:t>3. Registro de la atención</w:t>
      </w:r>
    </w:p>
    <w:p>
      <w:pPr>
        <w:pStyle w:val="ListBullet"/>
      </w:pPr>
      <w:r>
        <w:rPr>
          <w:sz w:val="19"/>
        </w:rPr>
        <w:t>Cada sesión queda registrada en la historia clínica electrónica, no en notas sueltas ni en el chat.</w:t>
      </w:r>
    </w:p>
    <w:p>
      <w:pPr>
        <w:pStyle w:val="ListBullet"/>
      </w:pPr>
      <w:r>
        <w:rPr>
          <w:sz w:val="19"/>
        </w:rPr>
        <w:t>El registro deja constancia de la modalidad utilizada y de las decisiones adoptadas.</w:t>
      </w:r>
    </w:p>
    <w:p>
      <w:pPr>
        <w:pStyle w:val="ListBullet"/>
      </w:pPr>
      <w:r>
        <w:rPr>
          <w:sz w:val="19"/>
        </w:rPr>
        <w:t>Cada entrada tiene fecha, hora y autor identificable (Resolución 1995 de 1999, modificada por la 839 de 2017).</w:t>
      </w:r>
    </w:p>
    <w:p>
      <w:pPr>
        <w:pStyle w:val="ListBullet"/>
      </w:pPr>
      <w:r>
        <w:rPr>
          <w:sz w:val="19"/>
        </w:rPr>
        <w:t>Si se formula medicación, se verifica que la modalidad lo permita: telemonitoreo queda excluido de la prescripción.</w:t>
      </w:r>
    </w:p>
    <w:p>
      <w:r>
        <w:rPr>
          <w:b/>
          <w:color w:val="224D7C"/>
          <w:sz w:val="22"/>
        </w:rPr>
        <w:t>4. Consentimiento informado</w:t>
      </w:r>
    </w:p>
    <w:p>
      <w:pPr>
        <w:pStyle w:val="ListBullet"/>
      </w:pPr>
      <w:r>
        <w:rPr>
          <w:sz w:val="19"/>
        </w:rPr>
        <w:t>El consentimiento contempla de forma expresa la atención a distancia y sus limitaciones.</w:t>
      </w:r>
    </w:p>
    <w:p>
      <w:pPr>
        <w:pStyle w:val="ListBullet"/>
      </w:pPr>
      <w:r>
        <w:rPr>
          <w:sz w:val="19"/>
        </w:rPr>
        <w:t>Se informa qué pasa si la conexión falla y cómo se retoma el contacto.</w:t>
      </w:r>
    </w:p>
    <w:p>
      <w:pPr>
        <w:pStyle w:val="ListBullet"/>
      </w:pPr>
      <w:r>
        <w:rPr>
          <w:sz w:val="19"/>
        </w:rPr>
        <w:t>Se informa el manejo de datos personales y la política de grabación, si aplica (Ley 1581 de 2012).</w:t>
      </w:r>
    </w:p>
    <w:p>
      <w:pPr>
        <w:pStyle w:val="ListBullet"/>
      </w:pPr>
      <w:r>
        <w:rPr>
          <w:sz w:val="19"/>
        </w:rPr>
        <w:t>En menores de edad, consta quién autoriza y la presencia o no del acudiente durante la sesión.</w:t>
      </w:r>
    </w:p>
    <w:p>
      <w:r>
        <w:rPr>
          <w:b/>
          <w:color w:val="224D7C"/>
          <w:sz w:val="22"/>
        </w:rPr>
        <w:t>5. Encuadre propio de la telepsicología</w:t>
      </w:r>
    </w:p>
    <w:p>
      <w:pPr>
        <w:pStyle w:val="ListBullet"/>
      </w:pPr>
      <w:r>
        <w:rPr>
          <w:sz w:val="19"/>
        </w:rPr>
        <w:t>Se verifica la identidad del paciente al inicio de cada sesión.</w:t>
      </w:r>
    </w:p>
    <w:p>
      <w:pPr>
        <w:pStyle w:val="ListBullet"/>
      </w:pPr>
      <w:r>
        <w:rPr>
          <w:sz w:val="19"/>
        </w:rPr>
        <w:t>Se acuerda que el paciente esté en un espacio privado y se pregunta si hay terceros presentes.</w:t>
      </w:r>
    </w:p>
    <w:p>
      <w:pPr>
        <w:pStyle w:val="ListBullet"/>
      </w:pPr>
      <w:r>
        <w:rPr>
          <w:sz w:val="19"/>
        </w:rPr>
        <w:t>El profesional atiende desde un espacio que garantiza la confidencialidad.</w:t>
      </w:r>
    </w:p>
    <w:p>
      <w:pPr>
        <w:pStyle w:val="ListBullet"/>
      </w:pPr>
      <w:r>
        <w:rPr>
          <w:sz w:val="19"/>
        </w:rPr>
        <w:t>Se registra la ubicación del paciente durante la sesión, para poder activar ayuda si es necesario.</w:t>
      </w:r>
    </w:p>
    <w:p>
      <w:r>
        <w:rPr>
          <w:b/>
          <w:color w:val="224D7C"/>
          <w:sz w:val="22"/>
        </w:rPr>
        <w:t>6. Manejo del riesgo a distancia</w:t>
      </w:r>
    </w:p>
    <w:p>
      <w:pPr>
        <w:pStyle w:val="ListBullet"/>
      </w:pPr>
      <w:r>
        <w:rPr>
          <w:sz w:val="19"/>
        </w:rPr>
        <w:t>Existe un protocolo escrito para riesgo suicida o crisis durante una sesión virtual.</w:t>
      </w:r>
    </w:p>
    <w:p>
      <w:pPr>
        <w:pStyle w:val="ListBullet"/>
      </w:pPr>
      <w:r>
        <w:rPr>
          <w:sz w:val="19"/>
        </w:rPr>
        <w:t>Se cuenta con un contacto de emergencia autorizado por el paciente antes de iniciar el proceso.</w:t>
      </w:r>
    </w:p>
    <w:p>
      <w:pPr>
        <w:pStyle w:val="ListBullet"/>
      </w:pPr>
      <w:r>
        <w:rPr>
          <w:sz w:val="19"/>
        </w:rPr>
        <w:t>Están identificadas las rutas de atención locales según la ciudad donde se encuentra el paciente.</w:t>
      </w:r>
    </w:p>
    <w:p>
      <w:pPr>
        <w:pStyle w:val="ListBullet"/>
      </w:pPr>
      <w:r>
        <w:rPr>
          <w:sz w:val="19"/>
        </w:rPr>
        <w:t>Se tiene definido en qué casos la atención a distancia no es apropiada y debe pasar a presencial.</w:t>
      </w:r>
    </w:p>
    <w:p>
      <w:r>
        <w:rPr>
          <w:b/>
          <w:color w:val="224D7C"/>
          <w:sz w:val="22"/>
        </w:rPr>
        <w:t>7. Protección de datos y seguridad</w:t>
      </w:r>
    </w:p>
    <w:p>
      <w:pPr>
        <w:pStyle w:val="ListBullet"/>
      </w:pPr>
      <w:r>
        <w:rPr>
          <w:sz w:val="19"/>
        </w:rPr>
        <w:t>Política de tratamiento de datos personales disponible y comunicada (Ley 1581 de 2012).</w:t>
      </w:r>
    </w:p>
    <w:p>
      <w:pPr>
        <w:pStyle w:val="ListBullet"/>
      </w:pPr>
      <w:r>
        <w:rPr>
          <w:sz w:val="19"/>
        </w:rPr>
        <w:t>Control de acceso a la historia clínica: solo el personal autorizado.</w:t>
      </w:r>
    </w:p>
    <w:p>
      <w:pPr>
        <w:pStyle w:val="ListBullet"/>
      </w:pPr>
      <w:r>
        <w:rPr>
          <w:sz w:val="19"/>
        </w:rPr>
        <w:t>Respaldo de la información y custodia conforme a la norma de historia clínica.</w:t>
      </w:r>
    </w:p>
    <w:p>
      <w:pPr>
        <w:pStyle w:val="ListBullet"/>
      </w:pPr>
      <w:r>
        <w:rPr>
          <w:sz w:val="19"/>
        </w:rPr>
        <w:t>Talento humano capacitado en el uso de las herramientas y en seguridad de la información.</w:t>
      </w:r>
    </w:p>
    <w:p/>
    <w:p>
      <w:r>
        <w:rPr>
          <w:i/>
          <w:color w:val="8A95A6"/>
          <w:sz w:val="15"/>
        </w:rPr>
        <w:t>Checklist orientativo elaborado a partir de la Resolución 1644 de 2026 del Ministerio de Salud y Protección Social, que derogó la Resolución 2654 de 2019, y de la normativa de historia clínica y protección de datos vigente en Colombia. No sustituye la lectura del texto oficial de la norma ni la asesoría jurídica. Verifica siempre la versión vigente en la fuente oficial.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