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24D7C"/>
          <w:sz w:val="32"/>
        </w:rPr>
        <w:t>Checklist de la historia clínica psicológica</w:t>
      </w:r>
    </w:p>
    <w:p>
      <w:r>
        <w:rPr>
          <w:color w:val="24394D"/>
          <w:sz w:val="18"/>
        </w:rPr>
        <w:t>Qué debe contener y qué exige la norma en Colombia. Saludtools · Documento gratuito</w:t>
      </w:r>
    </w:p>
    <w:p>
      <w:r>
        <w:rPr>
          <w:b/>
          <w:color w:val="224D7C"/>
          <w:sz w:val="22"/>
        </w:rPr>
        <w:t>1. Apertura e identificación</w:t>
      </w:r>
    </w:p>
    <w:p>
      <w:pPr>
        <w:pStyle w:val="ListBullet"/>
      </w:pPr>
      <w:r>
        <w:rPr>
          <w:sz w:val="19"/>
        </w:rPr>
        <w:t>Número consecutivo de historia clínica, sin saltos ni repeticiones.</w:t>
      </w:r>
    </w:p>
    <w:p>
      <w:pPr>
        <w:pStyle w:val="ListBullet"/>
      </w:pPr>
      <w:r>
        <w:rPr>
          <w:sz w:val="19"/>
        </w:rPr>
        <w:t>Identificación completa del usuario: nombres, documento, fecha de nacimiento, dirección y teléfono.</w:t>
      </w:r>
    </w:p>
    <w:p>
      <w:pPr>
        <w:pStyle w:val="ListBullet"/>
      </w:pPr>
      <w:r>
        <w:rPr>
          <w:sz w:val="19"/>
        </w:rPr>
        <w:t>En menores de edad, identificación del acudiente o representante legal y su parentesco.</w:t>
      </w:r>
    </w:p>
    <w:p>
      <w:pPr>
        <w:pStyle w:val="ListBullet"/>
      </w:pPr>
      <w:r>
        <w:rPr>
          <w:sz w:val="19"/>
        </w:rPr>
        <w:t>Fecha de apertura de la historia.</w:t>
      </w:r>
    </w:p>
    <w:p>
      <w:r>
        <w:rPr>
          <w:b/>
          <w:color w:val="224D7C"/>
          <w:sz w:val="22"/>
        </w:rPr>
        <w:t>2. Contenido de cada atención</w:t>
      </w:r>
    </w:p>
    <w:p>
      <w:pPr>
        <w:pStyle w:val="ListBullet"/>
      </w:pPr>
      <w:r>
        <w:rPr>
          <w:sz w:val="19"/>
        </w:rPr>
        <w:t>Fecha y hora de cada atención registrada.</w:t>
      </w:r>
    </w:p>
    <w:p>
      <w:pPr>
        <w:pStyle w:val="ListBullet"/>
      </w:pPr>
      <w:r>
        <w:rPr>
          <w:sz w:val="19"/>
        </w:rPr>
        <w:t>Motivo de consulta y enfermedad actual o motivo de la sesión.</w:t>
      </w:r>
    </w:p>
    <w:p>
      <w:pPr>
        <w:pStyle w:val="ListBullet"/>
      </w:pPr>
      <w:r>
        <w:rPr>
          <w:sz w:val="19"/>
        </w:rPr>
        <w:t>Evolución de cada sesión, con lo observado y lo intervenido.</w:t>
      </w:r>
    </w:p>
    <w:p>
      <w:pPr>
        <w:pStyle w:val="ListBullet"/>
      </w:pPr>
      <w:r>
        <w:rPr>
          <w:sz w:val="19"/>
        </w:rPr>
        <w:t>Impresión diagnóstica codificada en CIE-11 (Resolución 1442 de 2024).</w:t>
      </w:r>
    </w:p>
    <w:p>
      <w:pPr>
        <w:pStyle w:val="ListBullet"/>
      </w:pPr>
      <w:r>
        <w:rPr>
          <w:sz w:val="19"/>
        </w:rPr>
        <w:t>Plan de intervención y objetivos terapéuticos.</w:t>
      </w:r>
    </w:p>
    <w:p>
      <w:pPr>
        <w:pStyle w:val="ListBullet"/>
      </w:pPr>
      <w:r>
        <w:rPr>
          <w:sz w:val="19"/>
        </w:rPr>
        <w:t>Identificación y firma del profesional, con su registro en ReTHUS.</w:t>
      </w:r>
    </w:p>
    <w:p>
      <w:r>
        <w:rPr>
          <w:b/>
          <w:color w:val="224D7C"/>
          <w:sz w:val="22"/>
        </w:rPr>
        <w:t>3. Las características que exige la Resolución 1995 de 1999</w:t>
      </w:r>
    </w:p>
    <w:p>
      <w:pPr>
        <w:pStyle w:val="ListBullet"/>
      </w:pPr>
      <w:r>
        <w:rPr>
          <w:sz w:val="19"/>
        </w:rPr>
        <w:t>INTEGRALIDAD: reúne los aspectos científicos, técnicos y administrativos de la atención.</w:t>
      </w:r>
    </w:p>
    <w:p>
      <w:pPr>
        <w:pStyle w:val="ListBullet"/>
      </w:pPr>
      <w:r>
        <w:rPr>
          <w:sz w:val="19"/>
        </w:rPr>
        <w:t>SECUENCIALIDAD: los registros van en la secuencia cronológica en que ocurrió la atención.</w:t>
      </w:r>
    </w:p>
    <w:p>
      <w:pPr>
        <w:pStyle w:val="ListBullet"/>
      </w:pPr>
      <w:r>
        <w:rPr>
          <w:sz w:val="19"/>
        </w:rPr>
        <w:t>RACIONALIDAD CIENTÍFICA: se registra el sustento de las decisiones tomadas.</w:t>
      </w:r>
    </w:p>
    <w:p>
      <w:pPr>
        <w:pStyle w:val="ListBullet"/>
      </w:pPr>
      <w:r>
        <w:rPr>
          <w:sz w:val="19"/>
        </w:rPr>
        <w:t>DISPONIBILIDAD: se puede consultar cuando se necesita.</w:t>
      </w:r>
    </w:p>
    <w:p>
      <w:pPr>
        <w:pStyle w:val="ListBullet"/>
      </w:pPr>
      <w:r>
        <w:rPr>
          <w:sz w:val="19"/>
        </w:rPr>
        <w:t>OPORTUNIDAD: se diligencia simultáneamente o inmediatamente después de la atención.</w:t>
      </w:r>
    </w:p>
    <w:p>
      <w:pPr>
        <w:pStyle w:val="ListBullet"/>
      </w:pPr>
      <w:r>
        <w:rPr>
          <w:sz w:val="19"/>
        </w:rPr>
        <w:t>Sin tachones, sin enmendaduras y sin intercalaciones.</w:t>
      </w:r>
    </w:p>
    <w:p>
      <w:pPr>
        <w:pStyle w:val="ListBullet"/>
      </w:pPr>
      <w:r>
        <w:rPr>
          <w:sz w:val="19"/>
        </w:rPr>
        <w:t>Sin espacios en blanco y sin siglas.</w:t>
      </w:r>
    </w:p>
    <w:p>
      <w:pPr>
        <w:pStyle w:val="ListBullet"/>
      </w:pPr>
      <w:r>
        <w:rPr>
          <w:sz w:val="19"/>
        </w:rPr>
        <w:t>Letra clara y legible.</w:t>
      </w:r>
    </w:p>
    <w:p>
      <w:r>
        <w:rPr>
          <w:b/>
          <w:color w:val="224D7C"/>
          <w:sz w:val="22"/>
        </w:rPr>
        <w:t>4. Anexos y autorizaciones</w:t>
      </w:r>
    </w:p>
    <w:p>
      <w:pPr>
        <w:pStyle w:val="ListBullet"/>
      </w:pPr>
      <w:r>
        <w:rPr>
          <w:sz w:val="19"/>
        </w:rPr>
        <w:t>Consentimiento informado firmado, que contemple la modalidad de atención.</w:t>
      </w:r>
    </w:p>
    <w:p>
      <w:pPr>
        <w:pStyle w:val="ListBullet"/>
      </w:pPr>
      <w:r>
        <w:rPr>
          <w:sz w:val="19"/>
        </w:rPr>
        <w:t>Autorización expresa del titular o acudiente para entregar información a terceros.</w:t>
      </w:r>
    </w:p>
    <w:p>
      <w:pPr>
        <w:pStyle w:val="ListBullet"/>
      </w:pPr>
      <w:r>
        <w:rPr>
          <w:sz w:val="19"/>
        </w:rPr>
        <w:t>Resultados e informes anexados y referenciados desde la evolución.</w:t>
      </w:r>
    </w:p>
    <w:p>
      <w:pPr>
        <w:pStyle w:val="ListBullet"/>
      </w:pPr>
      <w:r>
        <w:rPr>
          <w:sz w:val="19"/>
        </w:rPr>
        <w:t>Registro de las remisiones realizadas.</w:t>
      </w:r>
    </w:p>
    <w:p>
      <w:r>
        <w:rPr>
          <w:b/>
          <w:color w:val="224D7C"/>
          <w:sz w:val="22"/>
        </w:rPr>
        <w:t>5. Custodia, acceso y conservación</w:t>
      </w:r>
    </w:p>
    <w:p>
      <w:pPr>
        <w:pStyle w:val="ListBullet"/>
      </w:pPr>
      <w:r>
        <w:rPr>
          <w:sz w:val="19"/>
        </w:rPr>
        <w:t>Retención mínima de QUINCE (15) AÑOS desde la fecha de la última atención (Resolución 839 de 2017).</w:t>
      </w:r>
    </w:p>
    <w:p>
      <w:pPr>
        <w:pStyle w:val="ListBullet"/>
      </w:pPr>
      <w:r>
        <w:rPr>
          <w:sz w:val="19"/>
        </w:rPr>
        <w:t>Los primeros cinco (5) años en archivo de gestión; los diez (10) siguientes en archivo central.</w:t>
      </w:r>
    </w:p>
    <w:p>
      <w:pPr>
        <w:pStyle w:val="ListBullet"/>
      </w:pPr>
      <w:r>
        <w:rPr>
          <w:sz w:val="19"/>
        </w:rPr>
        <w:t>En historias asociadas a violaciones de derechos humanos, el plazo se duplica.</w:t>
      </w:r>
    </w:p>
    <w:p>
      <w:pPr>
        <w:pStyle w:val="ListBullet"/>
      </w:pPr>
      <w:r>
        <w:rPr>
          <w:sz w:val="19"/>
        </w:rPr>
        <w:t>Acceso restringido al personal autorizado, con control de quién consulta.</w:t>
      </w:r>
    </w:p>
    <w:p>
      <w:pPr>
        <w:pStyle w:val="ListBullet"/>
      </w:pPr>
      <w:r>
        <w:rPr>
          <w:sz w:val="19"/>
        </w:rPr>
        <w:t>Condiciones de seguridad del archivo frente a pérdida, deterioro o acceso indebido.</w:t>
      </w:r>
    </w:p>
    <w:p>
      <w:r>
        <w:rPr>
          <w:b/>
          <w:color w:val="224D7C"/>
          <w:sz w:val="22"/>
        </w:rPr>
        <w:t>6. Lo específico de la psicología</w:t>
      </w:r>
    </w:p>
    <w:p>
      <w:pPr>
        <w:pStyle w:val="ListBullet"/>
      </w:pPr>
      <w:r>
        <w:rPr>
          <w:sz w:val="19"/>
        </w:rPr>
        <w:t>Secreto profesional protegido conforme a la Ley 1090 de 2006 y sus excepciones legales.</w:t>
      </w:r>
    </w:p>
    <w:p>
      <w:pPr>
        <w:pStyle w:val="ListBullet"/>
      </w:pPr>
      <w:r>
        <w:rPr>
          <w:sz w:val="19"/>
        </w:rPr>
        <w:t>Criterio de pertinencia: se registra lo necesario para la atención, no todo lo que se conversa.</w:t>
      </w:r>
    </w:p>
    <w:p>
      <w:pPr>
        <w:pStyle w:val="ListBullet"/>
      </w:pPr>
      <w:r>
        <w:rPr>
          <w:sz w:val="19"/>
        </w:rPr>
        <w:t>Tratamiento de datos personales conforme a la Ley 1581 de 2012.</w:t>
      </w:r>
    </w:p>
    <w:p>
      <w:pPr>
        <w:pStyle w:val="ListBullet"/>
      </w:pPr>
      <w:r>
        <w:rPr>
          <w:sz w:val="19"/>
        </w:rPr>
        <w:t>Lo entregado a un tercero (colegio, EPS, otro profesional) queda registrado, con su autorización.</w:t>
      </w:r>
    </w:p>
    <w:p>
      <w:r>
        <w:rPr>
          <w:b/>
          <w:color w:val="E26356"/>
          <w:sz w:val="22"/>
        </w:rPr>
        <w:t>7. Autodiagnóstico: ¿tu sistema actual cumple?</w:t>
      </w:r>
    </w:p>
    <w:p>
      <w:r>
        <w:rPr>
          <w:i/>
          <w:sz w:val="18"/>
        </w:rPr>
        <w:t>Responde con honestidad. Cada 'no' es un requisito de la norma que hoy no puedes demostrar.</w:t>
      </w:r>
    </w:p>
    <w:p>
      <w:pPr>
        <w:pStyle w:val="ListBullet"/>
      </w:pPr>
      <w:r>
        <w:rPr>
          <w:sz w:val="19"/>
        </w:rPr>
        <w:t>¿Puedes demostrar quién hizo cada registro y en qué fecha y hora exacta?</w:t>
      </w:r>
    </w:p>
    <w:p>
      <w:pPr>
        <w:pStyle w:val="ListBullet"/>
      </w:pPr>
      <w:r>
        <w:rPr>
          <w:sz w:val="19"/>
        </w:rPr>
        <w:t>¿Tu sistema impide modificar un registro ya cerrado sin que quede rastro de la modificación?</w:t>
      </w:r>
    </w:p>
    <w:p>
      <w:pPr>
        <w:pStyle w:val="ListBullet"/>
      </w:pPr>
      <w:r>
        <w:rPr>
          <w:sz w:val="19"/>
        </w:rPr>
        <w:t>¿Sabes quién ha consultado la historia clínica de un paciente y cuándo?</w:t>
      </w:r>
    </w:p>
    <w:p>
      <w:pPr>
        <w:pStyle w:val="ListBullet"/>
      </w:pPr>
      <w:r>
        <w:rPr>
          <w:sz w:val="19"/>
        </w:rPr>
        <w:t>¿Puedes garantizar que el archivo seguirá siendo legible e íntegro dentro de quince años?</w:t>
      </w:r>
    </w:p>
    <w:p>
      <w:pPr>
        <w:pStyle w:val="ListBullet"/>
      </w:pPr>
      <w:r>
        <w:rPr>
          <w:sz w:val="19"/>
        </w:rPr>
        <w:t>¿Los registros están en el orden cronológico real de la atención, y no en el orden en que se escribieron?</w:t>
      </w:r>
    </w:p>
    <w:p>
      <w:pPr>
        <w:pStyle w:val="ListBullet"/>
      </w:pPr>
      <w:r>
        <w:rPr>
          <w:sz w:val="19"/>
        </w:rPr>
        <w:t>¿Tienes respaldo de la información ante pérdida, daño o robo del equipo?</w:t>
      </w:r>
    </w:p>
    <w:p>
      <w:pPr>
        <w:pStyle w:val="ListBullet"/>
      </w:pPr>
      <w:r>
        <w:rPr>
          <w:sz w:val="19"/>
        </w:rPr>
        <w:t>¿Puedes entregar la historia completa de un paciente si te la solicitan formalmente?</w:t>
      </w:r>
    </w:p>
    <w:p/>
    <w:p>
      <w:r>
        <w:rPr>
          <w:i/>
          <w:color w:val="8A95A6"/>
          <w:sz w:val="15"/>
        </w:rPr>
        <w:t>Checklist orientativo elaborado a partir de la Resolución 1995 de 1999, modificada por la Resolución 839 de 2017, de la Ley 1090 de 2006 y de la Ley 1581 de 2012. No sustituye la lectura del texto oficial de las normas ni la asesoría jurídica.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