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600" w:before="600" w:lineRule="auto"/>
        <w:jc w:val="center"/>
        <w:rPr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sz w:val="38"/>
          <w:szCs w:val="38"/>
          <w:rtl w:val="0"/>
        </w:rPr>
        <w:t xml:space="preserve">Annexes DPA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200" w:before="60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Annexe 1 - Instructions détaillées du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00" w:before="600" w:lineRule="auto"/>
        <w:jc w:val="both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Liste des traitements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1.1. Finalités et fondements légaux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 Service fourni par le Sous-traitant a pour objectif de fournir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une plateforme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qui permet d'enregistrer ses appels visio ou appels VoIP, d'accéder au replay,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connecter son calendrier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à la retranscription texte de la conversation et aux résumés générés par Praiz.connecter son calendrier. A ce titre, le Sous-traitant met en place les traitements suivants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 des Données à caractère personnel du Client dans le cadre du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 des fonctionnalités utilisant de l’intelligence artificielle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 de la sécurité et de la maintenance du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 des zones de commentaires libres et de leur contenu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Hébergement des bases de données utilisateurs finaux, y compris le stockage de fichiers multimédias (enregistrements audio et visio pour consultation ou réutilisation future)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Enregistrement des appels audio et visio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Transcription des contenus audios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Génération des comptes-rendus et modèles automatisés (le cas échéant)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Partage des enregistrements des appels audio et visio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Connexion aux agendas électroniques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Alimentation du CRM (le cas échéant)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Téléchargement et importation de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Les traitements mis en œuvre sont réalisés exclusivement dans le cadre de l’exécution du Contrat.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1.2. Personnes concernées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Les personnes concernées dans le cadre du Service sont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Interlocuteurs présents lors des appels/visios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Utilisateurs de la plateforme Praiz</w:t>
      </w:r>
    </w:p>
    <w:p w:rsidR="00000000" w:rsidDel="00000000" w:rsidP="00000000" w:rsidRDefault="00000000" w:rsidRPr="00000000" w14:paraId="00000017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1.3. Opérations de traitements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Les opérations de traitement réalisées dans le cadre du Service sont détaillées ci-après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Adaptation, communication par transmission aux Sous-traitants ultérieurs, conservation,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collecte, enregistrement, extraction, modification, organisation, suppression, utilisation.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1.4. Catégories de données traitées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Les Données à caractère personnel du Client traitées dans le cadre du Service sont les suivantes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Données “standards” des Utilisateurs finaux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Données d'identification profes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sionnelles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coordonnées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Données "spécifiques" des Utilisateurs finaux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Images et photographies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Voix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Sous-traitant est également amené à traiter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oute donnée confidentielle dans le cadre l’utilisation du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1.5. Durées de conservation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Les Données à caractère personnel du Client sont conservées pour la durée d'exécution du contrat.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200" w:before="600" w:lineRule="auto"/>
        <w:jc w:val="both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Mesures de sécurité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2.1. Mesures de sécurité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Chiffrement des mots de passe des utilisateurs du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Mots de passe complexes imposés aux utilisateurs du Service à la connexion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Chiffrement des mots de passe des Utilisateurs en Back-office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Mots de passe complexes imposés aux Utilisateurs en Back-office à la connexion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Chiffrement de la base de données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Plateforme en https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Mots de passe complexes pour les salariés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Authentification à deux facteurs pour les salariés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350" w:before="350" w:lineRule="auto"/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2.2. Mesures de sécurité organisationnelles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Charte des systèmes d’information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Clause dédiée à la protection des données dans les contrats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Procédure d’habilitation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Procédure en cas de demandes de droit des Utilisateurs finaux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Procédure en cas de violation de données à caractère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Règles de bonne conduite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0" w:before="25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Sensibilisation deux fois par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spacing w:after="200" w:before="600" w:lineRule="auto"/>
        <w:jc w:val="both"/>
        <w:rPr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Annexe 2 - Inventaire des Sous-traitants ultérieurs et des transferts hors UE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1800"/>
        <w:gridCol w:w="1800"/>
        <w:gridCol w:w="1800"/>
        <w:gridCol w:w="1800"/>
        <w:tblGridChange w:id="0">
          <w:tblGrid>
            <w:gridCol w:w="1815"/>
            <w:gridCol w:w="180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Finalités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Sous-traitants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Localisation des serveurs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Transferts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85c6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Garanties appropriées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Hébergement des bases de données des utilisateurs finaux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 (France)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AWS, (Aucun transfert hors UE effectué)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AWS, (Aucune garantie appropriée requise)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Génération des comptes-rendus et modèles automatisés (le cas échéant), Alimentation du CRM (le cas échéant)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 (Irlande)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OpenAI, (Transferts vers les Etats-Unis effectués)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OpenAI, (Clauses contractuelles standards)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Transcription des vidéos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 (France)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Gladia, (Aucun transfert hors UE effectué)</w:t>
            </w:r>
          </w:p>
        </w:tc>
        <w:tc>
          <w:tcPr>
            <w:shd w:fill="ffffff" w:val="clear"/>
            <w:tcMar>
              <w:top w:w="215.0" w:type="dxa"/>
              <w:left w:w="360.0" w:type="dxa"/>
              <w:bottom w:w="215.0" w:type="dxa"/>
              <w:right w:w="36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Gladia, (Aucune garantie appropriée requise)</w:t>
            </w:r>
          </w:p>
        </w:tc>
      </w:tr>
    </w:tbl>
    <w:p w:rsidR="00000000" w:rsidDel="00000000" w:rsidP="00000000" w:rsidRDefault="00000000" w:rsidRPr="00000000" w14:paraId="0000004B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350" w:before="350" w:lineRule="auto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Certifié conforme par Dipeeo ®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qFormat w:val="1"/>
    <w:rPr>
      <w:sz w:val="56"/>
      <w:szCs w:val="56"/>
    </w:rPr>
  </w:style>
  <w:style w:type="paragraph" w:styleId="Heading1">
    <w:name w:val="Heading 1"/>
    <w:basedOn w:val="Normal"/>
    <w:next w:val="Normal"/>
    <w:qFormat w:val="1"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 w:val="1"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 w:val="1"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 w:val="1"/>
    <w:rPr>
      <w:i w:val="1"/>
      <w:iCs w:val="1"/>
      <w:color w:val="2e74b5"/>
    </w:rPr>
  </w:style>
  <w:style w:type="paragraph" w:styleId="Heading5">
    <w:name w:val="Heading 5"/>
    <w:basedOn w:val="Normal"/>
    <w:next w:val="Normal"/>
    <w:qFormat w:val="1"/>
    <w:rPr>
      <w:color w:val="2e74b5"/>
    </w:rPr>
  </w:style>
  <w:style w:type="paragraph" w:styleId="Heading6">
    <w:name w:val="Heading 6"/>
    <w:basedOn w:val="Normal"/>
    <w:next w:val="Normal"/>
    <w:qFormat w:val="1"/>
    <w:rPr>
      <w:color w:val="1f4d78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r3basZKkEbP2XUrwW1tZxaOLw==">CgMxLjA4AHIhMURlNVdsRnVNZk9iQkdmYkZ1WVc3WnF1WGxaUlVvQkVR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2025-04-08T09:44:44.759Z</dcterms:created>
  <dc:creator>Dipeeo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