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E605" w14:textId="719B7F2F" w:rsidR="6A36C4BF" w:rsidRPr="00B863FB" w:rsidRDefault="00B42CB9" w:rsidP="3C93F7C5">
      <w:pPr>
        <w:pStyle w:val="Heading1"/>
        <w:rPr>
          <w:rFonts w:ascii="Calibri" w:eastAsia="SimSun" w:hAnsi="Calibri"/>
          <w:szCs w:val="22"/>
        </w:rPr>
      </w:pPr>
      <w:r>
        <w:t>T</w:t>
      </w:r>
      <w:r w:rsidR="00000000">
        <w:t>he Relationship Between Healthcare Worker Burnout and Perceived Quality of Patient Care</w:t>
      </w:r>
    </w:p>
    <w:p w14:paraId="12DCF7F5" w14:textId="01C8037E" w:rsidR="00A417C1" w:rsidRDefault="00000000" w:rsidP="3C93F7C5">
      <w:pPr>
        <w:pStyle w:val="Heading1"/>
        <w:rPr>
          <w:rFonts w:ascii="Calibri" w:eastAsia="SimSun" w:hAnsi="Calibri"/>
          <w:szCs w:val="22"/>
        </w:rPr>
      </w:pPr>
      <w:r>
        <w:t>Abstract</w:t>
      </w:r>
    </w:p>
    <w:p w14:paraId="624D2D01" w14:textId="6D40CDB0" w:rsidR="00A417C1" w:rsidRDefault="00000000" w:rsidP="3C93F7C5">
      <w:pPr>
        <w:rPr>
          <w:rFonts w:ascii="Calibri" w:eastAsia="SimSun" w:hAnsi="Calibri"/>
          <w:szCs w:val="22"/>
        </w:rPr>
      </w:pPr>
      <w:r>
        <w:rPr>
          <w:rFonts w:ascii="Calibri" w:eastAsia="SimSun" w:hAnsi="Calibri"/>
          <w:szCs w:val="22"/>
        </w:rPr>
        <w:t xml:space="preserve">Healthcare worker burnout has become a defining challenge within modern healthcare systems, influencing both workforce sustainability and patient care outcomes. While existing research has established the prevalence and causes of burnout, less attention has been given to how healthcare workers perceive its impact on the care they deliver. This study examines the relationship between self-reported burnout and perceived quality of patient care using a quantitative, cross-sectional survey design. Data collected from 12 healthcare professionals revealed moderate to elevated levels of burnout and a strong, statistically significant relationship between </w:t>
      </w:r>
      <w:r w:rsidR="00B42CB9">
        <w:rPr>
          <w:rFonts w:ascii="Calibri" w:eastAsia="SimSun" w:hAnsi="Calibri"/>
          <w:szCs w:val="22"/>
        </w:rPr>
        <w:t>burnout</w:t>
      </w:r>
      <w:r w:rsidR="00805437">
        <w:rPr>
          <w:rFonts w:ascii="Calibri" w:eastAsia="SimSun" w:hAnsi="Calibri"/>
          <w:szCs w:val="22"/>
        </w:rPr>
        <w:t>. They perceived</w:t>
      </w:r>
      <w:r>
        <w:rPr>
          <w:rFonts w:ascii="Calibri" w:eastAsia="SimSun" w:hAnsi="Calibri"/>
          <w:szCs w:val="22"/>
        </w:rPr>
        <w:t xml:space="preserve"> declines in care quality (r = .74, p &lt; .01). Regression analysis further indicated that burnout accounted for 54% of the variance in perceived care outcomes. These findings reinforce that burnout is not solely an occupational concern but a critical determinant of healthcare quality. Addressing burnout through system-level interventions is essential for improving both clinician well-being and patient outcomes.</w:t>
      </w:r>
    </w:p>
    <w:p w14:paraId="71268F84" w14:textId="3EEEFFB8" w:rsidR="00A417C1" w:rsidRDefault="00B42CB9" w:rsidP="00B42CB9">
      <w:pPr>
        <w:ind w:firstLine="0"/>
        <w:rPr>
          <w:rFonts w:ascii="Calibri" w:eastAsia="SimSun" w:hAnsi="Calibri"/>
          <w:szCs w:val="22"/>
        </w:rPr>
      </w:pPr>
      <w:r w:rsidRPr="00B42CB9">
        <w:rPr>
          <w:rFonts w:ascii="Calibri" w:eastAsia="SimSun" w:hAnsi="Calibri"/>
          <w:b/>
          <w:bCs/>
          <w:szCs w:val="22"/>
        </w:rPr>
        <w:t>Introduction</w:t>
      </w:r>
    </w:p>
    <w:p w14:paraId="109E48A4" w14:textId="00E12AFA" w:rsidR="00A417C1" w:rsidRDefault="00000000" w:rsidP="3C93F7C5">
      <w:pPr>
        <w:rPr>
          <w:rFonts w:ascii="Calibri" w:eastAsia="SimSun" w:hAnsi="Calibri"/>
          <w:szCs w:val="22"/>
        </w:rPr>
      </w:pPr>
      <w:r>
        <w:rPr>
          <w:rFonts w:ascii="Calibri" w:eastAsia="SimSun" w:hAnsi="Calibri"/>
          <w:szCs w:val="22"/>
        </w:rPr>
        <w:t xml:space="preserve">Burnout among healthcare professionals is no longer an emerging concern; it is a persistent and systemic challenge shaping the effectiveness of healthcare delivery. </w:t>
      </w:r>
      <w:r w:rsidR="00805437">
        <w:rPr>
          <w:rFonts w:ascii="Calibri" w:eastAsia="SimSun" w:hAnsi="Calibri"/>
          <w:szCs w:val="22"/>
        </w:rPr>
        <w:t xml:space="preserve">Burnout, defined as a psychological response to chronic workplace stress, </w:t>
      </w:r>
      <w:r>
        <w:rPr>
          <w:rFonts w:ascii="Calibri" w:eastAsia="SimSun" w:hAnsi="Calibri"/>
          <w:szCs w:val="22"/>
        </w:rPr>
        <w:t>is characterized by emotional exhaustion, depersonalization, and reduced professional efficacy (Maslach &amp; Leiter, 2016). The World Health Organization (2019) further recognizes burnout as an occupational phenomenon, emphasizing its roots in unmanaged workplace stress rather than individual shortcomings.</w:t>
      </w:r>
    </w:p>
    <w:p w14:paraId="6E515D12" w14:textId="58197FE4" w:rsidR="00A417C1" w:rsidRDefault="00000000" w:rsidP="3C93F7C5">
      <w:pPr>
        <w:rPr>
          <w:rFonts w:ascii="Calibri" w:eastAsia="SimSun" w:hAnsi="Calibri"/>
          <w:szCs w:val="22"/>
        </w:rPr>
      </w:pPr>
      <w:r>
        <w:rPr>
          <w:rFonts w:ascii="Calibri" w:eastAsia="SimSun" w:hAnsi="Calibri"/>
          <w:szCs w:val="22"/>
        </w:rPr>
        <w:t xml:space="preserve">Healthcare environments are uniquely demanding. Providers must navigate high patient volumes, staffing shortages, administrative burdens, and emotionally intense interactions daily. Over time, these conditions create sustained pressure that significantly increases the risk of burnout (Dyrbye </w:t>
      </w:r>
      <w:r>
        <w:rPr>
          <w:rFonts w:ascii="Calibri" w:eastAsia="SimSun" w:hAnsi="Calibri"/>
          <w:szCs w:val="22"/>
        </w:rPr>
        <w:lastRenderedPageBreak/>
        <w:t>et al., 2017). While burnout is often discussed in relation to workforce well-being, its implications extend directly to the quality and consistency of patient care.</w:t>
      </w:r>
    </w:p>
    <w:p w14:paraId="4FC7F4F8" w14:textId="75C3DD74" w:rsidR="00A417C1" w:rsidRDefault="00000000" w:rsidP="3C93F7C5">
      <w:pPr>
        <w:rPr>
          <w:rFonts w:ascii="Calibri" w:eastAsia="SimSun" w:hAnsi="Calibri"/>
          <w:szCs w:val="22"/>
        </w:rPr>
      </w:pPr>
      <w:r>
        <w:rPr>
          <w:rFonts w:ascii="Calibri" w:eastAsia="SimSun" w:hAnsi="Calibri"/>
          <w:szCs w:val="22"/>
        </w:rPr>
        <w:t>The delivery of high-quality healthcare depends on sustained attention, effective communication, and sound clinical judgment. Burnout directly undermines these essential components. When clinicians experience emotional exhaustion or cognitive fatigue, their ability to remain engaged, communicate effectively, and make accurate decisions may be compromised (Hall et al., 2016). These effects introduce variability into care delivery and raise important concerns regarding patient safety and outcomes.</w:t>
      </w:r>
    </w:p>
    <w:p w14:paraId="4C541368" w14:textId="3C6DDC7F" w:rsidR="00A417C1" w:rsidRDefault="00000000" w:rsidP="3C93F7C5">
      <w:pPr>
        <w:rPr>
          <w:rFonts w:ascii="Calibri" w:eastAsia="SimSun" w:hAnsi="Calibri"/>
          <w:szCs w:val="22"/>
        </w:rPr>
      </w:pPr>
      <w:r>
        <w:rPr>
          <w:rFonts w:ascii="Calibri" w:eastAsia="SimSun" w:hAnsi="Calibri"/>
          <w:szCs w:val="22"/>
        </w:rPr>
        <w:t>Beyond its immediate effects, burnout also represents a structural vulnerability within healthcare systems. It creates inconsistency across care delivery by eroding the consistency, attentiveness, and clinical judgment that providers bring to each encounter. In this sense, burnout functions not only as an individual experience but as an organizational risk factor with system-wide implications. As healthcare systems continue to prioritize efficiency and productivity, understanding how these demands translate into frontline experiences becomes increasingly important.</w:t>
      </w:r>
    </w:p>
    <w:p w14:paraId="265858E7" w14:textId="1B5C7401" w:rsidR="00A417C1" w:rsidRDefault="00000000" w:rsidP="3C93F7C5">
      <w:pPr>
        <w:rPr>
          <w:rFonts w:ascii="Calibri" w:eastAsia="SimSun" w:hAnsi="Calibri"/>
          <w:szCs w:val="22"/>
        </w:rPr>
      </w:pPr>
      <w:r>
        <w:rPr>
          <w:rFonts w:ascii="Calibri" w:eastAsia="SimSun" w:hAnsi="Calibri"/>
          <w:szCs w:val="22"/>
        </w:rPr>
        <w:t>This study examines the relationship between healthcare worker burnout and perceived quality of patient care, focusing specifically on how healthcare professionals interpret the impact of burnout on their ability to deliver effective care.</w:t>
      </w:r>
    </w:p>
    <w:p w14:paraId="7E3382FC" w14:textId="49F053F4" w:rsidR="00A417C1" w:rsidRDefault="00000000" w:rsidP="00B42CB9">
      <w:pPr>
        <w:pStyle w:val="Heading2"/>
        <w:rPr>
          <w:rFonts w:ascii="Calibri" w:eastAsia="SimSun" w:hAnsi="Calibri"/>
          <w:szCs w:val="22"/>
        </w:rPr>
      </w:pPr>
      <w:r>
        <w:t>Research Question and Hypotheses</w:t>
      </w:r>
    </w:p>
    <w:p w14:paraId="625C8A30" w14:textId="3EA3FA2B" w:rsidR="00A417C1" w:rsidRDefault="00805437" w:rsidP="3C93F7C5">
      <w:pPr>
        <w:rPr>
          <w:rFonts w:ascii="Calibri" w:eastAsia="SimSun" w:hAnsi="Calibri"/>
          <w:szCs w:val="22"/>
        </w:rPr>
      </w:pPr>
      <w:r>
        <w:rPr>
          <w:rFonts w:ascii="Calibri" w:eastAsia="SimSun" w:hAnsi="Calibri"/>
          <w:szCs w:val="22"/>
        </w:rPr>
        <w:t>The following research question guides this study: How does self-reported burnout among healthcare workers affect their perceived ability to deliver quality patient care? The alternative hypothesis posits that higher levels of burnout are associated with lower perceived quality of patient care. In contrast, the null hypothesis assumes no significant relationship between burnout and perceived care quality.</w:t>
      </w:r>
    </w:p>
    <w:p w14:paraId="4062CE10" w14:textId="26A27E1D" w:rsidR="00A417C1" w:rsidRDefault="00A417C1" w:rsidP="3C93F7C5">
      <w:pPr>
        <w:rPr>
          <w:rFonts w:ascii="Calibri" w:eastAsia="SimSun" w:hAnsi="Calibri"/>
          <w:szCs w:val="22"/>
        </w:rPr>
      </w:pPr>
    </w:p>
    <w:p w14:paraId="62F6A757" w14:textId="43B8EA12" w:rsidR="00A417C1" w:rsidRDefault="00000000" w:rsidP="3C93F7C5">
      <w:pPr>
        <w:pStyle w:val="Heading2"/>
        <w:rPr>
          <w:rFonts w:ascii="Calibri" w:eastAsia="SimSun" w:hAnsi="Calibri"/>
          <w:szCs w:val="22"/>
        </w:rPr>
      </w:pPr>
      <w:r>
        <w:lastRenderedPageBreak/>
        <w:t>Literature Review</w:t>
      </w:r>
    </w:p>
    <w:p w14:paraId="008DC41D" w14:textId="01C37E90" w:rsidR="00A417C1" w:rsidRDefault="00000000" w:rsidP="3C93F7C5">
      <w:pPr>
        <w:rPr>
          <w:rFonts w:ascii="Calibri" w:eastAsia="SimSun" w:hAnsi="Calibri"/>
          <w:szCs w:val="22"/>
        </w:rPr>
      </w:pPr>
      <w:r>
        <w:rPr>
          <w:rFonts w:ascii="Calibri" w:eastAsia="SimSun" w:hAnsi="Calibri"/>
          <w:szCs w:val="22"/>
        </w:rPr>
        <w:t>Burnout in healthcare is widely understood as a systemic issue rooted in organizational and structural conditions. Maslach and Leiter (2016) emphasize that burnout arises from a mismatch between job demands and available resources, shifting the focus from individual resilience to systemic design. This perspective is reinforced by Montgomery et al. (2019), who identify workload, staffing shortages, and inefficient processes as key contributors to burnout across healthcare systems.</w:t>
      </w:r>
    </w:p>
    <w:p w14:paraId="491E578C" w14:textId="6C3AC223" w:rsidR="00A417C1" w:rsidRDefault="00000000" w:rsidP="3C93F7C5">
      <w:pPr>
        <w:rPr>
          <w:rFonts w:ascii="Calibri" w:eastAsia="SimSun" w:hAnsi="Calibri"/>
          <w:szCs w:val="22"/>
        </w:rPr>
      </w:pPr>
      <w:r>
        <w:rPr>
          <w:rFonts w:ascii="Calibri" w:eastAsia="SimSun" w:hAnsi="Calibri"/>
          <w:szCs w:val="22"/>
        </w:rPr>
        <w:t xml:space="preserve">The prevalence of burnout among healthcare professionals is well documented. Dyrbye et al. (2017) found that physicians and trainees experience significantly higher </w:t>
      </w:r>
      <w:r w:rsidR="00805437">
        <w:rPr>
          <w:rFonts w:ascii="Calibri" w:eastAsia="SimSun" w:hAnsi="Calibri"/>
          <w:szCs w:val="22"/>
        </w:rPr>
        <w:t>rates of burnout</w:t>
      </w:r>
      <w:r>
        <w:rPr>
          <w:rFonts w:ascii="Calibri" w:eastAsia="SimSun" w:hAnsi="Calibri"/>
          <w:szCs w:val="22"/>
        </w:rPr>
        <w:t xml:space="preserve"> than the general working population, highlighting the unique pressures associated with healthcare roles. Similarly, Shanafelt et al. (2015) observed increasing burnout trends over time, suggesting that existing interventions have not sufficiently addressed the underlying causes.</w:t>
      </w:r>
    </w:p>
    <w:p w14:paraId="434C407F" w14:textId="1F433F6F" w:rsidR="00A417C1" w:rsidRDefault="00000000" w:rsidP="3C93F7C5">
      <w:pPr>
        <w:rPr>
          <w:rFonts w:ascii="Calibri" w:eastAsia="SimSun" w:hAnsi="Calibri"/>
          <w:szCs w:val="22"/>
        </w:rPr>
      </w:pPr>
      <w:r>
        <w:rPr>
          <w:rFonts w:ascii="Calibri" w:eastAsia="SimSun" w:hAnsi="Calibri"/>
          <w:szCs w:val="22"/>
        </w:rPr>
        <w:t xml:space="preserve">A substantial body of literature demonstrates the direct impact of burnout on patient care outcomes. Burnout has been linked to increased medical errors, reduced patient safety, and lower overall </w:t>
      </w:r>
      <w:r w:rsidR="00805437">
        <w:rPr>
          <w:rFonts w:ascii="Calibri" w:eastAsia="SimSun" w:hAnsi="Calibri"/>
          <w:szCs w:val="22"/>
        </w:rPr>
        <w:t>quality of care</w:t>
      </w:r>
      <w:r>
        <w:rPr>
          <w:rFonts w:ascii="Calibri" w:eastAsia="SimSun" w:hAnsi="Calibri"/>
          <w:szCs w:val="22"/>
        </w:rPr>
        <w:t xml:space="preserve"> (Tawfik et al., 2018; Salyers et al., 2017). Hall et al. (2016) further identified strong associations between healthcare worker burnout and diminished patient safety outcomes, reinforcing the idea that burnout is a critical factor in healthcare delivery.</w:t>
      </w:r>
    </w:p>
    <w:p w14:paraId="44241879" w14:textId="18B81578" w:rsidR="00A417C1" w:rsidRDefault="00000000" w:rsidP="3C93F7C5">
      <w:pPr>
        <w:rPr>
          <w:rFonts w:ascii="Calibri" w:eastAsia="SimSun" w:hAnsi="Calibri"/>
          <w:szCs w:val="22"/>
        </w:rPr>
      </w:pPr>
      <w:r>
        <w:rPr>
          <w:rFonts w:ascii="Calibri" w:eastAsia="SimSun" w:hAnsi="Calibri"/>
          <w:szCs w:val="22"/>
        </w:rPr>
        <w:t>In addition to measurable outcomes, burnout significantly affects the interpersonal aspects of care. Emotional exhaustion reduces empathy and engagement, while depersonalization can lead to a more detached and transactional approach to patient interactions. Aiken et al. (2012) demonstrate that these effects contribute to poorer communication, decreased patient satisfaction, and reduced trust in healthcare providers.</w:t>
      </w:r>
    </w:p>
    <w:p w14:paraId="0CB31B24" w14:textId="6F798E62" w:rsidR="00A417C1" w:rsidRDefault="00000000" w:rsidP="3C93F7C5">
      <w:pPr>
        <w:rPr>
          <w:rFonts w:ascii="Calibri" w:eastAsia="SimSun" w:hAnsi="Calibri"/>
          <w:szCs w:val="22"/>
        </w:rPr>
      </w:pPr>
      <w:r>
        <w:rPr>
          <w:rFonts w:ascii="Calibri" w:eastAsia="SimSun" w:hAnsi="Calibri"/>
          <w:szCs w:val="22"/>
        </w:rPr>
        <w:t xml:space="preserve">Organizational factors consistently emerge as primary drivers of burnout. High workload, administrative burden, and inadequate staffing create environments in which sustained stress becomes unavoidable (Montgomery et al., 2019). Notably, research indicates that individual-level </w:t>
      </w:r>
      <w:bookmarkStart w:id="0" w:name="_Int_hyxPkdAM"/>
      <w:r>
        <w:rPr>
          <w:rFonts w:ascii="Calibri" w:eastAsia="SimSun" w:hAnsi="Calibri"/>
          <w:szCs w:val="22"/>
        </w:rPr>
        <w:t xml:space="preserve">interventions </w:t>
      </w:r>
      <w:r>
        <w:rPr>
          <w:rFonts w:ascii="Calibri" w:eastAsia="SimSun" w:hAnsi="Calibri"/>
          <w:szCs w:val="22"/>
        </w:rPr>
        <w:lastRenderedPageBreak/>
        <w:t>alone</w:t>
      </w:r>
      <w:bookmarkEnd w:id="0"/>
      <w:r>
        <w:rPr>
          <w:rFonts w:ascii="Calibri" w:eastAsia="SimSun" w:hAnsi="Calibri"/>
          <w:szCs w:val="22"/>
        </w:rPr>
        <w:t xml:space="preserve"> are insufficient. System-level strategies, including workflow redesign, improved staffing ratios, and leadership engagement, are more effective in producing sustained reductions in burnout (West et al., 2018; National Academy of Medicine, 2019).</w:t>
      </w:r>
    </w:p>
    <w:p w14:paraId="4EA931BB" w14:textId="288710F9" w:rsidR="00A417C1" w:rsidRDefault="00000000" w:rsidP="3C93F7C5">
      <w:pPr>
        <w:rPr>
          <w:rFonts w:ascii="Calibri" w:eastAsia="SimSun" w:hAnsi="Calibri"/>
          <w:szCs w:val="22"/>
        </w:rPr>
      </w:pPr>
      <w:r>
        <w:rPr>
          <w:rFonts w:ascii="Calibri" w:eastAsia="SimSun" w:hAnsi="Calibri"/>
          <w:szCs w:val="22"/>
        </w:rPr>
        <w:t xml:space="preserve">Taken together, the literature suggests that burnout </w:t>
      </w:r>
      <w:bookmarkStart w:id="1" w:name="_Int_RLQAFLBG"/>
      <w:r>
        <w:rPr>
          <w:rFonts w:ascii="Calibri" w:eastAsia="SimSun" w:hAnsi="Calibri"/>
          <w:szCs w:val="22"/>
        </w:rPr>
        <w:t>operates</w:t>
      </w:r>
      <w:bookmarkEnd w:id="1"/>
      <w:r>
        <w:rPr>
          <w:rFonts w:ascii="Calibri" w:eastAsia="SimSun" w:hAnsi="Calibri"/>
          <w:szCs w:val="22"/>
        </w:rPr>
        <w:t xml:space="preserve"> at the intersection of workforce well-being and patient care outcomes. While much of the research has focused on objective indicators such as error rates and patient satisfaction, fewer studies have explored how healthcare workers perceive the impact of burnout on their own performance. This distinction is important, as perception influences behavior, engagement, and decision-making in clinical settings. By focusing on perceived care quality, this study contributes to an experience-based perspective that complements existing outcome-driven research.</w:t>
      </w:r>
    </w:p>
    <w:p w14:paraId="4502A41B" w14:textId="76C01DE6" w:rsidR="00A417C1" w:rsidRDefault="00000000" w:rsidP="3C93F7C5">
      <w:pPr>
        <w:pStyle w:val="Heading2"/>
        <w:rPr>
          <w:rFonts w:ascii="Calibri" w:eastAsia="SimSun" w:hAnsi="Calibri"/>
          <w:szCs w:val="22"/>
        </w:rPr>
      </w:pPr>
      <w:r>
        <w:t>Methodology</w:t>
      </w:r>
    </w:p>
    <w:p w14:paraId="47000558" w14:textId="08BE5229" w:rsidR="00A417C1" w:rsidRDefault="00000000" w:rsidP="3C93F7C5">
      <w:pPr>
        <w:rPr>
          <w:rFonts w:ascii="Calibri" w:eastAsia="SimSun" w:hAnsi="Calibri"/>
          <w:szCs w:val="22"/>
        </w:rPr>
      </w:pPr>
      <w:r>
        <w:rPr>
          <w:rFonts w:ascii="Calibri" w:eastAsia="SimSun" w:hAnsi="Calibri"/>
          <w:szCs w:val="22"/>
        </w:rPr>
        <w:t xml:space="preserve">This study utilized a quantitative, cross-sectional design to examine the relationship between burnout and perceived quality of patient care. A survey-based approach was selected to capture measurable data reflecting participants’ experiences and perceptions within a defined </w:t>
      </w:r>
      <w:bookmarkStart w:id="2" w:name="_Int_mUyO6OD7"/>
      <w:r>
        <w:rPr>
          <w:rFonts w:ascii="Calibri" w:eastAsia="SimSun" w:hAnsi="Calibri"/>
          <w:szCs w:val="22"/>
        </w:rPr>
        <w:t>timeframe</w:t>
      </w:r>
      <w:bookmarkEnd w:id="2"/>
      <w:r>
        <w:rPr>
          <w:rFonts w:ascii="Calibri" w:eastAsia="SimSun" w:hAnsi="Calibri"/>
          <w:szCs w:val="22"/>
        </w:rPr>
        <w:t>.</w:t>
      </w:r>
    </w:p>
    <w:p w14:paraId="478E39C1" w14:textId="72401DE1" w:rsidR="00A417C1" w:rsidRDefault="00000000" w:rsidP="3C93F7C5">
      <w:pPr>
        <w:rPr>
          <w:rFonts w:ascii="Calibri" w:eastAsia="SimSun" w:hAnsi="Calibri"/>
          <w:szCs w:val="22"/>
        </w:rPr>
      </w:pPr>
      <w:r>
        <w:rPr>
          <w:rFonts w:ascii="Calibri" w:eastAsia="SimSun" w:hAnsi="Calibri"/>
          <w:szCs w:val="22"/>
        </w:rPr>
        <w:t>Participants were recruited using convenience sampling and included 12 healthcare workers currently employed in a variety of clinical and non-clinical roles. This sample provided a realistic representation of the healthcare workforce within the constraints of the study.</w:t>
      </w:r>
    </w:p>
    <w:p w14:paraId="3A0AB949" w14:textId="5D85DF43" w:rsidR="00A417C1" w:rsidRDefault="00000000" w:rsidP="3C93F7C5">
      <w:pPr>
        <w:rPr>
          <w:rFonts w:ascii="Calibri" w:eastAsia="SimSun" w:hAnsi="Calibri"/>
          <w:szCs w:val="22"/>
        </w:rPr>
      </w:pPr>
      <w:r>
        <w:rPr>
          <w:rFonts w:ascii="Calibri" w:eastAsia="SimSun" w:hAnsi="Calibri"/>
          <w:szCs w:val="22"/>
        </w:rPr>
        <w:t xml:space="preserve">Data </w:t>
      </w:r>
      <w:r w:rsidR="00B42CB9">
        <w:rPr>
          <w:rFonts w:ascii="Calibri" w:eastAsia="SimSun" w:hAnsi="Calibri"/>
          <w:szCs w:val="22"/>
        </w:rPr>
        <w:t>was</w:t>
      </w:r>
      <w:r>
        <w:rPr>
          <w:rFonts w:ascii="Calibri" w:eastAsia="SimSun" w:hAnsi="Calibri"/>
          <w:szCs w:val="22"/>
        </w:rPr>
        <w:t xml:space="preserve"> collected </w:t>
      </w:r>
      <w:r w:rsidR="00805437">
        <w:rPr>
          <w:rFonts w:ascii="Calibri" w:eastAsia="SimSun" w:hAnsi="Calibri"/>
          <w:szCs w:val="22"/>
        </w:rPr>
        <w:t>via an anonymous online survey comprising</w:t>
      </w:r>
      <w:r>
        <w:rPr>
          <w:rFonts w:ascii="Calibri" w:eastAsia="SimSun" w:hAnsi="Calibri"/>
          <w:szCs w:val="22"/>
        </w:rPr>
        <w:t xml:space="preserve"> 10 Likert-scale items. Five items measured self-reported burnout, while five items assessed perceived impact on patient care. Responses ranged from strongly disagree </w:t>
      </w:r>
      <w:r w:rsidR="00805437">
        <w:rPr>
          <w:rFonts w:ascii="Calibri" w:eastAsia="SimSun" w:hAnsi="Calibri"/>
          <w:szCs w:val="22"/>
        </w:rPr>
        <w:t>to agree, allowing for consistent measurement across participants</w:t>
      </w:r>
      <w:r>
        <w:rPr>
          <w:rFonts w:ascii="Calibri" w:eastAsia="SimSun" w:hAnsi="Calibri"/>
          <w:szCs w:val="22"/>
        </w:rPr>
        <w:t>. The full survey instrument is included in Appendix A.</w:t>
      </w:r>
    </w:p>
    <w:p w14:paraId="7BFC0C63" w14:textId="287F4B4F" w:rsidR="00A417C1" w:rsidRDefault="00000000" w:rsidP="3C93F7C5">
      <w:pPr>
        <w:rPr>
          <w:rFonts w:ascii="Calibri" w:eastAsia="SimSun" w:hAnsi="Calibri"/>
          <w:szCs w:val="22"/>
        </w:rPr>
      </w:pPr>
      <w:r>
        <w:rPr>
          <w:rFonts w:ascii="Calibri" w:eastAsia="SimSun" w:hAnsi="Calibri"/>
          <w:szCs w:val="22"/>
        </w:rPr>
        <w:t>Data analysis included descriptive statistics to summarize responses, Pearson correlation analysis to examine the relationship between burnout and perceived care quality, and linear regression to assess predictive strength.</w:t>
      </w:r>
    </w:p>
    <w:p w14:paraId="22B2666C" w14:textId="019F12ED" w:rsidR="00A417C1" w:rsidRDefault="00000000" w:rsidP="3C93F7C5">
      <w:pPr>
        <w:pStyle w:val="Heading2"/>
        <w:rPr>
          <w:rFonts w:ascii="Calibri" w:eastAsia="SimSun" w:hAnsi="Calibri"/>
          <w:szCs w:val="22"/>
        </w:rPr>
      </w:pPr>
      <w:r>
        <w:lastRenderedPageBreak/>
        <w:t>Results</w:t>
      </w:r>
    </w:p>
    <w:p w14:paraId="72186FCD" w14:textId="2ACE77F6" w:rsidR="00A417C1" w:rsidRDefault="00000000" w:rsidP="3C93F7C5">
      <w:pPr>
        <w:rPr>
          <w:rFonts w:ascii="Calibri" w:eastAsia="SimSun" w:hAnsi="Calibri"/>
          <w:szCs w:val="22"/>
        </w:rPr>
      </w:pPr>
      <w:r>
        <w:rPr>
          <w:rFonts w:ascii="Calibri" w:eastAsia="SimSun" w:hAnsi="Calibri"/>
          <w:szCs w:val="22"/>
        </w:rPr>
        <w:t>The findings of this study indicate a clear and meaningful relationship between healthcare worker burnout and perceived quality of patient care. Participants reported moderate to elevated levels of burnout, with a mean score of 3.92, suggesting that emotional exhaustion and workload strain were common experiences across the sample.</w:t>
      </w:r>
    </w:p>
    <w:p w14:paraId="01CBB36A" w14:textId="2CB0ECC7" w:rsidR="00A417C1" w:rsidRDefault="00000000" w:rsidP="3C93F7C5">
      <w:pPr>
        <w:rPr>
          <w:rFonts w:ascii="Calibri" w:eastAsia="SimSun" w:hAnsi="Calibri"/>
          <w:szCs w:val="22"/>
        </w:rPr>
      </w:pPr>
      <w:r>
        <w:rPr>
          <w:rFonts w:ascii="Calibri" w:eastAsia="SimSun" w:hAnsi="Calibri"/>
          <w:szCs w:val="22"/>
        </w:rPr>
        <w:t>Perceived impact on care quality was also elevated, with a mean score of 3.75. This indicates that participants not only experienced burnout but also recognized its influence on their ability to deliver effective care.</w:t>
      </w:r>
    </w:p>
    <w:p w14:paraId="4124CCF7" w14:textId="2379E7E9" w:rsidR="00A417C1" w:rsidRDefault="00000000" w:rsidP="3C93F7C5">
      <w:pPr>
        <w:rPr>
          <w:rFonts w:ascii="Calibri" w:eastAsia="SimSun" w:hAnsi="Calibri"/>
          <w:szCs w:val="22"/>
        </w:rPr>
      </w:pPr>
      <w:r>
        <w:rPr>
          <w:rFonts w:ascii="Calibri" w:eastAsia="SimSun" w:hAnsi="Calibri"/>
          <w:szCs w:val="22"/>
        </w:rPr>
        <w:t>Correlation analysis revealed a strong, statistically significant relationship between burnout and perceived care quality (r = .74, p &lt; .01). This finding suggests that as burnout increases, the perceived negative impact on patient care also increases.</w:t>
      </w:r>
    </w:p>
    <w:p w14:paraId="162BE2CA" w14:textId="271BD8E0" w:rsidR="00A417C1" w:rsidRDefault="00000000" w:rsidP="3C93F7C5">
      <w:pPr>
        <w:rPr>
          <w:rFonts w:ascii="Calibri" w:eastAsia="SimSun" w:hAnsi="Calibri"/>
          <w:szCs w:val="22"/>
        </w:rPr>
      </w:pPr>
      <w:r>
        <w:rPr>
          <w:rFonts w:ascii="Calibri" w:eastAsia="SimSun" w:hAnsi="Calibri"/>
          <w:szCs w:val="22"/>
        </w:rPr>
        <w:t>Regression analysis further demonstrated that burnout is a significant predictor of perceived care quality, explaining approximately 54% of the variance in outcomes. This reinforces the idea that burnout plays a vital role in shaping how healthcare workers evaluate their performance.</w:t>
      </w:r>
    </w:p>
    <w:p w14:paraId="7175BC46" w14:textId="55B0CCBE" w:rsidR="00A417C1" w:rsidRDefault="00000000" w:rsidP="3C93F7C5">
      <w:pPr>
        <w:rPr>
          <w:rFonts w:ascii="Calibri" w:eastAsia="SimSun" w:hAnsi="Calibri"/>
          <w:szCs w:val="22"/>
        </w:rPr>
      </w:pPr>
      <w:r>
        <w:rPr>
          <w:rFonts w:ascii="Calibri" w:eastAsia="SimSun" w:hAnsi="Calibri"/>
          <w:szCs w:val="22"/>
        </w:rPr>
        <w:t xml:space="preserve">Additionally, the </w:t>
      </w:r>
      <w:bookmarkStart w:id="3" w:name="_Int_xbdKdXlK"/>
      <w:r>
        <w:rPr>
          <w:rFonts w:ascii="Calibri" w:eastAsia="SimSun" w:hAnsi="Calibri"/>
          <w:szCs w:val="22"/>
        </w:rPr>
        <w:t>relatively high</w:t>
      </w:r>
      <w:bookmarkEnd w:id="3"/>
      <w:r>
        <w:rPr>
          <w:rFonts w:ascii="Calibri" w:eastAsia="SimSun" w:hAnsi="Calibri"/>
          <w:szCs w:val="22"/>
        </w:rPr>
        <w:t xml:space="preserve"> mean scores across both variables suggest that burnout is not isolated to individual participants but is a shared experience across roles. This consistency supports the interpretation that burnout is embedded within the healthcare work environment rather than confined to isolated circumstances.</w:t>
      </w:r>
    </w:p>
    <w:p w14:paraId="1A5C57B6" w14:textId="47014358" w:rsidR="00A417C1" w:rsidRDefault="00000000" w:rsidP="3C93F7C5">
      <w:pPr>
        <w:pStyle w:val="Heading2"/>
        <w:rPr>
          <w:rFonts w:ascii="Calibri" w:eastAsia="SimSun" w:hAnsi="Calibri"/>
          <w:szCs w:val="22"/>
        </w:rPr>
      </w:pPr>
      <w:r>
        <w:t>Discussion and Future Research</w:t>
      </w:r>
    </w:p>
    <w:p w14:paraId="17B5196F" w14:textId="2693843E" w:rsidR="00A417C1" w:rsidRDefault="00000000" w:rsidP="3C93F7C5">
      <w:pPr>
        <w:rPr>
          <w:rFonts w:ascii="Calibri" w:eastAsia="SimSun" w:hAnsi="Calibri"/>
          <w:szCs w:val="22"/>
        </w:rPr>
      </w:pPr>
      <w:r>
        <w:rPr>
          <w:rFonts w:ascii="Calibri" w:eastAsia="SimSun" w:hAnsi="Calibri"/>
          <w:szCs w:val="22"/>
        </w:rPr>
        <w:t>The findings of this study extend beyond confirming a relationship between burnout and perceived care quality; they highlight the degree to which burnout is integrated into the daily experience of healthcare delivery. The strength of the observed relationship suggests that burnout is not simply an external pressure but an internalized condition that directly shapes how healthcare workers evaluate their own effectiveness.</w:t>
      </w:r>
    </w:p>
    <w:p w14:paraId="61F31C6F" w14:textId="3A9ABF9C" w:rsidR="00A417C1" w:rsidRDefault="00000000" w:rsidP="3C93F7C5">
      <w:pPr>
        <w:rPr>
          <w:rFonts w:ascii="Calibri" w:eastAsia="SimSun" w:hAnsi="Calibri"/>
          <w:szCs w:val="22"/>
        </w:rPr>
      </w:pPr>
      <w:r>
        <w:rPr>
          <w:rFonts w:ascii="Calibri" w:eastAsia="SimSun" w:hAnsi="Calibri"/>
          <w:szCs w:val="22"/>
        </w:rPr>
        <w:lastRenderedPageBreak/>
        <w:t xml:space="preserve">From a systems perspective, these findings reinforce the argument that burnout should be treated as a quality-of-care issue rather than solely a </w:t>
      </w:r>
      <w:bookmarkStart w:id="4" w:name="_Int_rxJMpzV5"/>
      <w:r>
        <w:rPr>
          <w:rFonts w:ascii="Calibri" w:eastAsia="SimSun" w:hAnsi="Calibri"/>
          <w:szCs w:val="22"/>
        </w:rPr>
        <w:t>workforce</w:t>
      </w:r>
      <w:bookmarkEnd w:id="4"/>
      <w:r>
        <w:rPr>
          <w:rFonts w:ascii="Calibri" w:eastAsia="SimSun" w:hAnsi="Calibri"/>
          <w:szCs w:val="22"/>
        </w:rPr>
        <w:t xml:space="preserve"> concern. When clinicians perceive that their ability to provide effective care is compromised, this perception may influence their engagement, communication, and responsiveness. Over time, these effects can contribute to variability in care delivery and patient outcomes.</w:t>
      </w:r>
    </w:p>
    <w:p w14:paraId="5E7713CE" w14:textId="4AB588BB" w:rsidR="00A417C1" w:rsidRDefault="00000000" w:rsidP="3C93F7C5">
      <w:pPr>
        <w:rPr>
          <w:rFonts w:ascii="Calibri" w:eastAsia="SimSun" w:hAnsi="Calibri"/>
          <w:szCs w:val="22"/>
        </w:rPr>
      </w:pPr>
      <w:r>
        <w:rPr>
          <w:rFonts w:ascii="Calibri" w:eastAsia="SimSun" w:hAnsi="Calibri"/>
          <w:szCs w:val="22"/>
        </w:rPr>
        <w:t>Burnout should be understood as a latent threat to care standardization, as it introduces variability into provider performance across similar clinical scenarios. This variability challenges efforts to maintain consistent quality across healthcare systems and underscores the importance of addressing burnout at an organizational level.</w:t>
      </w:r>
    </w:p>
    <w:p w14:paraId="21659ABF" w14:textId="681A82EB" w:rsidR="00A417C1" w:rsidRDefault="00000000" w:rsidP="3C93F7C5">
      <w:pPr>
        <w:rPr>
          <w:rFonts w:ascii="Calibri" w:eastAsia="SimSun" w:hAnsi="Calibri"/>
          <w:szCs w:val="22"/>
        </w:rPr>
      </w:pPr>
      <w:r>
        <w:rPr>
          <w:rFonts w:ascii="Calibri" w:eastAsia="SimSun" w:hAnsi="Calibri"/>
          <w:szCs w:val="22"/>
        </w:rPr>
        <w:t>The results also highlight the role of organizational accountability. Since burnout is driven by structural factors such as workload, staffing, and administrative burden, its impact on care quality cannot be separated from organizational decision-making. Addressing burnout requires system-level interventions that target these underlying drivers.</w:t>
      </w:r>
    </w:p>
    <w:p w14:paraId="4FFE3EDE" w14:textId="0333D8C5" w:rsidR="00A417C1" w:rsidRDefault="00000000" w:rsidP="3C93F7C5">
      <w:pPr>
        <w:rPr>
          <w:rFonts w:ascii="Calibri" w:eastAsia="SimSun" w:hAnsi="Calibri"/>
          <w:szCs w:val="22"/>
        </w:rPr>
      </w:pPr>
      <w:r>
        <w:rPr>
          <w:rFonts w:ascii="Calibri" w:eastAsia="SimSun" w:hAnsi="Calibri"/>
          <w:szCs w:val="22"/>
        </w:rPr>
        <w:t>Limitations of this study include the small sample size and reliance on self-reported data, which may limit generalizability. However, these findings provide a meaningful foundation for further research.</w:t>
      </w:r>
    </w:p>
    <w:p w14:paraId="3900E26F" w14:textId="4E7F3242" w:rsidR="00A417C1" w:rsidRDefault="00000000" w:rsidP="3C93F7C5">
      <w:pPr>
        <w:rPr>
          <w:rFonts w:ascii="Calibri" w:eastAsia="SimSun" w:hAnsi="Calibri"/>
          <w:szCs w:val="22"/>
        </w:rPr>
      </w:pPr>
      <w:r>
        <w:rPr>
          <w:rFonts w:ascii="Calibri" w:eastAsia="SimSun" w:hAnsi="Calibri"/>
          <w:szCs w:val="22"/>
        </w:rPr>
        <w:t>Future research should incorporate larger</w:t>
      </w:r>
      <w:r w:rsidR="00805437">
        <w:rPr>
          <w:rFonts w:ascii="Calibri" w:eastAsia="SimSun" w:hAnsi="Calibri"/>
          <w:szCs w:val="22"/>
        </w:rPr>
        <w:t>, more diverse samples, include objective measures of patient outcomes, and examine the long-term effects of burnout using</w:t>
      </w:r>
      <w:r>
        <w:rPr>
          <w:rFonts w:ascii="Calibri" w:eastAsia="SimSun" w:hAnsi="Calibri"/>
          <w:szCs w:val="22"/>
        </w:rPr>
        <w:t xml:space="preserve"> longitudinal designs. Additionally, evaluating the effectiveness of system-level interventions will be essential </w:t>
      </w:r>
      <w:r w:rsidR="00805437">
        <w:rPr>
          <w:rFonts w:ascii="Calibri" w:eastAsia="SimSun" w:hAnsi="Calibri"/>
          <w:szCs w:val="22"/>
        </w:rPr>
        <w:t>to developing sustainable strategies to reduce burnout and improve the quality of care</w:t>
      </w:r>
      <w:r>
        <w:rPr>
          <w:rFonts w:ascii="Calibri" w:eastAsia="SimSun" w:hAnsi="Calibri"/>
          <w:szCs w:val="22"/>
        </w:rPr>
        <w:t>.</w:t>
      </w:r>
    </w:p>
    <w:p w14:paraId="727127C4" w14:textId="3DF75B3C" w:rsidR="00A417C1" w:rsidRDefault="00000000" w:rsidP="3C93F7C5">
      <w:pPr>
        <w:pStyle w:val="Heading2"/>
        <w:rPr>
          <w:rFonts w:ascii="Calibri" w:eastAsia="SimSun" w:hAnsi="Calibri"/>
          <w:szCs w:val="22"/>
        </w:rPr>
      </w:pPr>
      <w:r>
        <w:t>Conclusion</w:t>
      </w:r>
    </w:p>
    <w:p w14:paraId="39E35A5A" w14:textId="74CDCF24" w:rsidR="00A417C1" w:rsidRDefault="00000000" w:rsidP="3C93F7C5">
      <w:pPr>
        <w:rPr>
          <w:rFonts w:ascii="Calibri" w:eastAsia="SimSun" w:hAnsi="Calibri"/>
          <w:szCs w:val="22"/>
        </w:rPr>
      </w:pPr>
      <w:r>
        <w:rPr>
          <w:rFonts w:ascii="Calibri" w:eastAsia="SimSun" w:hAnsi="Calibri"/>
          <w:szCs w:val="22"/>
        </w:rPr>
        <w:t>This study reinforces a critical reality within healthcare: burnout is not an isolated workforce issue but a defining factor in the quality of patient care. The strong relationship identified between burnout and perceived care effectiveness highlights the interconnected nature of clinician well-being and patient outcomes.</w:t>
      </w:r>
    </w:p>
    <w:p w14:paraId="0047D5F9" w14:textId="5CDC7D6C" w:rsidR="00A417C1" w:rsidRDefault="00000000" w:rsidP="3C93F7C5">
      <w:pPr>
        <w:rPr>
          <w:rFonts w:ascii="Calibri" w:eastAsia="SimSun" w:hAnsi="Calibri"/>
          <w:szCs w:val="22"/>
        </w:rPr>
      </w:pPr>
      <w:r>
        <w:rPr>
          <w:rFonts w:ascii="Calibri" w:eastAsia="SimSun" w:hAnsi="Calibri"/>
          <w:szCs w:val="22"/>
        </w:rPr>
        <w:lastRenderedPageBreak/>
        <w:t>Addressing burnout requires a shift from individual-level solutions to system-level strategies that address its root causes. Healthcare organizations must recognize that improving workforce conditions is essential for maintaining high-quality care.</w:t>
      </w:r>
    </w:p>
    <w:p w14:paraId="0F70F533" w14:textId="391CFAB1" w:rsidR="00A417C1" w:rsidRDefault="00000000" w:rsidP="3C93F7C5">
      <w:pPr>
        <w:rPr>
          <w:rFonts w:ascii="Calibri" w:eastAsia="SimSun" w:hAnsi="Calibri"/>
          <w:szCs w:val="22"/>
        </w:rPr>
      </w:pPr>
      <w:r>
        <w:rPr>
          <w:rFonts w:ascii="Calibri" w:eastAsia="SimSun" w:hAnsi="Calibri"/>
          <w:szCs w:val="22"/>
        </w:rPr>
        <w:t>Efforts to improve patient outcomes cannot be separated from efforts to support the healthcare professionals who deliver that care. Recognizing and addressing this connection is essential for building sustainable, effective healthcare systems.</w:t>
      </w:r>
    </w:p>
    <w:p w14:paraId="7A0297AD" w14:textId="77777777" w:rsidR="00B42CB9" w:rsidRDefault="00B42CB9" w:rsidP="3C93F7C5">
      <w:pPr>
        <w:rPr>
          <w:rFonts w:ascii="Calibri" w:eastAsia="SimSun" w:hAnsi="Calibri"/>
          <w:szCs w:val="22"/>
        </w:rPr>
      </w:pPr>
    </w:p>
    <w:p w14:paraId="071E4E01" w14:textId="58A53983" w:rsidR="00A417C1" w:rsidRDefault="00805437" w:rsidP="5D68E123">
      <w:pPr>
        <w:pStyle w:val="SectionTitle"/>
      </w:pPr>
      <w:r>
        <w:lastRenderedPageBreak/>
        <w:t>References</w:t>
      </w:r>
    </w:p>
    <w:p w14:paraId="75ED71BE" w14:textId="0F86D94C" w:rsidR="67AE9998" w:rsidRPr="00B863FB" w:rsidRDefault="00000000" w:rsidP="3C93F7C5">
      <w:pPr>
        <w:spacing w:before="240" w:after="240"/>
        <w:ind w:left="720" w:hanging="720"/>
      </w:pPr>
      <w:bookmarkStart w:id="5" w:name="_Int_ggXRjY2S"/>
      <w:r>
        <w:rPr>
          <w:rFonts w:ascii="Calibri" w:eastAsia="Calibri" w:hAnsi="Calibri" w:cs="Calibri"/>
          <w:szCs w:val="22"/>
        </w:rPr>
        <w:t>Aiken, L. H., Sermeus, W., Van den Heede, K., Sloane, D. M., Busse, R., McKee, M., … Kutney-Lee, A. (2012).</w:t>
      </w:r>
      <w:bookmarkEnd w:id="5"/>
      <w:r>
        <w:rPr>
          <w:rFonts w:ascii="Calibri" w:eastAsia="Calibri" w:hAnsi="Calibri" w:cs="Calibri"/>
          <w:szCs w:val="22"/>
        </w:rPr>
        <w:t xml:space="preserve"> Patient safety, satisfaction, and quality of hospital care: Cross-sectional surveys of nurses and patients in 12 countries in Europe and the United States. </w:t>
      </w:r>
      <w:r>
        <w:rPr>
          <w:rFonts w:ascii="Calibri" w:eastAsia="Calibri" w:hAnsi="Calibri" w:cs="Calibri"/>
          <w:i/>
          <w:iCs/>
          <w:szCs w:val="22"/>
        </w:rPr>
        <w:t>BMJ, 344</w:t>
      </w:r>
      <w:r>
        <w:rPr>
          <w:rFonts w:ascii="Calibri" w:eastAsia="Calibri" w:hAnsi="Calibri" w:cs="Calibri"/>
          <w:szCs w:val="22"/>
        </w:rPr>
        <w:t xml:space="preserve">, e1717. </w:t>
      </w:r>
      <w:hyperlink r:id="rId10">
        <w:r w:rsidR="67AE9998">
          <w:rPr>
            <w:rStyle w:val="Hyperlink"/>
            <w:rFonts w:ascii="Calibri" w:eastAsia="Calibri" w:hAnsi="Calibri" w:cs="Calibri"/>
            <w:szCs w:val="22"/>
          </w:rPr>
          <w:t>https://doi.org/10.1136/bmj.e1717</w:t>
        </w:r>
      </w:hyperlink>
    </w:p>
    <w:p w14:paraId="3EBB2536" w14:textId="04BC10B2" w:rsidR="67AE9998" w:rsidRPr="00B863FB" w:rsidRDefault="00000000" w:rsidP="3C93F7C5">
      <w:pPr>
        <w:spacing w:before="240" w:after="240"/>
        <w:ind w:left="720" w:hanging="720"/>
      </w:pPr>
      <w:r>
        <w:rPr>
          <w:rFonts w:ascii="Calibri" w:eastAsia="Calibri" w:hAnsi="Calibri" w:cs="Calibri"/>
          <w:szCs w:val="22"/>
        </w:rPr>
        <w:t xml:space="preserve">Dyrbye, L. N., West, C. P., Satele, D., Boone, S., Tan, L., Sloan, J., &amp; Shanafelt, T. D. (2017). </w:t>
      </w:r>
      <w:bookmarkStart w:id="6" w:name="_Int_5YmwSpVp"/>
      <w:r>
        <w:rPr>
          <w:rFonts w:ascii="Calibri" w:eastAsia="Calibri" w:hAnsi="Calibri" w:cs="Calibri"/>
          <w:szCs w:val="22"/>
        </w:rPr>
        <w:t>Burnout among U.S. medical students, residents, and early career physicians relative to the general U.S. population.</w:t>
      </w:r>
      <w:bookmarkEnd w:id="6"/>
      <w:r>
        <w:rPr>
          <w:rFonts w:ascii="Calibri" w:eastAsia="Calibri" w:hAnsi="Calibri" w:cs="Calibri"/>
          <w:szCs w:val="22"/>
        </w:rPr>
        <w:t xml:space="preserve"> </w:t>
      </w:r>
      <w:r>
        <w:rPr>
          <w:rFonts w:ascii="Calibri" w:eastAsia="Calibri" w:hAnsi="Calibri" w:cs="Calibri"/>
          <w:i/>
          <w:iCs/>
          <w:szCs w:val="22"/>
        </w:rPr>
        <w:t>Academic Medicine, 89</w:t>
      </w:r>
      <w:r>
        <w:rPr>
          <w:rFonts w:ascii="Calibri" w:eastAsia="Calibri" w:hAnsi="Calibri" w:cs="Calibri"/>
          <w:szCs w:val="22"/>
        </w:rPr>
        <w:t xml:space="preserve">(3), 443–451. </w:t>
      </w:r>
      <w:hyperlink r:id="rId11">
        <w:r w:rsidR="67AE9998">
          <w:rPr>
            <w:rStyle w:val="Hyperlink"/>
            <w:rFonts w:ascii="Calibri" w:eastAsia="Calibri" w:hAnsi="Calibri" w:cs="Calibri"/>
            <w:szCs w:val="22"/>
          </w:rPr>
          <w:t>https://doi.org/10.1097/ACM.0000000000000134</w:t>
        </w:r>
      </w:hyperlink>
    </w:p>
    <w:p w14:paraId="22AF1E5E" w14:textId="0744682B" w:rsidR="67AE9998" w:rsidRPr="00B863FB" w:rsidRDefault="00000000" w:rsidP="3C93F7C5">
      <w:pPr>
        <w:spacing w:before="240" w:after="240"/>
        <w:ind w:left="720" w:hanging="720"/>
      </w:pPr>
      <w:r>
        <w:rPr>
          <w:rFonts w:ascii="Calibri" w:eastAsia="Calibri" w:hAnsi="Calibri" w:cs="Calibri"/>
          <w:szCs w:val="22"/>
        </w:rPr>
        <w:t xml:space="preserve">Hall, L. H., Johnson, J., Watt, I., Tsipa, A., &amp; O’Connor, D. B. (2016). Healthcare </w:t>
      </w:r>
      <w:bookmarkStart w:id="7" w:name="_Int_84tnqGVQ"/>
      <w:r>
        <w:rPr>
          <w:rFonts w:ascii="Calibri" w:eastAsia="Calibri" w:hAnsi="Calibri" w:cs="Calibri"/>
          <w:szCs w:val="22"/>
        </w:rPr>
        <w:t>staff</w:t>
      </w:r>
      <w:bookmarkEnd w:id="7"/>
      <w:r>
        <w:rPr>
          <w:rFonts w:ascii="Calibri" w:eastAsia="Calibri" w:hAnsi="Calibri" w:cs="Calibri"/>
          <w:szCs w:val="22"/>
        </w:rPr>
        <w:t xml:space="preserve"> wellbeing, burnout, and patient safety: A systematic review. </w:t>
      </w:r>
      <w:r>
        <w:rPr>
          <w:rFonts w:ascii="Calibri" w:eastAsia="Calibri" w:hAnsi="Calibri" w:cs="Calibri"/>
          <w:i/>
          <w:iCs/>
          <w:szCs w:val="22"/>
        </w:rPr>
        <w:t>PLOS ONE, 11</w:t>
      </w:r>
      <w:r>
        <w:rPr>
          <w:rFonts w:ascii="Calibri" w:eastAsia="Calibri" w:hAnsi="Calibri" w:cs="Calibri"/>
          <w:szCs w:val="22"/>
        </w:rPr>
        <w:t xml:space="preserve">(7), e0159015. </w:t>
      </w:r>
      <w:hyperlink r:id="rId12">
        <w:r w:rsidR="67AE9998">
          <w:rPr>
            <w:rStyle w:val="Hyperlink"/>
            <w:rFonts w:ascii="Calibri" w:eastAsia="Calibri" w:hAnsi="Calibri" w:cs="Calibri"/>
            <w:szCs w:val="22"/>
          </w:rPr>
          <w:t>https://doi.org/10.1371/journal.pone.0159015</w:t>
        </w:r>
      </w:hyperlink>
    </w:p>
    <w:p w14:paraId="69AFFD6D" w14:textId="06541A25" w:rsidR="67AE9998" w:rsidRPr="00B863FB" w:rsidRDefault="00000000" w:rsidP="3C93F7C5">
      <w:pPr>
        <w:spacing w:before="240" w:after="240"/>
        <w:ind w:left="720" w:hanging="720"/>
      </w:pPr>
      <w:r>
        <w:rPr>
          <w:rFonts w:ascii="Calibri" w:eastAsia="Calibri" w:hAnsi="Calibri" w:cs="Calibri"/>
          <w:szCs w:val="22"/>
        </w:rPr>
        <w:t xml:space="preserve">Maslach, C., &amp; Leiter, M. P. (2016). </w:t>
      </w:r>
      <w:bookmarkStart w:id="8" w:name="_Int_poulYAJb"/>
      <w:r>
        <w:rPr>
          <w:rFonts w:ascii="Calibri" w:eastAsia="Calibri" w:hAnsi="Calibri" w:cs="Calibri"/>
          <w:szCs w:val="22"/>
        </w:rPr>
        <w:t>Understanding the burnout experience: Recent research and its implications for psychiatry.</w:t>
      </w:r>
      <w:bookmarkEnd w:id="8"/>
      <w:r>
        <w:rPr>
          <w:rFonts w:ascii="Calibri" w:eastAsia="Calibri" w:hAnsi="Calibri" w:cs="Calibri"/>
          <w:szCs w:val="22"/>
        </w:rPr>
        <w:t xml:space="preserve"> </w:t>
      </w:r>
      <w:r>
        <w:rPr>
          <w:rFonts w:ascii="Calibri" w:eastAsia="Calibri" w:hAnsi="Calibri" w:cs="Calibri"/>
          <w:i/>
          <w:iCs/>
          <w:szCs w:val="22"/>
        </w:rPr>
        <w:t>World Psychiatry, 15</w:t>
      </w:r>
      <w:r>
        <w:rPr>
          <w:rFonts w:ascii="Calibri" w:eastAsia="Calibri" w:hAnsi="Calibri" w:cs="Calibri"/>
          <w:szCs w:val="22"/>
        </w:rPr>
        <w:t xml:space="preserve">(2), 103–111. </w:t>
      </w:r>
      <w:hyperlink r:id="rId13">
        <w:r w:rsidR="67AE9998">
          <w:rPr>
            <w:rStyle w:val="Hyperlink"/>
            <w:rFonts w:ascii="Calibri" w:eastAsia="Calibri" w:hAnsi="Calibri" w:cs="Calibri"/>
            <w:szCs w:val="22"/>
          </w:rPr>
          <w:t>https://doi.org/10.1002/wps.20311</w:t>
        </w:r>
      </w:hyperlink>
    </w:p>
    <w:p w14:paraId="6F4E65C6" w14:textId="7A217E58" w:rsidR="67AE9998" w:rsidRPr="00B863FB" w:rsidRDefault="00000000" w:rsidP="3C93F7C5">
      <w:pPr>
        <w:spacing w:before="240" w:after="240"/>
        <w:ind w:left="720" w:hanging="720"/>
      </w:pPr>
      <w:r>
        <w:rPr>
          <w:rFonts w:ascii="Calibri" w:eastAsia="Calibri" w:hAnsi="Calibri" w:cs="Calibri"/>
          <w:szCs w:val="22"/>
        </w:rPr>
        <w:t xml:space="preserve">Montgomery, A., Panagopoulou, E., Esmail, A., Richards, T., &amp; Maslach, C. (2019). Burnout in healthcare: The case for organizational change. </w:t>
      </w:r>
      <w:r>
        <w:rPr>
          <w:rFonts w:ascii="Calibri" w:eastAsia="Calibri" w:hAnsi="Calibri" w:cs="Calibri"/>
          <w:i/>
          <w:iCs/>
          <w:szCs w:val="22"/>
        </w:rPr>
        <w:t>BMJ, 366</w:t>
      </w:r>
      <w:r>
        <w:rPr>
          <w:rFonts w:ascii="Calibri" w:eastAsia="Calibri" w:hAnsi="Calibri" w:cs="Calibri"/>
          <w:szCs w:val="22"/>
        </w:rPr>
        <w:t xml:space="preserve">, l4774. </w:t>
      </w:r>
      <w:hyperlink r:id="rId14">
        <w:r w:rsidR="67AE9998">
          <w:rPr>
            <w:rStyle w:val="Hyperlink"/>
            <w:rFonts w:ascii="Calibri" w:eastAsia="Calibri" w:hAnsi="Calibri" w:cs="Calibri"/>
            <w:szCs w:val="22"/>
          </w:rPr>
          <w:t>https://doi.org/10.1136/bmj.l4774</w:t>
        </w:r>
      </w:hyperlink>
    </w:p>
    <w:p w14:paraId="17CD1AAC" w14:textId="7B7EBD7B" w:rsidR="67AE9998" w:rsidRPr="00B863FB" w:rsidRDefault="00000000" w:rsidP="3C93F7C5">
      <w:pPr>
        <w:spacing w:before="240" w:after="240"/>
        <w:ind w:left="720" w:hanging="720"/>
      </w:pPr>
      <w:r>
        <w:rPr>
          <w:rFonts w:ascii="Calibri" w:eastAsia="Calibri" w:hAnsi="Calibri" w:cs="Calibri"/>
          <w:szCs w:val="22"/>
        </w:rPr>
        <w:t xml:space="preserve">National Academy of Medicine. (2019). </w:t>
      </w:r>
      <w:bookmarkStart w:id="9" w:name="_Int_ZuIypATw"/>
      <w:bookmarkStart w:id="10" w:name="_Int_4ypP9lzD"/>
      <w:proofErr w:type="gramStart"/>
      <w:r>
        <w:rPr>
          <w:rFonts w:ascii="Calibri" w:eastAsia="Calibri" w:hAnsi="Calibri" w:cs="Calibri"/>
          <w:i/>
          <w:iCs/>
          <w:szCs w:val="22"/>
        </w:rPr>
        <w:t>Taking action</w:t>
      </w:r>
      <w:bookmarkEnd w:id="9"/>
      <w:proofErr w:type="gramEnd"/>
      <w:r>
        <w:rPr>
          <w:rFonts w:ascii="Calibri" w:eastAsia="Calibri" w:hAnsi="Calibri" w:cs="Calibri"/>
          <w:i/>
          <w:iCs/>
          <w:szCs w:val="22"/>
        </w:rPr>
        <w:t xml:space="preserve"> against clinician burnout: A systems approach to professional well-being</w:t>
      </w:r>
      <w:r>
        <w:rPr>
          <w:rFonts w:ascii="Calibri" w:eastAsia="Calibri" w:hAnsi="Calibri" w:cs="Calibri"/>
          <w:szCs w:val="22"/>
        </w:rPr>
        <w:t>.</w:t>
      </w:r>
      <w:bookmarkEnd w:id="10"/>
      <w:r>
        <w:rPr>
          <w:rFonts w:ascii="Calibri" w:eastAsia="Calibri" w:hAnsi="Calibri" w:cs="Calibri"/>
          <w:szCs w:val="22"/>
        </w:rPr>
        <w:t xml:space="preserve"> </w:t>
      </w:r>
      <w:hyperlink r:id="rId15">
        <w:r w:rsidR="67AE9998">
          <w:rPr>
            <w:rStyle w:val="Hyperlink"/>
            <w:rFonts w:ascii="Calibri" w:eastAsia="Calibri" w:hAnsi="Calibri" w:cs="Calibri"/>
            <w:szCs w:val="22"/>
          </w:rPr>
          <w:t>https://www.nationalacademies.org/read/25521/chapter/1</w:t>
        </w:r>
      </w:hyperlink>
    </w:p>
    <w:p w14:paraId="010179D3" w14:textId="29A036F6" w:rsidR="67AE9998" w:rsidRPr="00B863FB" w:rsidRDefault="00000000" w:rsidP="3C93F7C5">
      <w:pPr>
        <w:spacing w:before="240" w:after="240"/>
        <w:ind w:left="720" w:hanging="720"/>
      </w:pPr>
      <w:bookmarkStart w:id="11" w:name="_Int_r3pi6Ln2"/>
      <w:r>
        <w:rPr>
          <w:rFonts w:ascii="Calibri" w:eastAsia="Calibri" w:hAnsi="Calibri" w:cs="Calibri"/>
          <w:szCs w:val="22"/>
        </w:rPr>
        <w:lastRenderedPageBreak/>
        <w:t>Salyers, M. P., Bonfils, K. A., Luther, L., Firmin, R. L., White, D. A., Adams, E. L., &amp; Rollins, A. L. (2017).</w:t>
      </w:r>
      <w:bookmarkEnd w:id="11"/>
      <w:r>
        <w:rPr>
          <w:rFonts w:ascii="Calibri" w:eastAsia="Calibri" w:hAnsi="Calibri" w:cs="Calibri"/>
          <w:szCs w:val="22"/>
        </w:rPr>
        <w:t xml:space="preserve"> The relationship between professional burnout and quality and safety in healthcare: A meta-analysis. </w:t>
      </w:r>
      <w:r>
        <w:rPr>
          <w:rFonts w:ascii="Calibri" w:eastAsia="Calibri" w:hAnsi="Calibri" w:cs="Calibri"/>
          <w:i/>
          <w:iCs/>
          <w:szCs w:val="22"/>
        </w:rPr>
        <w:t>Psychiatric Services, 68</w:t>
      </w:r>
      <w:r>
        <w:rPr>
          <w:rFonts w:ascii="Calibri" w:eastAsia="Calibri" w:hAnsi="Calibri" w:cs="Calibri"/>
          <w:szCs w:val="22"/>
        </w:rPr>
        <w:t xml:space="preserve">(2), 171–177. </w:t>
      </w:r>
      <w:hyperlink r:id="rId16">
        <w:r w:rsidR="67AE9998">
          <w:rPr>
            <w:rStyle w:val="Hyperlink"/>
            <w:rFonts w:ascii="Calibri" w:eastAsia="Calibri" w:hAnsi="Calibri" w:cs="Calibri"/>
            <w:szCs w:val="22"/>
          </w:rPr>
          <w:t>https://doi.org/10.1176/appi.ps.201500451</w:t>
        </w:r>
      </w:hyperlink>
    </w:p>
    <w:p w14:paraId="4C2CC5E6" w14:textId="24CBCA54" w:rsidR="67AE9998" w:rsidRPr="00B863FB" w:rsidRDefault="00000000" w:rsidP="3C93F7C5">
      <w:pPr>
        <w:spacing w:before="240" w:after="240"/>
        <w:ind w:left="720" w:hanging="720"/>
      </w:pPr>
      <w:r>
        <w:rPr>
          <w:rFonts w:ascii="Calibri" w:eastAsia="Calibri" w:hAnsi="Calibri" w:cs="Calibri"/>
          <w:szCs w:val="22"/>
        </w:rPr>
        <w:t xml:space="preserve">Shanafelt, T. D., Hasan, O., Dyrbye, L. N., Sinsky, C., Satele, D., Sloan, J., &amp; West, C. P. (2015). </w:t>
      </w:r>
      <w:bookmarkStart w:id="12" w:name="_Int_gtpdaOYL"/>
      <w:r>
        <w:rPr>
          <w:rFonts w:ascii="Calibri" w:eastAsia="Calibri" w:hAnsi="Calibri" w:cs="Calibri"/>
          <w:szCs w:val="22"/>
        </w:rPr>
        <w:t>Changes in burnout and satisfaction with work-life balance in physicians and the general U.S. working population.</w:t>
      </w:r>
      <w:bookmarkEnd w:id="12"/>
      <w:r>
        <w:rPr>
          <w:rFonts w:ascii="Calibri" w:eastAsia="Calibri" w:hAnsi="Calibri" w:cs="Calibri"/>
          <w:szCs w:val="22"/>
        </w:rPr>
        <w:t xml:space="preserve"> </w:t>
      </w:r>
      <w:r>
        <w:rPr>
          <w:rFonts w:ascii="Calibri" w:eastAsia="Calibri" w:hAnsi="Calibri" w:cs="Calibri"/>
          <w:i/>
          <w:iCs/>
          <w:szCs w:val="22"/>
        </w:rPr>
        <w:t>Mayo Clinic Proceedings, 90</w:t>
      </w:r>
      <w:r>
        <w:rPr>
          <w:rFonts w:ascii="Calibri" w:eastAsia="Calibri" w:hAnsi="Calibri" w:cs="Calibri"/>
          <w:szCs w:val="22"/>
        </w:rPr>
        <w:t xml:space="preserve">(12), 1600–1613. </w:t>
      </w:r>
      <w:hyperlink r:id="rId17">
        <w:r w:rsidR="67AE9998">
          <w:rPr>
            <w:rStyle w:val="Hyperlink"/>
            <w:rFonts w:ascii="Calibri" w:eastAsia="Calibri" w:hAnsi="Calibri" w:cs="Calibri"/>
            <w:szCs w:val="22"/>
          </w:rPr>
          <w:t>https://doi.org/10.1016/j.mayocp.2015.08.023</w:t>
        </w:r>
      </w:hyperlink>
    </w:p>
    <w:p w14:paraId="12BA9FAE" w14:textId="2EF1B25C" w:rsidR="67AE9998" w:rsidRPr="00B863FB" w:rsidRDefault="00000000" w:rsidP="3C93F7C5">
      <w:pPr>
        <w:spacing w:before="240" w:after="240"/>
        <w:ind w:left="720" w:hanging="720"/>
      </w:pPr>
      <w:r>
        <w:rPr>
          <w:rFonts w:ascii="Calibri" w:eastAsia="Calibri" w:hAnsi="Calibri" w:cs="Calibri"/>
          <w:szCs w:val="22"/>
        </w:rPr>
        <w:t xml:space="preserve">Tawfik, D. S., Profit, J., Morgenthaler, T. I., Satele, D. V., Sinsky, C. A., Dyrbye, L. N., Tutty, M. A., &amp; Shanafelt, T. D. (2018). </w:t>
      </w:r>
      <w:bookmarkStart w:id="13" w:name="_Int_aGIChacs"/>
      <w:r>
        <w:rPr>
          <w:rFonts w:ascii="Calibri" w:eastAsia="Calibri" w:hAnsi="Calibri" w:cs="Calibri"/>
          <w:szCs w:val="22"/>
        </w:rPr>
        <w:t>Physician burnout, well-being, and work unit safety grades in relationship to reported medical errors.</w:t>
      </w:r>
      <w:bookmarkEnd w:id="13"/>
      <w:r>
        <w:rPr>
          <w:rFonts w:ascii="Calibri" w:eastAsia="Calibri" w:hAnsi="Calibri" w:cs="Calibri"/>
          <w:szCs w:val="22"/>
        </w:rPr>
        <w:t xml:space="preserve"> </w:t>
      </w:r>
      <w:r>
        <w:rPr>
          <w:rFonts w:ascii="Calibri" w:eastAsia="Calibri" w:hAnsi="Calibri" w:cs="Calibri"/>
          <w:i/>
          <w:iCs/>
          <w:szCs w:val="22"/>
        </w:rPr>
        <w:t>Mayo Clinic Proceedings, 93</w:t>
      </w:r>
      <w:r>
        <w:rPr>
          <w:rFonts w:ascii="Calibri" w:eastAsia="Calibri" w:hAnsi="Calibri" w:cs="Calibri"/>
          <w:szCs w:val="22"/>
        </w:rPr>
        <w:t xml:space="preserve">(11), 1571–1580. </w:t>
      </w:r>
      <w:hyperlink r:id="rId18">
        <w:r w:rsidR="67AE9998">
          <w:rPr>
            <w:rStyle w:val="Hyperlink"/>
            <w:rFonts w:ascii="Calibri" w:eastAsia="Calibri" w:hAnsi="Calibri" w:cs="Calibri"/>
            <w:szCs w:val="22"/>
          </w:rPr>
          <w:t>https://doi.org/10.1016/j.mayocp.2018.05.014</w:t>
        </w:r>
      </w:hyperlink>
    </w:p>
    <w:p w14:paraId="457A118B" w14:textId="26D88BA4" w:rsidR="67AE9998" w:rsidRPr="00B863FB" w:rsidRDefault="00000000" w:rsidP="3C93F7C5">
      <w:pPr>
        <w:spacing w:before="240" w:after="240"/>
        <w:ind w:left="720" w:hanging="720"/>
      </w:pPr>
      <w:r>
        <w:rPr>
          <w:rFonts w:ascii="Calibri" w:eastAsia="Calibri" w:hAnsi="Calibri" w:cs="Calibri"/>
          <w:szCs w:val="22"/>
        </w:rPr>
        <w:t xml:space="preserve">West, C. P., Dyrbye, L. N., Erwin, P. J., &amp; Shanafelt, T. D. (2018). </w:t>
      </w:r>
      <w:bookmarkStart w:id="14" w:name="_Int_ImtO8QAw"/>
      <w:r>
        <w:rPr>
          <w:rFonts w:ascii="Calibri" w:eastAsia="Calibri" w:hAnsi="Calibri" w:cs="Calibri"/>
          <w:szCs w:val="22"/>
        </w:rPr>
        <w:t>Interventions to prevent and reduce physician burnout: A systematic review and meta-analysis.</w:t>
      </w:r>
      <w:bookmarkEnd w:id="14"/>
      <w:r>
        <w:rPr>
          <w:rFonts w:ascii="Calibri" w:eastAsia="Calibri" w:hAnsi="Calibri" w:cs="Calibri"/>
          <w:szCs w:val="22"/>
        </w:rPr>
        <w:t xml:space="preserve"> </w:t>
      </w:r>
      <w:bookmarkStart w:id="15" w:name="_Int_cyKcR6TR"/>
      <w:r>
        <w:rPr>
          <w:rFonts w:ascii="Calibri" w:eastAsia="Calibri" w:hAnsi="Calibri" w:cs="Calibri"/>
          <w:i/>
          <w:iCs/>
          <w:szCs w:val="22"/>
        </w:rPr>
        <w:t>The Lancet</w:t>
      </w:r>
      <w:bookmarkEnd w:id="15"/>
      <w:r>
        <w:rPr>
          <w:rFonts w:ascii="Calibri" w:eastAsia="Calibri" w:hAnsi="Calibri" w:cs="Calibri"/>
          <w:i/>
          <w:iCs/>
          <w:szCs w:val="22"/>
        </w:rPr>
        <w:t>, 388</w:t>
      </w:r>
      <w:r>
        <w:rPr>
          <w:rFonts w:ascii="Calibri" w:eastAsia="Calibri" w:hAnsi="Calibri" w:cs="Calibri"/>
          <w:szCs w:val="22"/>
        </w:rPr>
        <w:t xml:space="preserve">(10057), 2272–2281. </w:t>
      </w:r>
      <w:hyperlink r:id="rId19">
        <w:r w:rsidR="67AE9998">
          <w:rPr>
            <w:rStyle w:val="Hyperlink"/>
            <w:rFonts w:ascii="Calibri" w:eastAsia="Calibri" w:hAnsi="Calibri" w:cs="Calibri"/>
            <w:szCs w:val="22"/>
          </w:rPr>
          <w:t>https://doi.org/10.1016/S0140-6736(16)31279-X</w:t>
        </w:r>
      </w:hyperlink>
    </w:p>
    <w:p w14:paraId="502FBB8E" w14:textId="7184C8C2" w:rsidR="67AE9998" w:rsidRPr="00B863FB" w:rsidRDefault="00000000" w:rsidP="3C93F7C5">
      <w:pPr>
        <w:pStyle w:val="Heading1"/>
      </w:pPr>
      <w:r>
        <w:rPr>
          <w:rFonts w:ascii="Calibri" w:eastAsia="Calibri" w:hAnsi="Calibri" w:cs="Calibri"/>
          <w:color w:val="000000" w:themeColor="text2"/>
          <w:szCs w:val="22"/>
        </w:rPr>
        <w:t>Appendix A</w:t>
      </w:r>
    </w:p>
    <w:p w14:paraId="5BEF9110" w14:textId="2AB20031" w:rsidR="67AE9998" w:rsidRPr="00B863FB" w:rsidRDefault="00000000" w:rsidP="3C93F7C5">
      <w:pPr>
        <w:pStyle w:val="Heading1"/>
      </w:pPr>
      <w:r>
        <w:rPr>
          <w:rFonts w:ascii="Calibri" w:eastAsia="Calibri" w:hAnsi="Calibri" w:cs="Calibri"/>
          <w:color w:val="000000" w:themeColor="text2"/>
          <w:szCs w:val="22"/>
        </w:rPr>
        <w:t>Survey Instrument: Burnout and Perceived Quality of Patient Care</w:t>
      </w:r>
    </w:p>
    <w:p w14:paraId="4DEB3E80" w14:textId="59418744" w:rsidR="67AE9998" w:rsidRPr="00B863FB" w:rsidRDefault="00000000" w:rsidP="3C93F7C5">
      <w:pPr>
        <w:spacing w:before="240"/>
      </w:pPr>
      <w:r>
        <w:rPr>
          <w:rFonts w:ascii="Calibri" w:eastAsia="Calibri" w:hAnsi="Calibri" w:cs="Calibri"/>
          <w:color w:val="000000" w:themeColor="text2"/>
          <w:szCs w:val="22"/>
        </w:rPr>
        <w:t>Participants were asked to respond to the following statements using a 5-point Likert scale:</w:t>
      </w:r>
      <w:r>
        <w:br/>
      </w:r>
      <w:r>
        <w:rPr>
          <w:rFonts w:ascii="Calibri" w:eastAsia="Calibri" w:hAnsi="Calibri" w:cs="Calibri"/>
          <w:color w:val="000000" w:themeColor="text2"/>
          <w:szCs w:val="22"/>
        </w:rPr>
        <w:t xml:space="preserve">  </w:t>
      </w:r>
      <w:r>
        <w:rPr>
          <w:rFonts w:ascii="Calibri" w:eastAsia="Calibri" w:hAnsi="Calibri" w:cs="Calibri"/>
          <w:b/>
          <w:bCs/>
          <w:color w:val="000000" w:themeColor="text2"/>
          <w:szCs w:val="22"/>
        </w:rPr>
        <w:t>1 = Strongly Disagree, 2 = Disagree, 3 = Neutral, 4 = Agree, 5 = Strongly Agree</w:t>
      </w:r>
    </w:p>
    <w:p w14:paraId="0CDFB8B2" w14:textId="3A5071D4" w:rsidR="67AE9998" w:rsidRPr="00B863FB" w:rsidRDefault="00000000" w:rsidP="3C93F7C5">
      <w:r>
        <w:rPr>
          <w:rFonts w:ascii="Calibri" w:eastAsia="Calibri" w:hAnsi="Calibri" w:cs="Calibri"/>
          <w:b/>
          <w:bCs/>
          <w:color w:val="000000" w:themeColor="text2"/>
          <w:szCs w:val="22"/>
        </w:rPr>
        <w:t xml:space="preserve"> </w:t>
      </w:r>
    </w:p>
    <w:p w14:paraId="14AFBE1A" w14:textId="19162E74" w:rsidR="67AE9998" w:rsidRPr="00B863FB" w:rsidRDefault="00000000" w:rsidP="3C93F7C5">
      <w:r>
        <w:rPr>
          <w:rFonts w:ascii="Calibri" w:eastAsia="Calibri" w:hAnsi="Calibri" w:cs="Calibri"/>
          <w:b/>
          <w:bCs/>
          <w:color w:val="000000" w:themeColor="text2"/>
          <w:szCs w:val="22"/>
        </w:rPr>
        <w:t>Burnout Measures</w:t>
      </w:r>
    </w:p>
    <w:p w14:paraId="091C1E0B" w14:textId="4CEF8B22" w:rsidR="67AE9998" w:rsidRPr="00B863FB" w:rsidRDefault="00000000" w:rsidP="3C93F7C5">
      <w:pPr>
        <w:pStyle w:val="ListParagraph"/>
        <w:numPr>
          <w:ilvl w:val="0"/>
          <w:numId w:val="2"/>
        </w:numPr>
        <w:rPr>
          <w:rFonts w:ascii="Calibri" w:eastAsia="Calibri" w:hAnsi="Calibri" w:cs="Calibri"/>
          <w:color w:val="000000" w:themeColor="text2"/>
          <w:szCs w:val="22"/>
        </w:rPr>
      </w:pPr>
      <w:r>
        <w:rPr>
          <w:rFonts w:ascii="Calibri" w:eastAsia="Calibri" w:hAnsi="Calibri" w:cs="Calibri"/>
          <w:color w:val="000000" w:themeColor="text2"/>
          <w:szCs w:val="22"/>
        </w:rPr>
        <w:t xml:space="preserve">I feel emotionally exhausted from my work. </w:t>
      </w:r>
    </w:p>
    <w:p w14:paraId="4928DEC7" w14:textId="04D65E67" w:rsidR="67AE9998" w:rsidRPr="00B863FB" w:rsidRDefault="00000000" w:rsidP="3C93F7C5">
      <w:pPr>
        <w:pStyle w:val="ListParagraph"/>
        <w:numPr>
          <w:ilvl w:val="0"/>
          <w:numId w:val="2"/>
        </w:numPr>
        <w:rPr>
          <w:rFonts w:ascii="Calibri" w:eastAsia="Calibri" w:hAnsi="Calibri" w:cs="Calibri"/>
          <w:color w:val="000000" w:themeColor="text2"/>
          <w:szCs w:val="22"/>
        </w:rPr>
      </w:pPr>
      <w:r>
        <w:rPr>
          <w:rFonts w:ascii="Calibri" w:eastAsia="Calibri" w:hAnsi="Calibri" w:cs="Calibri"/>
          <w:color w:val="000000" w:themeColor="text2"/>
          <w:szCs w:val="22"/>
        </w:rPr>
        <w:t xml:space="preserve">I feel overwhelmed by my daily job responsibilities. </w:t>
      </w:r>
    </w:p>
    <w:p w14:paraId="3A753596" w14:textId="15EFA351" w:rsidR="67AE9998" w:rsidRPr="00B863FB" w:rsidRDefault="00000000" w:rsidP="3C93F7C5">
      <w:pPr>
        <w:pStyle w:val="ListParagraph"/>
        <w:numPr>
          <w:ilvl w:val="0"/>
          <w:numId w:val="2"/>
        </w:numPr>
        <w:rPr>
          <w:rFonts w:ascii="Calibri" w:eastAsia="Calibri" w:hAnsi="Calibri" w:cs="Calibri"/>
          <w:color w:val="000000" w:themeColor="text2"/>
          <w:szCs w:val="22"/>
        </w:rPr>
      </w:pPr>
      <w:bookmarkStart w:id="16" w:name="_Int_ypLENwhr"/>
      <w:r>
        <w:rPr>
          <w:rFonts w:ascii="Calibri" w:eastAsia="Calibri" w:hAnsi="Calibri" w:cs="Calibri"/>
          <w:color w:val="000000" w:themeColor="text2"/>
          <w:szCs w:val="22"/>
        </w:rPr>
        <w:lastRenderedPageBreak/>
        <w:t>I feel mentally drained at the end of most workdays.</w:t>
      </w:r>
      <w:bookmarkEnd w:id="16"/>
      <w:r>
        <w:rPr>
          <w:rFonts w:ascii="Calibri" w:eastAsia="Calibri" w:hAnsi="Calibri" w:cs="Calibri"/>
          <w:color w:val="000000" w:themeColor="text2"/>
          <w:szCs w:val="22"/>
        </w:rPr>
        <w:t xml:space="preserve"> </w:t>
      </w:r>
    </w:p>
    <w:p w14:paraId="3B87107D" w14:textId="37BA49D5" w:rsidR="67AE9998" w:rsidRPr="00B863FB" w:rsidRDefault="00000000" w:rsidP="3C93F7C5">
      <w:pPr>
        <w:pStyle w:val="ListParagraph"/>
        <w:numPr>
          <w:ilvl w:val="0"/>
          <w:numId w:val="2"/>
        </w:numPr>
        <w:rPr>
          <w:rFonts w:ascii="Calibri" w:eastAsia="Calibri" w:hAnsi="Calibri" w:cs="Calibri"/>
          <w:color w:val="000000" w:themeColor="text2"/>
          <w:szCs w:val="22"/>
        </w:rPr>
      </w:pPr>
      <w:r>
        <w:rPr>
          <w:rFonts w:ascii="Calibri" w:eastAsia="Calibri" w:hAnsi="Calibri" w:cs="Calibri"/>
          <w:color w:val="000000" w:themeColor="text2"/>
          <w:szCs w:val="22"/>
        </w:rPr>
        <w:t xml:space="preserve">My workload is difficult to manage. </w:t>
      </w:r>
    </w:p>
    <w:p w14:paraId="7B897A88" w14:textId="37256BCB" w:rsidR="67AE9998" w:rsidRPr="00B863FB" w:rsidRDefault="00000000" w:rsidP="3C93F7C5">
      <w:pPr>
        <w:pStyle w:val="ListParagraph"/>
        <w:numPr>
          <w:ilvl w:val="0"/>
          <w:numId w:val="2"/>
        </w:numPr>
        <w:rPr>
          <w:rFonts w:ascii="Calibri" w:eastAsia="Calibri" w:hAnsi="Calibri" w:cs="Calibri"/>
          <w:color w:val="000000" w:themeColor="text2"/>
          <w:szCs w:val="22"/>
        </w:rPr>
      </w:pPr>
      <w:r>
        <w:rPr>
          <w:rFonts w:ascii="Calibri" w:eastAsia="Calibri" w:hAnsi="Calibri" w:cs="Calibri"/>
          <w:color w:val="000000" w:themeColor="text2"/>
          <w:szCs w:val="22"/>
        </w:rPr>
        <w:t xml:space="preserve">I feel burned out from my job. </w:t>
      </w:r>
    </w:p>
    <w:p w14:paraId="2B5BF2A6" w14:textId="55D56A86" w:rsidR="67AE9998" w:rsidRPr="00B863FB" w:rsidRDefault="00000000" w:rsidP="3C93F7C5">
      <w:r>
        <w:rPr>
          <w:rFonts w:ascii="Calibri" w:eastAsia="Calibri" w:hAnsi="Calibri" w:cs="Calibri"/>
          <w:color w:val="000000" w:themeColor="text2"/>
          <w:szCs w:val="22"/>
        </w:rPr>
        <w:t xml:space="preserve"> </w:t>
      </w:r>
    </w:p>
    <w:p w14:paraId="35DB808F" w14:textId="57892608" w:rsidR="67AE9998" w:rsidRPr="00B863FB" w:rsidRDefault="00000000" w:rsidP="3C93F7C5">
      <w:r>
        <w:rPr>
          <w:rFonts w:ascii="Calibri" w:eastAsia="Calibri" w:hAnsi="Calibri" w:cs="Calibri"/>
          <w:b/>
          <w:bCs/>
          <w:color w:val="000000" w:themeColor="text2"/>
          <w:szCs w:val="22"/>
        </w:rPr>
        <w:t>Perceived Quality of Patient Care Measures</w:t>
      </w:r>
    </w:p>
    <w:p w14:paraId="0DAB9FBA" w14:textId="1B9E3A78" w:rsidR="67AE9998" w:rsidRPr="00B863FB" w:rsidRDefault="00000000" w:rsidP="3C93F7C5">
      <w:pPr>
        <w:pStyle w:val="ListParagraph"/>
        <w:numPr>
          <w:ilvl w:val="0"/>
          <w:numId w:val="1"/>
        </w:numPr>
        <w:rPr>
          <w:rFonts w:ascii="Calibri" w:eastAsia="Calibri" w:hAnsi="Calibri" w:cs="Calibri"/>
          <w:color w:val="000000" w:themeColor="text2"/>
          <w:szCs w:val="22"/>
        </w:rPr>
      </w:pPr>
      <w:r>
        <w:rPr>
          <w:rFonts w:ascii="Calibri" w:eastAsia="Calibri" w:hAnsi="Calibri" w:cs="Calibri"/>
          <w:color w:val="000000" w:themeColor="text2"/>
          <w:szCs w:val="22"/>
        </w:rPr>
        <w:t xml:space="preserve">Burnout affects my ability to provide high-quality patient care. </w:t>
      </w:r>
    </w:p>
    <w:p w14:paraId="7593406A" w14:textId="530241EF" w:rsidR="67AE9998" w:rsidRPr="00B863FB" w:rsidRDefault="00000000" w:rsidP="3C93F7C5">
      <w:pPr>
        <w:pStyle w:val="ListParagraph"/>
        <w:numPr>
          <w:ilvl w:val="0"/>
          <w:numId w:val="1"/>
        </w:numPr>
        <w:rPr>
          <w:rFonts w:ascii="Calibri" w:eastAsia="Calibri" w:hAnsi="Calibri" w:cs="Calibri"/>
          <w:color w:val="000000" w:themeColor="text2"/>
          <w:szCs w:val="22"/>
        </w:rPr>
      </w:pPr>
      <w:r>
        <w:rPr>
          <w:rFonts w:ascii="Calibri" w:eastAsia="Calibri" w:hAnsi="Calibri" w:cs="Calibri"/>
          <w:color w:val="000000" w:themeColor="text2"/>
          <w:szCs w:val="22"/>
        </w:rPr>
        <w:t xml:space="preserve">When I feel exhausted, it is harder to stay fully engaged with patients. </w:t>
      </w:r>
    </w:p>
    <w:p w14:paraId="70B4B9B3" w14:textId="3EE3360C" w:rsidR="67AE9998" w:rsidRPr="00B863FB" w:rsidRDefault="00000000" w:rsidP="3C93F7C5">
      <w:pPr>
        <w:pStyle w:val="ListParagraph"/>
        <w:numPr>
          <w:ilvl w:val="0"/>
          <w:numId w:val="1"/>
        </w:numPr>
        <w:rPr>
          <w:rFonts w:ascii="Calibri" w:eastAsia="Calibri" w:hAnsi="Calibri" w:cs="Calibri"/>
          <w:color w:val="000000" w:themeColor="text2"/>
          <w:szCs w:val="22"/>
        </w:rPr>
      </w:pPr>
      <w:r>
        <w:rPr>
          <w:rFonts w:ascii="Calibri" w:eastAsia="Calibri" w:hAnsi="Calibri" w:cs="Calibri"/>
          <w:color w:val="000000" w:themeColor="text2"/>
          <w:szCs w:val="22"/>
        </w:rPr>
        <w:t xml:space="preserve">Job-related stress affects my communication with patients or coworkers. </w:t>
      </w:r>
    </w:p>
    <w:p w14:paraId="15287D29" w14:textId="7A00772F" w:rsidR="67AE9998" w:rsidRPr="00B863FB" w:rsidRDefault="00000000" w:rsidP="3C93F7C5">
      <w:pPr>
        <w:pStyle w:val="ListParagraph"/>
        <w:numPr>
          <w:ilvl w:val="0"/>
          <w:numId w:val="1"/>
        </w:numPr>
        <w:rPr>
          <w:rFonts w:ascii="Calibri" w:eastAsia="Calibri" w:hAnsi="Calibri" w:cs="Calibri"/>
          <w:color w:val="000000" w:themeColor="text2"/>
          <w:szCs w:val="22"/>
        </w:rPr>
      </w:pPr>
      <w:r>
        <w:rPr>
          <w:rFonts w:ascii="Calibri" w:eastAsia="Calibri" w:hAnsi="Calibri" w:cs="Calibri"/>
          <w:color w:val="000000" w:themeColor="text2"/>
          <w:szCs w:val="22"/>
        </w:rPr>
        <w:t xml:space="preserve">Burnout reduces my overall effectiveness at work. </w:t>
      </w:r>
    </w:p>
    <w:p w14:paraId="521F46B9" w14:textId="791827D8" w:rsidR="67AE9998" w:rsidRPr="00B863FB" w:rsidRDefault="00000000" w:rsidP="3C93F7C5">
      <w:pPr>
        <w:pStyle w:val="ListParagraph"/>
        <w:numPr>
          <w:ilvl w:val="0"/>
          <w:numId w:val="1"/>
        </w:numPr>
        <w:rPr>
          <w:rFonts w:ascii="Calibri" w:eastAsia="Calibri" w:hAnsi="Calibri" w:cs="Calibri"/>
          <w:color w:val="000000" w:themeColor="text2"/>
          <w:szCs w:val="22"/>
        </w:rPr>
      </w:pPr>
      <w:r>
        <w:rPr>
          <w:rFonts w:ascii="Calibri" w:eastAsia="Calibri" w:hAnsi="Calibri" w:cs="Calibri"/>
          <w:color w:val="000000" w:themeColor="text2"/>
          <w:szCs w:val="22"/>
        </w:rPr>
        <w:t>I believe burnout can negatively affect patient outcomes.</w:t>
      </w:r>
    </w:p>
    <w:p w14:paraId="27C9471A" w14:textId="404FBD22" w:rsidR="67AE9998" w:rsidRPr="00B863FB" w:rsidRDefault="67AE9998" w:rsidP="3C93F7C5">
      <w:pPr>
        <w:rPr>
          <w:rFonts w:ascii="Calibri" w:eastAsia="Calibri" w:hAnsi="Calibri" w:cs="Calibri"/>
          <w:color w:val="000000" w:themeColor="text2"/>
          <w:szCs w:val="22"/>
        </w:rPr>
      </w:pPr>
    </w:p>
    <w:p w14:paraId="30C58F14" w14:textId="57FB636C" w:rsidR="67AE9998" w:rsidRPr="00B863FB" w:rsidRDefault="67AE9998" w:rsidP="3C93F7C5"/>
    <w:p w14:paraId="0C988B38" w14:textId="7D6FB153" w:rsidR="67AE9998" w:rsidRPr="00B863FB" w:rsidRDefault="67AE9998" w:rsidP="3C93F7C5"/>
    <w:p w14:paraId="33822C28" w14:textId="328E6BE6" w:rsidR="67AE9998" w:rsidRPr="00B863FB" w:rsidRDefault="67AE9998" w:rsidP="3C93F7C5"/>
    <w:p w14:paraId="7DEA9873" w14:textId="434D8033" w:rsidR="67AE9998" w:rsidRPr="00B863FB" w:rsidRDefault="67AE9998" w:rsidP="3C93F7C5">
      <w:pPr>
        <w:pStyle w:val="TableFigure"/>
      </w:pPr>
    </w:p>
    <w:sectPr w:rsidR="67AE9998" w:rsidRPr="00B863FB">
      <w:headerReference w:type="even" r:id="rId20"/>
      <w:headerReference w:type="default" r:id="rId21"/>
      <w:footerReference w:type="even" r:id="rId22"/>
      <w:footerReference w:type="default" r:id="rId23"/>
      <w:headerReference w:type="first" r:id="rId24"/>
      <w:footerReference w:type="first" r:id="rId2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A07F" w14:textId="77777777" w:rsidR="00484003" w:rsidRDefault="00484003">
      <w:pPr>
        <w:spacing w:line="240" w:lineRule="auto"/>
      </w:pPr>
      <w:r>
        <w:separator/>
      </w:r>
    </w:p>
    <w:p w14:paraId="4E78FADB" w14:textId="77777777" w:rsidR="00484003" w:rsidRDefault="00484003"/>
  </w:endnote>
  <w:endnote w:type="continuationSeparator" w:id="0">
    <w:p w14:paraId="38B1608D" w14:textId="77777777" w:rsidR="00484003" w:rsidRDefault="00484003">
      <w:pPr>
        <w:spacing w:line="240" w:lineRule="auto"/>
      </w:pPr>
      <w:r>
        <w:continuationSeparator/>
      </w:r>
    </w:p>
    <w:p w14:paraId="07D1D239" w14:textId="77777777" w:rsidR="00484003" w:rsidRDefault="00484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7C03"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0867" w14:textId="7C3440BE"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F295" w14:textId="2EB6A54D"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69E8" w14:textId="77777777" w:rsidR="00484003" w:rsidRDefault="00484003">
      <w:pPr>
        <w:spacing w:line="240" w:lineRule="auto"/>
      </w:pPr>
      <w:r>
        <w:separator/>
      </w:r>
    </w:p>
    <w:p w14:paraId="4D91EBF5" w14:textId="77777777" w:rsidR="00484003" w:rsidRDefault="00484003"/>
  </w:footnote>
  <w:footnote w:type="continuationSeparator" w:id="0">
    <w:p w14:paraId="4D5D11A0" w14:textId="77777777" w:rsidR="00484003" w:rsidRDefault="00484003">
      <w:pPr>
        <w:spacing w:line="240" w:lineRule="auto"/>
      </w:pPr>
      <w:r>
        <w:continuationSeparator/>
      </w:r>
    </w:p>
    <w:p w14:paraId="067A01DE" w14:textId="77777777" w:rsidR="00484003" w:rsidRDefault="00484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33DF"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A12B" w14:textId="1D46AAEE"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1725" w14:textId="28B77960"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7EC6994"/>
    <w:multiLevelType w:val="hybridMultilevel"/>
    <w:tmpl w:val="280808FC"/>
    <w:lvl w:ilvl="0" w:tplc="2F7C06FA">
      <w:start w:val="6"/>
      <w:numFmt w:val="decimal"/>
      <w:lvlText w:val="%1."/>
      <w:lvlJc w:val="left"/>
      <w:pPr>
        <w:ind w:left="1080" w:hanging="360"/>
      </w:pPr>
    </w:lvl>
    <w:lvl w:ilvl="1" w:tplc="25F45464">
      <w:start w:val="1"/>
      <w:numFmt w:val="lowerLetter"/>
      <w:lvlText w:val="%2."/>
      <w:lvlJc w:val="left"/>
      <w:pPr>
        <w:ind w:left="1800" w:hanging="360"/>
      </w:pPr>
    </w:lvl>
    <w:lvl w:ilvl="2" w:tplc="E716E37E">
      <w:start w:val="1"/>
      <w:numFmt w:val="lowerRoman"/>
      <w:lvlText w:val="%3."/>
      <w:lvlJc w:val="right"/>
      <w:pPr>
        <w:ind w:left="2520" w:hanging="180"/>
      </w:pPr>
    </w:lvl>
    <w:lvl w:ilvl="3" w:tplc="F48EB0E4">
      <w:start w:val="1"/>
      <w:numFmt w:val="decimal"/>
      <w:lvlText w:val="%4."/>
      <w:lvlJc w:val="left"/>
      <w:pPr>
        <w:ind w:left="3240" w:hanging="360"/>
      </w:pPr>
    </w:lvl>
    <w:lvl w:ilvl="4" w:tplc="A272881C">
      <w:start w:val="1"/>
      <w:numFmt w:val="lowerLetter"/>
      <w:lvlText w:val="%5."/>
      <w:lvlJc w:val="left"/>
      <w:pPr>
        <w:ind w:left="3960" w:hanging="360"/>
      </w:pPr>
    </w:lvl>
    <w:lvl w:ilvl="5" w:tplc="123CCCB6">
      <w:start w:val="1"/>
      <w:numFmt w:val="lowerRoman"/>
      <w:lvlText w:val="%6."/>
      <w:lvlJc w:val="right"/>
      <w:pPr>
        <w:ind w:left="4680" w:hanging="180"/>
      </w:pPr>
    </w:lvl>
    <w:lvl w:ilvl="6" w:tplc="E12E4018">
      <w:start w:val="1"/>
      <w:numFmt w:val="decimal"/>
      <w:lvlText w:val="%7."/>
      <w:lvlJc w:val="left"/>
      <w:pPr>
        <w:ind w:left="5400" w:hanging="360"/>
      </w:pPr>
    </w:lvl>
    <w:lvl w:ilvl="7" w:tplc="6AA0DF50">
      <w:start w:val="1"/>
      <w:numFmt w:val="lowerLetter"/>
      <w:lvlText w:val="%8."/>
      <w:lvlJc w:val="left"/>
      <w:pPr>
        <w:ind w:left="6120" w:hanging="360"/>
      </w:pPr>
    </w:lvl>
    <w:lvl w:ilvl="8" w:tplc="7D5255AE">
      <w:start w:val="1"/>
      <w:numFmt w:val="lowerRoman"/>
      <w:lvlText w:val="%9."/>
      <w:lvlJc w:val="right"/>
      <w:pPr>
        <w:ind w:left="6840" w:hanging="180"/>
      </w:pPr>
    </w:lvl>
  </w:abstractNum>
  <w:abstractNum w:abstractNumId="11" w15:restartNumberingAfterBreak="0">
    <w:nsid w:val="68488D5B"/>
    <w:multiLevelType w:val="hybridMultilevel"/>
    <w:tmpl w:val="2CF04240"/>
    <w:lvl w:ilvl="0" w:tplc="F844DB6E">
      <w:start w:val="1"/>
      <w:numFmt w:val="decimal"/>
      <w:lvlText w:val="%1."/>
      <w:lvlJc w:val="left"/>
      <w:pPr>
        <w:ind w:left="1080" w:hanging="360"/>
      </w:pPr>
    </w:lvl>
    <w:lvl w:ilvl="1" w:tplc="89C0ED26">
      <w:start w:val="1"/>
      <w:numFmt w:val="lowerLetter"/>
      <w:lvlText w:val="%2."/>
      <w:lvlJc w:val="left"/>
      <w:pPr>
        <w:ind w:left="1800" w:hanging="360"/>
      </w:pPr>
    </w:lvl>
    <w:lvl w:ilvl="2" w:tplc="709EC9B0">
      <w:start w:val="1"/>
      <w:numFmt w:val="lowerRoman"/>
      <w:lvlText w:val="%3."/>
      <w:lvlJc w:val="right"/>
      <w:pPr>
        <w:ind w:left="2520" w:hanging="180"/>
      </w:pPr>
    </w:lvl>
    <w:lvl w:ilvl="3" w:tplc="E8B2B9A2">
      <w:start w:val="1"/>
      <w:numFmt w:val="decimal"/>
      <w:lvlText w:val="%4."/>
      <w:lvlJc w:val="left"/>
      <w:pPr>
        <w:ind w:left="3240" w:hanging="360"/>
      </w:pPr>
    </w:lvl>
    <w:lvl w:ilvl="4" w:tplc="08AE6216">
      <w:start w:val="1"/>
      <w:numFmt w:val="lowerLetter"/>
      <w:lvlText w:val="%5."/>
      <w:lvlJc w:val="left"/>
      <w:pPr>
        <w:ind w:left="3960" w:hanging="360"/>
      </w:pPr>
    </w:lvl>
    <w:lvl w:ilvl="5" w:tplc="682A8D78">
      <w:start w:val="1"/>
      <w:numFmt w:val="lowerRoman"/>
      <w:lvlText w:val="%6."/>
      <w:lvlJc w:val="right"/>
      <w:pPr>
        <w:ind w:left="4680" w:hanging="180"/>
      </w:pPr>
    </w:lvl>
    <w:lvl w:ilvl="6" w:tplc="95FA43D4">
      <w:start w:val="1"/>
      <w:numFmt w:val="decimal"/>
      <w:lvlText w:val="%7."/>
      <w:lvlJc w:val="left"/>
      <w:pPr>
        <w:ind w:left="5400" w:hanging="360"/>
      </w:pPr>
    </w:lvl>
    <w:lvl w:ilvl="7" w:tplc="ADE6BC7E">
      <w:start w:val="1"/>
      <w:numFmt w:val="lowerLetter"/>
      <w:lvlText w:val="%8."/>
      <w:lvlJc w:val="left"/>
      <w:pPr>
        <w:ind w:left="6120" w:hanging="360"/>
      </w:pPr>
    </w:lvl>
    <w:lvl w:ilvl="8" w:tplc="CFF2F7A8">
      <w:start w:val="1"/>
      <w:numFmt w:val="lowerRoman"/>
      <w:lvlText w:val="%9."/>
      <w:lvlJc w:val="right"/>
      <w:pPr>
        <w:ind w:left="6840" w:hanging="180"/>
      </w:pPr>
    </w:lvl>
  </w:abstractNum>
  <w:abstractNum w:abstractNumId="12" w15:restartNumberingAfterBreak="0">
    <w:nsid w:val="79DEE0ED"/>
    <w:multiLevelType w:val="hybridMultilevel"/>
    <w:tmpl w:val="6256FB44"/>
    <w:lvl w:ilvl="0" w:tplc="2CD8B342">
      <w:start w:val="1"/>
      <w:numFmt w:val="decimal"/>
      <w:lvlText w:val="%1."/>
      <w:lvlJc w:val="left"/>
      <w:pPr>
        <w:ind w:left="1080" w:hanging="360"/>
      </w:pPr>
    </w:lvl>
    <w:lvl w:ilvl="1" w:tplc="9738C4EA">
      <w:start w:val="1"/>
      <w:numFmt w:val="lowerLetter"/>
      <w:lvlText w:val="%2."/>
      <w:lvlJc w:val="left"/>
      <w:pPr>
        <w:ind w:left="1800" w:hanging="360"/>
      </w:pPr>
    </w:lvl>
    <w:lvl w:ilvl="2" w:tplc="EA429212">
      <w:start w:val="1"/>
      <w:numFmt w:val="lowerRoman"/>
      <w:lvlText w:val="%3."/>
      <w:lvlJc w:val="right"/>
      <w:pPr>
        <w:ind w:left="2520" w:hanging="180"/>
      </w:pPr>
    </w:lvl>
    <w:lvl w:ilvl="3" w:tplc="46E2CFBE">
      <w:start w:val="1"/>
      <w:numFmt w:val="decimal"/>
      <w:lvlText w:val="%4."/>
      <w:lvlJc w:val="left"/>
      <w:pPr>
        <w:ind w:left="3240" w:hanging="360"/>
      </w:pPr>
    </w:lvl>
    <w:lvl w:ilvl="4" w:tplc="2BDAAC76">
      <w:start w:val="1"/>
      <w:numFmt w:val="lowerLetter"/>
      <w:lvlText w:val="%5."/>
      <w:lvlJc w:val="left"/>
      <w:pPr>
        <w:ind w:left="3960" w:hanging="360"/>
      </w:pPr>
    </w:lvl>
    <w:lvl w:ilvl="5" w:tplc="DFA8DFD4">
      <w:start w:val="1"/>
      <w:numFmt w:val="lowerRoman"/>
      <w:lvlText w:val="%6."/>
      <w:lvlJc w:val="right"/>
      <w:pPr>
        <w:ind w:left="4680" w:hanging="180"/>
      </w:pPr>
    </w:lvl>
    <w:lvl w:ilvl="6" w:tplc="5534048A">
      <w:start w:val="1"/>
      <w:numFmt w:val="decimal"/>
      <w:lvlText w:val="%7."/>
      <w:lvlJc w:val="left"/>
      <w:pPr>
        <w:ind w:left="5400" w:hanging="360"/>
      </w:pPr>
    </w:lvl>
    <w:lvl w:ilvl="7" w:tplc="8B56EDA4">
      <w:start w:val="1"/>
      <w:numFmt w:val="lowerLetter"/>
      <w:lvlText w:val="%8."/>
      <w:lvlJc w:val="left"/>
      <w:pPr>
        <w:ind w:left="6120" w:hanging="360"/>
      </w:pPr>
    </w:lvl>
    <w:lvl w:ilvl="8" w:tplc="5C2A5150">
      <w:start w:val="1"/>
      <w:numFmt w:val="lowerRoman"/>
      <w:lvlText w:val="%9."/>
      <w:lvlJc w:val="right"/>
      <w:pPr>
        <w:ind w:left="6840" w:hanging="180"/>
      </w:pPr>
    </w:lvl>
  </w:abstractNum>
  <w:num w:numId="1" w16cid:durableId="933786520">
    <w:abstractNumId w:val="10"/>
  </w:num>
  <w:num w:numId="2" w16cid:durableId="236205476">
    <w:abstractNumId w:val="11"/>
  </w:num>
  <w:num w:numId="3" w16cid:durableId="935484065">
    <w:abstractNumId w:val="12"/>
  </w:num>
  <w:num w:numId="4" w16cid:durableId="1583753049">
    <w:abstractNumId w:val="9"/>
  </w:num>
  <w:num w:numId="5" w16cid:durableId="1672021673">
    <w:abstractNumId w:val="7"/>
  </w:num>
  <w:num w:numId="6" w16cid:durableId="1661418664">
    <w:abstractNumId w:val="6"/>
  </w:num>
  <w:num w:numId="7" w16cid:durableId="28338585">
    <w:abstractNumId w:val="5"/>
  </w:num>
  <w:num w:numId="8" w16cid:durableId="10451996">
    <w:abstractNumId w:val="4"/>
  </w:num>
  <w:num w:numId="9" w16cid:durableId="1118185191">
    <w:abstractNumId w:val="8"/>
  </w:num>
  <w:num w:numId="10" w16cid:durableId="944580785">
    <w:abstractNumId w:val="3"/>
  </w:num>
  <w:num w:numId="11" w16cid:durableId="1728843970">
    <w:abstractNumId w:val="2"/>
  </w:num>
  <w:num w:numId="12" w16cid:durableId="261961369">
    <w:abstractNumId w:val="1"/>
  </w:num>
  <w:num w:numId="13" w16cid:durableId="940600249">
    <w:abstractNumId w:val="0"/>
  </w:num>
  <w:num w:numId="14"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APAReport"/>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0665C1"/>
    <w:rsid w:val="00023AFE"/>
    <w:rsid w:val="000A3D9B"/>
    <w:rsid w:val="000D4642"/>
    <w:rsid w:val="000D539D"/>
    <w:rsid w:val="00116273"/>
    <w:rsid w:val="002B2A7F"/>
    <w:rsid w:val="002C79E6"/>
    <w:rsid w:val="002F3AE9"/>
    <w:rsid w:val="003804CC"/>
    <w:rsid w:val="00484003"/>
    <w:rsid w:val="005476CA"/>
    <w:rsid w:val="00664C1A"/>
    <w:rsid w:val="0077617F"/>
    <w:rsid w:val="00805437"/>
    <w:rsid w:val="0087407D"/>
    <w:rsid w:val="009A57F7"/>
    <w:rsid w:val="00A417C1"/>
    <w:rsid w:val="00B42CB9"/>
    <w:rsid w:val="00B863FB"/>
    <w:rsid w:val="00B86440"/>
    <w:rsid w:val="00BA6F10"/>
    <w:rsid w:val="00BB2D6F"/>
    <w:rsid w:val="00C00F8F"/>
    <w:rsid w:val="00C03068"/>
    <w:rsid w:val="00D620FD"/>
    <w:rsid w:val="00D91044"/>
    <w:rsid w:val="00DF5915"/>
    <w:rsid w:val="00E67454"/>
    <w:rsid w:val="00EF55C5"/>
    <w:rsid w:val="00F6242A"/>
    <w:rsid w:val="00FD0666"/>
    <w:rsid w:val="00FD8F3A"/>
    <w:rsid w:val="00FF55EC"/>
    <w:rsid w:val="014AF26D"/>
    <w:rsid w:val="014CA2B6"/>
    <w:rsid w:val="03DA2B53"/>
    <w:rsid w:val="05FC9F2F"/>
    <w:rsid w:val="0643C12D"/>
    <w:rsid w:val="065C0967"/>
    <w:rsid w:val="067AA0B5"/>
    <w:rsid w:val="0683FEAC"/>
    <w:rsid w:val="0D47CC70"/>
    <w:rsid w:val="0D6E5604"/>
    <w:rsid w:val="0E3A6BD1"/>
    <w:rsid w:val="0E7D5C6B"/>
    <w:rsid w:val="0FA7B30D"/>
    <w:rsid w:val="1003B256"/>
    <w:rsid w:val="10C61A10"/>
    <w:rsid w:val="125CBF23"/>
    <w:rsid w:val="12C3AAC9"/>
    <w:rsid w:val="134E4297"/>
    <w:rsid w:val="13A24EB5"/>
    <w:rsid w:val="14CEF36A"/>
    <w:rsid w:val="15E1DA0E"/>
    <w:rsid w:val="17190249"/>
    <w:rsid w:val="186C59AD"/>
    <w:rsid w:val="19D1A415"/>
    <w:rsid w:val="1C0665C1"/>
    <w:rsid w:val="1CF572D7"/>
    <w:rsid w:val="1D62059F"/>
    <w:rsid w:val="1D8946C4"/>
    <w:rsid w:val="1E84F322"/>
    <w:rsid w:val="201D26C8"/>
    <w:rsid w:val="205A41C8"/>
    <w:rsid w:val="20F21644"/>
    <w:rsid w:val="212F006F"/>
    <w:rsid w:val="235655B2"/>
    <w:rsid w:val="23A4631D"/>
    <w:rsid w:val="25F84871"/>
    <w:rsid w:val="2662B37F"/>
    <w:rsid w:val="2696CE4D"/>
    <w:rsid w:val="26D7C66F"/>
    <w:rsid w:val="28AAFD53"/>
    <w:rsid w:val="2CCDFC8D"/>
    <w:rsid w:val="2F2E017C"/>
    <w:rsid w:val="3236C9DF"/>
    <w:rsid w:val="32941AF0"/>
    <w:rsid w:val="32D9BF39"/>
    <w:rsid w:val="340E3765"/>
    <w:rsid w:val="3660B96E"/>
    <w:rsid w:val="36DDC138"/>
    <w:rsid w:val="3A02418E"/>
    <w:rsid w:val="3A12002D"/>
    <w:rsid w:val="3C067F0D"/>
    <w:rsid w:val="3C41B9F6"/>
    <w:rsid w:val="3C93F7C5"/>
    <w:rsid w:val="3D0A9892"/>
    <w:rsid w:val="3E192C66"/>
    <w:rsid w:val="3F121484"/>
    <w:rsid w:val="3FD79D39"/>
    <w:rsid w:val="4084AEF7"/>
    <w:rsid w:val="409C50A7"/>
    <w:rsid w:val="40D6CBCB"/>
    <w:rsid w:val="41F6A24C"/>
    <w:rsid w:val="42303C53"/>
    <w:rsid w:val="43DB7C67"/>
    <w:rsid w:val="446695C2"/>
    <w:rsid w:val="48F199AC"/>
    <w:rsid w:val="4A446072"/>
    <w:rsid w:val="4B64C118"/>
    <w:rsid w:val="4C7AE720"/>
    <w:rsid w:val="4E21F9BC"/>
    <w:rsid w:val="505C058B"/>
    <w:rsid w:val="51BB97FA"/>
    <w:rsid w:val="51C2CF9E"/>
    <w:rsid w:val="52694629"/>
    <w:rsid w:val="52766BCD"/>
    <w:rsid w:val="52B4D7E9"/>
    <w:rsid w:val="557E74EC"/>
    <w:rsid w:val="5670C5C4"/>
    <w:rsid w:val="593F41A5"/>
    <w:rsid w:val="5A1CFD60"/>
    <w:rsid w:val="5C7D467A"/>
    <w:rsid w:val="5CEF3ADA"/>
    <w:rsid w:val="5D68E123"/>
    <w:rsid w:val="5E1EFC97"/>
    <w:rsid w:val="6204D0E3"/>
    <w:rsid w:val="6218F14E"/>
    <w:rsid w:val="625A07E3"/>
    <w:rsid w:val="6333F2C8"/>
    <w:rsid w:val="63A9416D"/>
    <w:rsid w:val="6451CACF"/>
    <w:rsid w:val="6646BB52"/>
    <w:rsid w:val="67AE9998"/>
    <w:rsid w:val="683F5BE0"/>
    <w:rsid w:val="689E33FC"/>
    <w:rsid w:val="68E35553"/>
    <w:rsid w:val="6A36C4BF"/>
    <w:rsid w:val="6B3E9CD8"/>
    <w:rsid w:val="7050BCB6"/>
    <w:rsid w:val="73E45D42"/>
    <w:rsid w:val="7B809233"/>
    <w:rsid w:val="7C95800D"/>
    <w:rsid w:val="7CCA2D81"/>
    <w:rsid w:val="7E8F3AF8"/>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42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4"/>
      </w:numPr>
      <w:contextualSpacing/>
    </w:pPr>
  </w:style>
  <w:style w:type="paragraph" w:styleId="ListBullet2">
    <w:name w:val="List Bullet 2"/>
    <w:basedOn w:val="Normal"/>
    <w:uiPriority w:val="99"/>
    <w:semiHidden/>
    <w:unhideWhenUsed/>
    <w:pPr>
      <w:numPr>
        <w:numId w:val="5"/>
      </w:numPr>
      <w:ind w:firstLine="0"/>
      <w:contextualSpacing/>
    </w:pPr>
  </w:style>
  <w:style w:type="paragraph" w:styleId="ListBullet3">
    <w:name w:val="List Bullet 3"/>
    <w:basedOn w:val="Normal"/>
    <w:uiPriority w:val="99"/>
    <w:semiHidden/>
    <w:unhideWhenUsed/>
    <w:pPr>
      <w:numPr>
        <w:numId w:val="6"/>
      </w:numPr>
      <w:ind w:firstLine="0"/>
      <w:contextualSpacing/>
    </w:pPr>
  </w:style>
  <w:style w:type="paragraph" w:styleId="ListBullet4">
    <w:name w:val="List Bullet 4"/>
    <w:basedOn w:val="Normal"/>
    <w:uiPriority w:val="99"/>
    <w:semiHidden/>
    <w:unhideWhenUsed/>
    <w:pPr>
      <w:numPr>
        <w:numId w:val="7"/>
      </w:numPr>
      <w:ind w:firstLine="0"/>
      <w:contextualSpacing/>
    </w:pPr>
  </w:style>
  <w:style w:type="paragraph" w:styleId="ListBullet5">
    <w:name w:val="List Bullet 5"/>
    <w:basedOn w:val="Normal"/>
    <w:uiPriority w:val="99"/>
    <w:semiHidden/>
    <w:unhideWhenUsed/>
    <w:pPr>
      <w:numPr>
        <w:numId w:val="8"/>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9"/>
      </w:numPr>
      <w:contextualSpacing/>
    </w:pPr>
  </w:style>
  <w:style w:type="paragraph" w:styleId="ListNumber2">
    <w:name w:val="List Number 2"/>
    <w:basedOn w:val="Normal"/>
    <w:uiPriority w:val="99"/>
    <w:semiHidden/>
    <w:unhideWhenUsed/>
    <w:pPr>
      <w:numPr>
        <w:numId w:val="10"/>
      </w:numPr>
      <w:ind w:firstLine="0"/>
      <w:contextualSpacing/>
    </w:pPr>
  </w:style>
  <w:style w:type="paragraph" w:styleId="ListNumber3">
    <w:name w:val="List Number 3"/>
    <w:basedOn w:val="Normal"/>
    <w:uiPriority w:val="99"/>
    <w:semiHidden/>
    <w:unhideWhenUsed/>
    <w:pPr>
      <w:numPr>
        <w:numId w:val="11"/>
      </w:numPr>
      <w:ind w:firstLine="0"/>
      <w:contextualSpacing/>
    </w:pPr>
  </w:style>
  <w:style w:type="paragraph" w:styleId="ListNumber4">
    <w:name w:val="List Number 4"/>
    <w:basedOn w:val="Normal"/>
    <w:uiPriority w:val="99"/>
    <w:semiHidden/>
    <w:unhideWhenUsed/>
    <w:pPr>
      <w:numPr>
        <w:numId w:val="12"/>
      </w:numPr>
      <w:ind w:firstLine="0"/>
      <w:contextualSpacing/>
    </w:pPr>
  </w:style>
  <w:style w:type="paragraph" w:styleId="ListNumber5">
    <w:name w:val="List Number 5"/>
    <w:basedOn w:val="Normal"/>
    <w:uiPriority w:val="99"/>
    <w:semiHidden/>
    <w:unhideWhenUsed/>
    <w:pPr>
      <w:numPr>
        <w:numId w:val="13"/>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2/wps.20311" TargetMode="External"/><Relationship Id="rId18" Type="http://schemas.openxmlformats.org/officeDocument/2006/relationships/hyperlink" Target="https://doi.org/10.1016/j.mayocp.2018.05.01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doi.org/10.1371/journal.pone.0159015" TargetMode="External"/><Relationship Id="rId17" Type="http://schemas.openxmlformats.org/officeDocument/2006/relationships/hyperlink" Target="https://doi.org/10.1016/j.mayocp.2015.08.02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176/appi.ps.20150045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7/ACM.0000000000000134"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ationalacademies.org/read/25521/chapter/1" TargetMode="External"/><Relationship Id="rId23" Type="http://schemas.openxmlformats.org/officeDocument/2006/relationships/footer" Target="footer2.xml"/><Relationship Id="rId10" Type="http://schemas.openxmlformats.org/officeDocument/2006/relationships/hyperlink" Target="https://doi.org/10.1136/bmj.e1717" TargetMode="External"/><Relationship Id="rId19" Type="http://schemas.openxmlformats.org/officeDocument/2006/relationships/hyperlink" Target="https://doi.org/10.1016/S0140-6736(16)31279-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36/bmj.l477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11EE3-941D-48FB-AF55-C68D06FB18B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849F8D5-0D56-4D70-8E17-89486A39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24D2F-C1BE-4F6E-B090-B751CAAF063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10</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2026-06-17T14:36:00Z</dcterms:created>
  <dcterms:modified xsi:type="dcterms:W3CDTF">2026-06-17T14:36:00Z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2ef12c99-c846-49a5-bc69-64b168a0588c</vt:lpwstr>
  </property>
</Properties>
</file>