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3C0C" w14:textId="2752EC75" w:rsidR="009A472F" w:rsidRDefault="009A472F">
      <w:pPr>
        <w:pStyle w:val="BodyText"/>
        <w:rPr>
          <w:rFonts w:ascii="Times New Roman"/>
          <w:b w:val="0"/>
          <w:sz w:val="28"/>
        </w:rPr>
      </w:pPr>
    </w:p>
    <w:p w14:paraId="6AA83C0D" w14:textId="6ECE72D7" w:rsidR="009A472F" w:rsidRDefault="00000000">
      <w:pPr>
        <w:pStyle w:val="Title"/>
      </w:pPr>
      <w:r>
        <w:pict w14:anchorId="6AA83C51">
          <v:rect id="_x0000_s1026" style="position:absolute;left:0;text-align:left;margin-left:34.55pt;margin-top:38pt;width:240.65pt;height:11.55pt;z-index:-251658240;mso-position-horizontal-relative:page" fillcolor="silver" stroked="f">
            <w10:wrap anchorx="page"/>
          </v:rect>
        </w:pict>
      </w:r>
      <w:r w:rsidR="006356F0">
        <w:t>POOR</w:t>
      </w:r>
      <w:r w:rsidR="006356F0">
        <w:rPr>
          <w:spacing w:val="-4"/>
        </w:rPr>
        <w:t xml:space="preserve"> </w:t>
      </w:r>
      <w:r w:rsidR="006356F0">
        <w:t>WORK</w:t>
      </w:r>
      <w:r w:rsidR="006356F0">
        <w:rPr>
          <w:spacing w:val="-1"/>
        </w:rPr>
        <w:t xml:space="preserve"> </w:t>
      </w:r>
      <w:r w:rsidR="006356F0">
        <w:t>PERFORMANCE</w:t>
      </w: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323"/>
        <w:gridCol w:w="5070"/>
      </w:tblGrid>
      <w:tr w:rsidR="009A472F" w14:paraId="6AA83C49" w14:textId="77777777">
        <w:trPr>
          <w:trHeight w:val="9333"/>
        </w:trPr>
        <w:tc>
          <w:tcPr>
            <w:tcW w:w="5069" w:type="dxa"/>
            <w:tcBorders>
              <w:left w:val="nil"/>
              <w:right w:val="single" w:sz="8" w:space="0" w:color="000000"/>
            </w:tcBorders>
          </w:tcPr>
          <w:p w14:paraId="6AA83C0E" w14:textId="77777777" w:rsidR="009A472F" w:rsidRDefault="006356F0">
            <w:pPr>
              <w:pStyle w:val="TableParagraph"/>
              <w:spacing w:line="22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  <w:p w14:paraId="6AA83C0F" w14:textId="77777777" w:rsidR="009A472F" w:rsidRDefault="006356F0">
            <w:pPr>
              <w:pStyle w:val="TableParagraph"/>
              <w:spacing w:before="194"/>
              <w:ind w:left="50" w:right="254"/>
              <w:jc w:val="both"/>
              <w:rPr>
                <w:sz w:val="17"/>
              </w:rPr>
            </w:pPr>
            <w:r>
              <w:rPr>
                <w:sz w:val="17"/>
              </w:rPr>
              <w:t xml:space="preserve">South African </w:t>
            </w:r>
            <w:proofErr w:type="spellStart"/>
            <w:r>
              <w:rPr>
                <w:sz w:val="17"/>
              </w:rPr>
              <w:t>labour</w:t>
            </w:r>
            <w:proofErr w:type="spellEnd"/>
            <w:r>
              <w:rPr>
                <w:sz w:val="17"/>
              </w:rPr>
              <w:t xml:space="preserve"> laws </w:t>
            </w:r>
            <w:proofErr w:type="spellStart"/>
            <w:r>
              <w:rPr>
                <w:sz w:val="17"/>
              </w:rPr>
              <w:t>recognise</w:t>
            </w:r>
            <w:proofErr w:type="spellEnd"/>
            <w:r>
              <w:rPr>
                <w:sz w:val="17"/>
              </w:rPr>
              <w:t xml:space="preserve"> that an employer may require work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acceptable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standard,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employees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protected against unfair treatment. The principles outlined here serve as 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only,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workplaces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differ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size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nature,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aspects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determine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steps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taken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performance.</w:t>
            </w:r>
          </w:p>
          <w:p w14:paraId="6AA83C10" w14:textId="77777777" w:rsidR="009A472F" w:rsidRDefault="009A472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A83C11" w14:textId="77777777" w:rsidR="009A472F" w:rsidRDefault="006356F0">
            <w:pPr>
              <w:pStyle w:val="TableParagraph"/>
              <w:tabs>
                <w:tab w:val="left" w:pos="4834"/>
              </w:tabs>
              <w:ind w:left="21"/>
              <w:rPr>
                <w:b/>
                <w:sz w:val="20"/>
              </w:rPr>
            </w:pPr>
            <w:r>
              <w:rPr>
                <w:b/>
                <w:spacing w:val="-17"/>
                <w:w w:val="99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SETTING</w:t>
            </w:r>
            <w:r>
              <w:rPr>
                <w:b/>
                <w:spacing w:val="-3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STANDARDS</w:t>
            </w:r>
            <w:r>
              <w:rPr>
                <w:b/>
                <w:sz w:val="20"/>
                <w:shd w:val="clear" w:color="auto" w:fill="C0C0C0"/>
              </w:rPr>
              <w:tab/>
            </w:r>
          </w:p>
          <w:p w14:paraId="6AA83C12" w14:textId="77777777" w:rsidR="009A472F" w:rsidRDefault="006356F0">
            <w:pPr>
              <w:pStyle w:val="TableParagraph"/>
              <w:ind w:left="50" w:right="254"/>
              <w:jc w:val="both"/>
              <w:rPr>
                <w:sz w:val="17"/>
              </w:rPr>
            </w:pPr>
            <w:r>
              <w:rPr>
                <w:sz w:val="17"/>
              </w:rPr>
              <w:t>An employer may set performance standards that an employee is required to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meet.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Standards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both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reasonable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relevant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workplace.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More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performance standard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 required, depending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job.</w:t>
            </w:r>
          </w:p>
          <w:p w14:paraId="6AA83C13" w14:textId="77777777" w:rsidR="009A472F" w:rsidRDefault="009A472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AA83C14" w14:textId="77777777" w:rsidR="009A472F" w:rsidRDefault="006356F0">
            <w:pPr>
              <w:pStyle w:val="TableParagraph"/>
              <w:ind w:left="50" w:right="252"/>
              <w:jc w:val="both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known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reasonably be expected to know it). The standard may be communicated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verbally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example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meeting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manager),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writing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example,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memo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letter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appointment),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terms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monthly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quarterly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targets,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become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known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through practice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custom.</w:t>
            </w:r>
          </w:p>
          <w:p w14:paraId="6AA83C15" w14:textId="77777777" w:rsidR="009A472F" w:rsidRDefault="009A472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A83C16" w14:textId="77777777" w:rsidR="009A472F" w:rsidRDefault="006356F0">
            <w:pPr>
              <w:pStyle w:val="TableParagraph"/>
              <w:ind w:left="50" w:right="254"/>
              <w:jc w:val="both"/>
              <w:rPr>
                <w:sz w:val="17"/>
              </w:rPr>
            </w:pPr>
            <w:r>
              <w:rPr>
                <w:sz w:val="17"/>
              </w:rPr>
              <w:t>Performance standards will vary according to the nature of the business,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example, taking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accurate messages,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reaching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sales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target,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meeting 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budget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deadline,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 ensuring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farm animals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are fed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schedule.</w:t>
            </w:r>
          </w:p>
          <w:p w14:paraId="6AA83C17" w14:textId="77777777" w:rsidR="009A472F" w:rsidRDefault="009A472F">
            <w:pPr>
              <w:pStyle w:val="TableParagraph"/>
              <w:rPr>
                <w:b/>
                <w:sz w:val="17"/>
              </w:rPr>
            </w:pPr>
          </w:p>
          <w:p w14:paraId="6AA83C18" w14:textId="77777777" w:rsidR="009A472F" w:rsidRDefault="006356F0">
            <w:pPr>
              <w:pStyle w:val="TableParagraph"/>
              <w:tabs>
                <w:tab w:val="left" w:pos="4834"/>
              </w:tabs>
              <w:ind w:left="21"/>
              <w:rPr>
                <w:b/>
                <w:sz w:val="20"/>
              </w:rPr>
            </w:pPr>
            <w:r>
              <w:rPr>
                <w:b/>
                <w:spacing w:val="-17"/>
                <w:w w:val="99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ASSESSING</w:t>
            </w:r>
            <w:r>
              <w:rPr>
                <w:b/>
                <w:spacing w:val="-5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EMPLOYEE</w:t>
            </w:r>
            <w:r>
              <w:rPr>
                <w:b/>
                <w:spacing w:val="-3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PERFORMANCE</w:t>
            </w:r>
            <w:r>
              <w:rPr>
                <w:b/>
                <w:sz w:val="20"/>
                <w:shd w:val="clear" w:color="auto" w:fill="C0C0C0"/>
              </w:rPr>
              <w:tab/>
            </w:r>
          </w:p>
          <w:p w14:paraId="6AA83C19" w14:textId="77777777" w:rsidR="009A472F" w:rsidRDefault="006356F0">
            <w:pPr>
              <w:pStyle w:val="TableParagraph"/>
              <w:spacing w:before="195"/>
              <w:ind w:left="50" w:right="253"/>
              <w:jc w:val="both"/>
              <w:rPr>
                <w:sz w:val="17"/>
              </w:rPr>
            </w:pPr>
            <w:r>
              <w:rPr>
                <w:sz w:val="17"/>
              </w:rPr>
              <w:t>The employee’s work performance may now be measured against the set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known standards. If the employee fails to meet the standard, relative to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seniority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employee,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employer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</w:p>
          <w:p w14:paraId="6AA83C1A" w14:textId="77777777" w:rsidR="009A472F" w:rsidRDefault="009A472F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AA83C1B" w14:textId="77777777" w:rsidR="009A472F" w:rsidRDefault="006356F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37" w:lineRule="auto"/>
              <w:ind w:right="256"/>
              <w:jc w:val="both"/>
              <w:rPr>
                <w:sz w:val="17"/>
              </w:rPr>
            </w:pPr>
            <w:r>
              <w:rPr>
                <w:sz w:val="17"/>
              </w:rPr>
              <w:t>inform the employee that his/her work performance does not meet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standards;</w:t>
            </w:r>
          </w:p>
          <w:p w14:paraId="6AA83C1C" w14:textId="77777777" w:rsidR="009A472F" w:rsidRDefault="006356F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4" w:line="237" w:lineRule="auto"/>
              <w:ind w:right="255"/>
              <w:jc w:val="both"/>
              <w:rPr>
                <w:sz w:val="17"/>
              </w:rPr>
            </w:pPr>
            <w:r>
              <w:rPr>
                <w:sz w:val="17"/>
              </w:rPr>
              <w:t>discuss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possible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causes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rectify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workplace based causes such as an unreasonable workload or broken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equipment;</w:t>
            </w:r>
          </w:p>
          <w:p w14:paraId="6AA83C1D" w14:textId="77777777" w:rsidR="009A472F" w:rsidRDefault="006356F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right="256"/>
              <w:jc w:val="both"/>
              <w:rPr>
                <w:sz w:val="17"/>
              </w:rPr>
            </w:pPr>
            <w:r>
              <w:rPr>
                <w:sz w:val="17"/>
              </w:rPr>
              <w:t>decide on ways in which the performance can be improved, including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further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guidance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counselling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sessions;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</w:p>
          <w:p w14:paraId="6AA83C1E" w14:textId="77777777" w:rsidR="009A472F" w:rsidRDefault="006356F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2" w:line="237" w:lineRule="auto"/>
              <w:ind w:right="256"/>
              <w:jc w:val="both"/>
              <w:rPr>
                <w:sz w:val="17"/>
              </w:rPr>
            </w:pPr>
            <w:r>
              <w:rPr>
                <w:sz w:val="17"/>
              </w:rPr>
              <w:t>set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realistic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periods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achievement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standard(s).</w:t>
            </w:r>
          </w:p>
          <w:p w14:paraId="6AA83C1F" w14:textId="77777777" w:rsidR="009A472F" w:rsidRDefault="006356F0">
            <w:pPr>
              <w:pStyle w:val="TableParagraph"/>
              <w:ind w:left="50" w:right="115"/>
              <w:rPr>
                <w:sz w:val="17"/>
              </w:rPr>
            </w:pPr>
            <w:r>
              <w:rPr>
                <w:sz w:val="17"/>
              </w:rPr>
              <w:t>Given the introduction of the above measures to improve performance, 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employee should be given a reasonable time to improve. It is recommended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programme</w:t>
            </w:r>
            <w:proofErr w:type="spellEnd"/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regular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feedback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sessions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(for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example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weekly)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supervisor be introduced for this period. The level of performance achieved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shorter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periods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review may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recorded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future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reference.</w:t>
            </w:r>
          </w:p>
        </w:tc>
        <w:tc>
          <w:tcPr>
            <w:tcW w:w="5323" w:type="dxa"/>
            <w:tcBorders>
              <w:left w:val="single" w:sz="8" w:space="0" w:color="000000"/>
              <w:right w:val="single" w:sz="6" w:space="0" w:color="000000"/>
            </w:tcBorders>
          </w:tcPr>
          <w:p w14:paraId="6AA83C20" w14:textId="77777777" w:rsidR="009A472F" w:rsidRDefault="006356F0">
            <w:pPr>
              <w:pStyle w:val="TableParagraph"/>
              <w:tabs>
                <w:tab w:val="left" w:pos="5079"/>
              </w:tabs>
              <w:spacing w:line="191" w:lineRule="exact"/>
              <w:ind w:left="266"/>
              <w:jc w:val="both"/>
              <w:rPr>
                <w:b/>
                <w:sz w:val="17"/>
              </w:rPr>
            </w:pPr>
            <w:r>
              <w:rPr>
                <w:b/>
                <w:spacing w:val="-11"/>
                <w:sz w:val="17"/>
                <w:shd w:val="clear" w:color="auto" w:fill="C0C0C0"/>
              </w:rPr>
              <w:t xml:space="preserve"> </w:t>
            </w:r>
            <w:r>
              <w:rPr>
                <w:b/>
                <w:sz w:val="17"/>
                <w:shd w:val="clear" w:color="auto" w:fill="C0C0C0"/>
              </w:rPr>
              <w:t>FURTHER</w:t>
            </w:r>
            <w:r>
              <w:rPr>
                <w:b/>
                <w:spacing w:val="-1"/>
                <w:sz w:val="17"/>
                <w:shd w:val="clear" w:color="auto" w:fill="C0C0C0"/>
              </w:rPr>
              <w:t xml:space="preserve"> </w:t>
            </w:r>
            <w:r>
              <w:rPr>
                <w:b/>
                <w:sz w:val="17"/>
                <w:shd w:val="clear" w:color="auto" w:fill="C0C0C0"/>
              </w:rPr>
              <w:t>ACTION</w:t>
            </w:r>
            <w:r>
              <w:rPr>
                <w:b/>
                <w:spacing w:val="-1"/>
                <w:sz w:val="17"/>
                <w:shd w:val="clear" w:color="auto" w:fill="C0C0C0"/>
              </w:rPr>
              <w:t xml:space="preserve"> </w:t>
            </w:r>
            <w:r>
              <w:rPr>
                <w:b/>
                <w:sz w:val="17"/>
                <w:shd w:val="clear" w:color="auto" w:fill="C0C0C0"/>
              </w:rPr>
              <w:t>REQUIRED</w:t>
            </w:r>
            <w:r>
              <w:rPr>
                <w:b/>
                <w:sz w:val="17"/>
                <w:shd w:val="clear" w:color="auto" w:fill="C0C0C0"/>
              </w:rPr>
              <w:tab/>
            </w:r>
          </w:p>
          <w:p w14:paraId="6AA83C21" w14:textId="77777777" w:rsidR="009A472F" w:rsidRDefault="009A47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AA83C22" w14:textId="77777777" w:rsidR="009A472F" w:rsidRDefault="006356F0">
            <w:pPr>
              <w:pStyle w:val="TableParagraph"/>
              <w:ind w:left="295" w:right="253"/>
              <w:jc w:val="both"/>
              <w:rPr>
                <w:sz w:val="17"/>
              </w:rPr>
            </w:pPr>
            <w:r>
              <w:rPr>
                <w:sz w:val="17"/>
              </w:rPr>
              <w:t>If performance is still poor after a reasonable time, the employer should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communicate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</w:p>
          <w:p w14:paraId="6AA83C23" w14:textId="77777777" w:rsidR="009A472F" w:rsidRDefault="009A472F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AA83C24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1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expected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still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not been</w:t>
            </w:r>
            <w:r>
              <w:rPr>
                <w:spacing w:val="-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met;</w:t>
            </w:r>
            <w:proofErr w:type="gramEnd"/>
          </w:p>
          <w:p w14:paraId="6AA83C25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ind w:right="255"/>
              <w:jc w:val="both"/>
              <w:rPr>
                <w:sz w:val="17"/>
              </w:rPr>
            </w:pPr>
            <w:r>
              <w:rPr>
                <w:sz w:val="17"/>
              </w:rPr>
              <w:t>the seriousness of the matter and that a formal poor performance inquiry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held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(where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relevant)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could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potentially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lead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employee’s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dismissal;</w:t>
            </w:r>
          </w:p>
          <w:p w14:paraId="6AA83C26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line="237" w:lineRule="auto"/>
              <w:ind w:right="256"/>
              <w:jc w:val="both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opportunity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respond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allegations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poor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performance;</w:t>
            </w:r>
          </w:p>
          <w:p w14:paraId="6AA83C27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2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fellow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union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member;</w:t>
            </w:r>
          </w:p>
          <w:p w14:paraId="6AA83C28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ind w:right="255"/>
              <w:jc w:val="both"/>
              <w:rPr>
                <w:sz w:val="17"/>
              </w:rPr>
            </w:pPr>
            <w:r>
              <w:rPr>
                <w:sz w:val="17"/>
              </w:rPr>
              <w:t>the employee may call witnesses or bring other proof in support of his or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case;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</w:p>
          <w:p w14:paraId="6AA83C29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line="206" w:lineRule="exact"/>
              <w:jc w:val="both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right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interpreter,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needed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possible.</w:t>
            </w:r>
          </w:p>
          <w:p w14:paraId="6AA83C2A" w14:textId="77777777" w:rsidR="009A472F" w:rsidRDefault="009A472F">
            <w:pPr>
              <w:pStyle w:val="TableParagraph"/>
              <w:rPr>
                <w:b/>
                <w:sz w:val="20"/>
              </w:rPr>
            </w:pPr>
          </w:p>
          <w:p w14:paraId="6AA83C2B" w14:textId="77777777" w:rsidR="009A472F" w:rsidRDefault="006356F0">
            <w:pPr>
              <w:pStyle w:val="TableParagraph"/>
              <w:spacing w:before="158"/>
              <w:ind w:left="295" w:right="256"/>
              <w:jc w:val="both"/>
              <w:rPr>
                <w:sz w:val="17"/>
              </w:rPr>
            </w:pPr>
            <w:r>
              <w:rPr>
                <w:sz w:val="17"/>
              </w:rPr>
              <w:t>The purpose of the poor performance inquiry is to determine, amongst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things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</w:p>
          <w:p w14:paraId="6AA83C2C" w14:textId="77777777" w:rsidR="009A472F" w:rsidRDefault="009A47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AA83C2D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</w:tabs>
              <w:spacing w:line="207" w:lineRule="exact"/>
              <w:rPr>
                <w:sz w:val="17"/>
              </w:rPr>
            </w:pPr>
            <w:r>
              <w:rPr>
                <w:sz w:val="17"/>
              </w:rPr>
              <w:t>whether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not 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failed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standard;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</w:p>
          <w:p w14:paraId="6AA83C2E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</w:tabs>
              <w:spacing w:before="1" w:line="237" w:lineRule="auto"/>
              <w:ind w:right="256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</w:p>
          <w:p w14:paraId="6AA83C2F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</w:tabs>
              <w:spacing w:before="1" w:line="237" w:lineRule="auto"/>
              <w:ind w:right="255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aware,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could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reasonably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expected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aware, 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 required performance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standard;</w:t>
            </w:r>
          </w:p>
          <w:p w14:paraId="6AA83C30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</w:tabs>
              <w:ind w:right="258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fair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opportunity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standard;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</w:p>
          <w:p w14:paraId="6AA83C31" w14:textId="77777777" w:rsidR="009A472F" w:rsidRDefault="006356F0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</w:tabs>
              <w:rPr>
                <w:sz w:val="17"/>
              </w:rPr>
            </w:pPr>
            <w:r>
              <w:rPr>
                <w:sz w:val="17"/>
              </w:rPr>
              <w:t>alternatives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short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dismissal.</w:t>
            </w:r>
          </w:p>
          <w:p w14:paraId="6AA83C32" w14:textId="77777777" w:rsidR="009A472F" w:rsidRDefault="009A472F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AA83C33" w14:textId="77777777" w:rsidR="009A472F" w:rsidRDefault="006356F0">
            <w:pPr>
              <w:pStyle w:val="TableParagraph"/>
              <w:ind w:left="295" w:right="253"/>
              <w:jc w:val="both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spirit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corrective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progressive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approaches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poor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performance,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suggested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employers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explore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alternatives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dismissal,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such as changing some aspects of the job, offering the employee another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position (where possible and feasible), or linking the employee to an internal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mentor who may be able to assist the employee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 improve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his or 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performance.</w:t>
            </w:r>
          </w:p>
          <w:p w14:paraId="6AA83C34" w14:textId="77777777" w:rsidR="009A472F" w:rsidRDefault="009A472F">
            <w:pPr>
              <w:pStyle w:val="TableParagraph"/>
              <w:rPr>
                <w:b/>
                <w:sz w:val="17"/>
              </w:rPr>
            </w:pPr>
          </w:p>
          <w:p w14:paraId="6AA83C35" w14:textId="77777777" w:rsidR="009A472F" w:rsidRDefault="006356F0">
            <w:pPr>
              <w:pStyle w:val="TableParagraph"/>
              <w:ind w:left="295" w:right="253"/>
              <w:jc w:val="both"/>
              <w:rPr>
                <w:sz w:val="17"/>
              </w:rPr>
            </w:pPr>
            <w:r>
              <w:rPr>
                <w:sz w:val="17"/>
              </w:rPr>
              <w:t>Employers and employees also have the option of requesting, by mutual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consent,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CCMA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Bargaining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Council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appoint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arbitrator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conduct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inquiry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allegations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performance,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terms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Section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188A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1"/>
                <w:sz w:val="17"/>
              </w:rPr>
              <w:t>Labour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Relations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amended).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outcome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arbitrator’s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inquiry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final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binding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 reviewable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Labour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Court.</w:t>
            </w:r>
          </w:p>
          <w:p w14:paraId="6AA83C36" w14:textId="77777777" w:rsidR="009A472F" w:rsidRDefault="009A47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AA83C37" w14:textId="77777777" w:rsidR="009A472F" w:rsidRDefault="006356F0">
            <w:pPr>
              <w:pStyle w:val="TableParagraph"/>
              <w:ind w:left="295" w:right="250"/>
              <w:jc w:val="both"/>
              <w:rPr>
                <w:sz w:val="17"/>
              </w:rPr>
            </w:pPr>
            <w:r>
              <w:rPr>
                <w:sz w:val="17"/>
              </w:rPr>
              <w:t>An inquiry by arbitrator eliminates the duplication of proceedings involved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having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both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internal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inquiry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followed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referral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CCMA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Bargaining Council for conciliation / arbitration (in the event that the finding of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chairperson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internal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inquiry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challenged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employee).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</w:p>
        </w:tc>
        <w:tc>
          <w:tcPr>
            <w:tcW w:w="5070" w:type="dxa"/>
            <w:tcBorders>
              <w:left w:val="single" w:sz="6" w:space="0" w:color="000000"/>
              <w:right w:val="nil"/>
            </w:tcBorders>
          </w:tcPr>
          <w:p w14:paraId="6AA83C38" w14:textId="77777777" w:rsidR="009A472F" w:rsidRDefault="006356F0">
            <w:pPr>
              <w:pStyle w:val="TableParagraph"/>
              <w:ind w:left="296" w:right="14"/>
              <w:jc w:val="both"/>
              <w:rPr>
                <w:sz w:val="17"/>
              </w:rPr>
            </w:pPr>
            <w:r>
              <w:rPr>
                <w:sz w:val="17"/>
              </w:rPr>
              <w:t>employer would be required to pay a prescribed fee and the employee would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 give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writing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 such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enquiry.</w:t>
            </w:r>
          </w:p>
          <w:p w14:paraId="6AA83C39" w14:textId="77777777" w:rsidR="009A472F" w:rsidRDefault="009A472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AA83C3A" w14:textId="77777777" w:rsidR="009A472F" w:rsidRDefault="006356F0">
            <w:pPr>
              <w:pStyle w:val="TableParagraph"/>
              <w:ind w:left="296"/>
              <w:rPr>
                <w:sz w:val="17"/>
              </w:rPr>
            </w:pPr>
            <w:r>
              <w:rPr>
                <w:sz w:val="17"/>
                <w:u w:val="single"/>
              </w:rPr>
              <w:t>Also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see</w:t>
            </w:r>
            <w:r>
              <w:rPr>
                <w:spacing w:val="-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info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sheet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on</w:t>
            </w:r>
            <w:r>
              <w:rPr>
                <w:spacing w:val="-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INQUIRY BY ARBITRATOR</w:t>
            </w:r>
            <w:r>
              <w:rPr>
                <w:sz w:val="17"/>
              </w:rPr>
              <w:t>.</w:t>
            </w:r>
          </w:p>
          <w:p w14:paraId="6AA83C3B" w14:textId="77777777" w:rsidR="009A472F" w:rsidRDefault="009A472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A83C3C" w14:textId="77777777" w:rsidR="009A472F" w:rsidRDefault="006356F0">
            <w:pPr>
              <w:pStyle w:val="TableParagraph"/>
              <w:tabs>
                <w:tab w:val="left" w:pos="5080"/>
              </w:tabs>
              <w:spacing w:before="1"/>
              <w:ind w:left="267" w:right="-29"/>
              <w:rPr>
                <w:b/>
                <w:sz w:val="20"/>
              </w:rPr>
            </w:pPr>
            <w:r>
              <w:rPr>
                <w:b/>
                <w:spacing w:val="-17"/>
                <w:w w:val="99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EMPLOYEES</w:t>
            </w:r>
            <w:r>
              <w:rPr>
                <w:b/>
                <w:spacing w:val="-2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ON</w:t>
            </w:r>
            <w:r>
              <w:rPr>
                <w:b/>
                <w:spacing w:val="-3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PROBATION</w:t>
            </w:r>
            <w:r>
              <w:rPr>
                <w:b/>
                <w:sz w:val="20"/>
                <w:shd w:val="clear" w:color="auto" w:fill="C0C0C0"/>
              </w:rPr>
              <w:tab/>
            </w:r>
          </w:p>
          <w:p w14:paraId="6AA83C3D" w14:textId="77777777" w:rsidR="009A472F" w:rsidRDefault="006356F0">
            <w:pPr>
              <w:pStyle w:val="TableParagraph"/>
              <w:spacing w:before="194"/>
              <w:ind w:left="296" w:right="9"/>
              <w:jc w:val="both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purpose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probation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determine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suitable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the job. The probation period should be reasonable. Should an employee 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probation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poorly;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evaluation,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instruction,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guidance</w:t>
            </w:r>
            <w:proofErr w:type="gram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counselling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assist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him/her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improving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his/her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performance.</w:t>
            </w:r>
          </w:p>
          <w:p w14:paraId="6AA83C3E" w14:textId="77777777" w:rsidR="009A472F" w:rsidRDefault="009A47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AA83C3F" w14:textId="77777777" w:rsidR="009A472F" w:rsidRDefault="006356F0">
            <w:pPr>
              <w:pStyle w:val="TableParagraph"/>
              <w:spacing w:before="1"/>
              <w:ind w:left="296" w:right="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An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employer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may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dismiss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extend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probationary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period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after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employee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has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invited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make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representations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regarding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his/her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inability to perform according to the required standard. The employer should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make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decision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dismiss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extend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employee’s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probationary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period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employee’s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representations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properly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considered.</w:t>
            </w:r>
          </w:p>
          <w:p w14:paraId="6AA83C40" w14:textId="77777777" w:rsidR="009A472F" w:rsidRDefault="009A472F">
            <w:pPr>
              <w:pStyle w:val="TableParagraph"/>
              <w:rPr>
                <w:b/>
                <w:sz w:val="17"/>
              </w:rPr>
            </w:pPr>
          </w:p>
          <w:p w14:paraId="6AA83C41" w14:textId="77777777" w:rsidR="009A472F" w:rsidRDefault="006356F0">
            <w:pPr>
              <w:pStyle w:val="TableParagraph"/>
              <w:ind w:left="296" w:right="11"/>
              <w:jc w:val="both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dispute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fairness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termination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employment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probationary employee, any person making a decision about the fairness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such a dismissal ought to accept reasons for dismissal that may be “less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compelling”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would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dismissals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effected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completion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probationary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period.</w:t>
            </w:r>
          </w:p>
          <w:p w14:paraId="6AA83C42" w14:textId="77777777" w:rsidR="009A472F" w:rsidRDefault="009A472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A83C43" w14:textId="77777777" w:rsidR="009A472F" w:rsidRDefault="006356F0">
            <w:pPr>
              <w:pStyle w:val="TableParagraph"/>
              <w:ind w:left="296" w:right="12"/>
              <w:jc w:val="both"/>
              <w:rPr>
                <w:sz w:val="17"/>
              </w:rPr>
            </w:pPr>
            <w:r>
              <w:rPr>
                <w:sz w:val="17"/>
              </w:rPr>
              <w:t>In other words, the employer now has to meet a lower burden in establishing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 substantive fairness of a dismissal on the grounds of incompatibility or 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failure to meet work standards. Such a dismissal will however still have to be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conducted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accordance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 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procedure.</w:t>
            </w:r>
          </w:p>
          <w:p w14:paraId="6AA83C44" w14:textId="77777777" w:rsidR="009A472F" w:rsidRDefault="009A472F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AA83C45" w14:textId="77777777" w:rsidR="009A472F" w:rsidRDefault="006356F0">
            <w:pPr>
              <w:pStyle w:val="TableParagraph"/>
              <w:ind w:left="296"/>
              <w:jc w:val="both"/>
              <w:rPr>
                <w:sz w:val="17"/>
              </w:rPr>
            </w:pPr>
            <w:r>
              <w:rPr>
                <w:sz w:val="17"/>
                <w:u w:val="single"/>
              </w:rPr>
              <w:t>For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more</w:t>
            </w:r>
            <w:r>
              <w:rPr>
                <w:spacing w:val="-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information,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refer</w:t>
            </w:r>
            <w:r>
              <w:rPr>
                <w:spacing w:val="-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to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the CCMA’s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PROBATION</w:t>
            </w:r>
            <w:r>
              <w:rPr>
                <w:spacing w:val="-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information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sheet.</w:t>
            </w:r>
          </w:p>
          <w:p w14:paraId="6AA83C46" w14:textId="77777777" w:rsidR="009A472F" w:rsidRDefault="009A472F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AA83C47" w14:textId="77777777" w:rsidR="009A472F" w:rsidRDefault="006356F0">
            <w:pPr>
              <w:pStyle w:val="TableParagraph"/>
              <w:tabs>
                <w:tab w:val="left" w:pos="5080"/>
              </w:tabs>
              <w:ind w:left="267" w:right="-29"/>
              <w:rPr>
                <w:b/>
                <w:sz w:val="20"/>
              </w:rPr>
            </w:pPr>
            <w:r>
              <w:rPr>
                <w:b/>
                <w:spacing w:val="-17"/>
                <w:w w:val="99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RELEVANT</w:t>
            </w:r>
            <w:r>
              <w:rPr>
                <w:b/>
                <w:spacing w:val="-5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LEGISLATION</w:t>
            </w:r>
            <w:r>
              <w:rPr>
                <w:b/>
                <w:sz w:val="20"/>
                <w:shd w:val="clear" w:color="auto" w:fill="C0C0C0"/>
              </w:rPr>
              <w:tab/>
            </w:r>
          </w:p>
          <w:p w14:paraId="6AA83C48" w14:textId="77777777" w:rsidR="009A472F" w:rsidRDefault="006356F0">
            <w:pPr>
              <w:pStyle w:val="TableParagraph"/>
              <w:spacing w:before="195"/>
              <w:ind w:left="296" w:right="9"/>
              <w:jc w:val="both"/>
              <w:rPr>
                <w:sz w:val="17"/>
              </w:rPr>
            </w:pPr>
            <w:r>
              <w:rPr>
                <w:sz w:val="17"/>
              </w:rPr>
              <w:t xml:space="preserve">Section 188A of the </w:t>
            </w:r>
            <w:proofErr w:type="spellStart"/>
            <w:r>
              <w:rPr>
                <w:sz w:val="17"/>
              </w:rPr>
              <w:t>Labour</w:t>
            </w:r>
            <w:proofErr w:type="spellEnd"/>
            <w:r>
              <w:rPr>
                <w:sz w:val="17"/>
              </w:rPr>
              <w:t xml:space="preserve"> Relations Act 66 of 1995 as amended, and items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8,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9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Good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Practice: Dismissal</w:t>
            </w:r>
          </w:p>
        </w:tc>
      </w:tr>
    </w:tbl>
    <w:p w14:paraId="6AA83C4C" w14:textId="4CAF039E" w:rsidR="009A472F" w:rsidRDefault="009A472F" w:rsidP="006356F0">
      <w:pPr>
        <w:tabs>
          <w:tab w:val="left" w:pos="10241"/>
        </w:tabs>
        <w:spacing w:before="21"/>
        <w:ind w:left="195"/>
      </w:pPr>
    </w:p>
    <w:sectPr w:rsidR="009A472F">
      <w:type w:val="continuous"/>
      <w:pgSz w:w="16850" w:h="11910" w:orient="landscape"/>
      <w:pgMar w:top="14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352F4"/>
    <w:multiLevelType w:val="hybridMultilevel"/>
    <w:tmpl w:val="36581BAC"/>
    <w:lvl w:ilvl="0" w:tplc="1ABE4F2E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100"/>
        <w:sz w:val="17"/>
        <w:szCs w:val="17"/>
        <w:lang w:val="en-US" w:eastAsia="en-US" w:bidi="ar-SA"/>
      </w:rPr>
    </w:lvl>
    <w:lvl w:ilvl="1" w:tplc="EDD00C76">
      <w:numFmt w:val="bullet"/>
      <w:lvlText w:val="•"/>
      <w:lvlJc w:val="left"/>
      <w:pPr>
        <w:ind w:left="1052" w:hanging="284"/>
      </w:pPr>
      <w:rPr>
        <w:rFonts w:hint="default"/>
        <w:lang w:val="en-US" w:eastAsia="en-US" w:bidi="ar-SA"/>
      </w:rPr>
    </w:lvl>
    <w:lvl w:ilvl="2" w:tplc="9014C36C">
      <w:numFmt w:val="bullet"/>
      <w:lvlText w:val="•"/>
      <w:lvlJc w:val="left"/>
      <w:pPr>
        <w:ind w:left="1525" w:hanging="284"/>
      </w:pPr>
      <w:rPr>
        <w:rFonts w:hint="default"/>
        <w:lang w:val="en-US" w:eastAsia="en-US" w:bidi="ar-SA"/>
      </w:rPr>
    </w:lvl>
    <w:lvl w:ilvl="3" w:tplc="78CE106A">
      <w:numFmt w:val="bullet"/>
      <w:lvlText w:val="•"/>
      <w:lvlJc w:val="left"/>
      <w:pPr>
        <w:ind w:left="1997" w:hanging="284"/>
      </w:pPr>
      <w:rPr>
        <w:rFonts w:hint="default"/>
        <w:lang w:val="en-US" w:eastAsia="en-US" w:bidi="ar-SA"/>
      </w:rPr>
    </w:lvl>
    <w:lvl w:ilvl="4" w:tplc="2F4A76F6">
      <w:numFmt w:val="bullet"/>
      <w:lvlText w:val="•"/>
      <w:lvlJc w:val="left"/>
      <w:pPr>
        <w:ind w:left="2470" w:hanging="284"/>
      </w:pPr>
      <w:rPr>
        <w:rFonts w:hint="default"/>
        <w:lang w:val="en-US" w:eastAsia="en-US" w:bidi="ar-SA"/>
      </w:rPr>
    </w:lvl>
    <w:lvl w:ilvl="5" w:tplc="19147FA6">
      <w:numFmt w:val="bullet"/>
      <w:lvlText w:val="•"/>
      <w:lvlJc w:val="left"/>
      <w:pPr>
        <w:ind w:left="2942" w:hanging="284"/>
      </w:pPr>
      <w:rPr>
        <w:rFonts w:hint="default"/>
        <w:lang w:val="en-US" w:eastAsia="en-US" w:bidi="ar-SA"/>
      </w:rPr>
    </w:lvl>
    <w:lvl w:ilvl="6" w:tplc="7BFE2B38">
      <w:numFmt w:val="bullet"/>
      <w:lvlText w:val="•"/>
      <w:lvlJc w:val="left"/>
      <w:pPr>
        <w:ind w:left="3415" w:hanging="284"/>
      </w:pPr>
      <w:rPr>
        <w:rFonts w:hint="default"/>
        <w:lang w:val="en-US" w:eastAsia="en-US" w:bidi="ar-SA"/>
      </w:rPr>
    </w:lvl>
    <w:lvl w:ilvl="7" w:tplc="727A5372">
      <w:numFmt w:val="bullet"/>
      <w:lvlText w:val="•"/>
      <w:lvlJc w:val="left"/>
      <w:pPr>
        <w:ind w:left="3887" w:hanging="284"/>
      </w:pPr>
      <w:rPr>
        <w:rFonts w:hint="default"/>
        <w:lang w:val="en-US" w:eastAsia="en-US" w:bidi="ar-SA"/>
      </w:rPr>
    </w:lvl>
    <w:lvl w:ilvl="8" w:tplc="CDC2369A">
      <w:numFmt w:val="bullet"/>
      <w:lvlText w:val="•"/>
      <w:lvlJc w:val="left"/>
      <w:pPr>
        <w:ind w:left="436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6FB82300"/>
    <w:multiLevelType w:val="hybridMultilevel"/>
    <w:tmpl w:val="D2B63B30"/>
    <w:lvl w:ilvl="0" w:tplc="32184B64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17"/>
        <w:szCs w:val="17"/>
        <w:lang w:val="en-US" w:eastAsia="en-US" w:bidi="ar-SA"/>
      </w:rPr>
    </w:lvl>
    <w:lvl w:ilvl="1" w:tplc="C338EC72">
      <w:numFmt w:val="bullet"/>
      <w:lvlText w:val="•"/>
      <w:lvlJc w:val="left"/>
      <w:pPr>
        <w:ind w:left="811" w:hanging="284"/>
      </w:pPr>
      <w:rPr>
        <w:rFonts w:hint="default"/>
        <w:lang w:val="en-US" w:eastAsia="en-US" w:bidi="ar-SA"/>
      </w:rPr>
    </w:lvl>
    <w:lvl w:ilvl="2" w:tplc="72FC9D2E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3" w:tplc="85CC86D8">
      <w:numFmt w:val="bullet"/>
      <w:lvlText w:val="•"/>
      <w:lvlJc w:val="left"/>
      <w:pPr>
        <w:ind w:left="1755" w:hanging="284"/>
      </w:pPr>
      <w:rPr>
        <w:rFonts w:hint="default"/>
        <w:lang w:val="en-US" w:eastAsia="en-US" w:bidi="ar-SA"/>
      </w:rPr>
    </w:lvl>
    <w:lvl w:ilvl="4" w:tplc="6FB4B898">
      <w:numFmt w:val="bullet"/>
      <w:lvlText w:val="•"/>
      <w:lvlJc w:val="left"/>
      <w:pPr>
        <w:ind w:left="2227" w:hanging="284"/>
      </w:pPr>
      <w:rPr>
        <w:rFonts w:hint="default"/>
        <w:lang w:val="en-US" w:eastAsia="en-US" w:bidi="ar-SA"/>
      </w:rPr>
    </w:lvl>
    <w:lvl w:ilvl="5" w:tplc="1DE2AD88">
      <w:numFmt w:val="bullet"/>
      <w:lvlText w:val="•"/>
      <w:lvlJc w:val="left"/>
      <w:pPr>
        <w:ind w:left="2699" w:hanging="284"/>
      </w:pPr>
      <w:rPr>
        <w:rFonts w:hint="default"/>
        <w:lang w:val="en-US" w:eastAsia="en-US" w:bidi="ar-SA"/>
      </w:rPr>
    </w:lvl>
    <w:lvl w:ilvl="6" w:tplc="E968C26C">
      <w:numFmt w:val="bullet"/>
      <w:lvlText w:val="•"/>
      <w:lvlJc w:val="left"/>
      <w:pPr>
        <w:ind w:left="3171" w:hanging="284"/>
      </w:pPr>
      <w:rPr>
        <w:rFonts w:hint="default"/>
        <w:lang w:val="en-US" w:eastAsia="en-US" w:bidi="ar-SA"/>
      </w:rPr>
    </w:lvl>
    <w:lvl w:ilvl="7" w:tplc="35B8402A">
      <w:numFmt w:val="bullet"/>
      <w:lvlText w:val="•"/>
      <w:lvlJc w:val="left"/>
      <w:pPr>
        <w:ind w:left="3643" w:hanging="284"/>
      </w:pPr>
      <w:rPr>
        <w:rFonts w:hint="default"/>
        <w:lang w:val="en-US" w:eastAsia="en-US" w:bidi="ar-SA"/>
      </w:rPr>
    </w:lvl>
    <w:lvl w:ilvl="8" w:tplc="FFB8C646">
      <w:numFmt w:val="bullet"/>
      <w:lvlText w:val="•"/>
      <w:lvlJc w:val="left"/>
      <w:pPr>
        <w:ind w:left="4115" w:hanging="284"/>
      </w:pPr>
      <w:rPr>
        <w:rFonts w:hint="default"/>
        <w:lang w:val="en-US" w:eastAsia="en-US" w:bidi="ar-SA"/>
      </w:rPr>
    </w:lvl>
  </w:abstractNum>
  <w:num w:numId="1" w16cid:durableId="488137253">
    <w:abstractNumId w:val="0"/>
  </w:num>
  <w:num w:numId="2" w16cid:durableId="204501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72F"/>
    <w:rsid w:val="004531FF"/>
    <w:rsid w:val="006356F0"/>
    <w:rsid w:val="009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AA83C0C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ind w:left="16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F83E5-C2B7-462E-AE0D-91FD31FCF2C6}"/>
</file>

<file path=customXml/itemProps2.xml><?xml version="1.0" encoding="utf-8"?>
<ds:datastoreItem xmlns:ds="http://schemas.openxmlformats.org/officeDocument/2006/customXml" ds:itemID="{CEB595F1-D366-4F2E-8D28-0F17B7081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0fcc8f7e23399d5db221ed2f27ae2187b8b9eed06b9e26581906a26664bbce53</vt:lpwstr>
  </property>
</Properties>
</file>