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194D" w14:textId="38D6E79B" w:rsidR="00C63ED3" w:rsidRPr="00C63ED3" w:rsidRDefault="00C63ED3" w:rsidP="00C63ED3">
      <w:pPr>
        <w:spacing w:after="0" w:line="240" w:lineRule="auto"/>
        <w:rPr>
          <w:rFonts w:ascii="Arial" w:eastAsia="Times New Roman" w:hAnsi="Arial" w:cs="Arial"/>
          <w:b/>
          <w:bCs/>
          <w:color w:val="FFFFFF"/>
          <w:kern w:val="0"/>
          <w:sz w:val="22"/>
          <w:szCs w:val="22"/>
          <w14:ligatures w14:val="none"/>
        </w:rPr>
      </w:pPr>
    </w:p>
    <w:p w14:paraId="759CD8C4" w14:textId="417D75F5" w:rsidR="00C63ED3" w:rsidRPr="00FE6724" w:rsidRDefault="00C63ED3" w:rsidP="00C63ED3">
      <w:r w:rsidRPr="00FE6724">
        <w:t>Impact Statement</w:t>
      </w:r>
    </w:p>
    <w:p w14:paraId="239F10B5" w14:textId="77777777" w:rsidR="00DE3AE7" w:rsidRPr="00DE3AE7" w:rsidRDefault="00DE3AE7" w:rsidP="00DE3AE7">
      <w:r w:rsidRPr="00DE3AE7">
        <w:t xml:space="preserve">The $7 million Rail Spur Construction Project at the Port of Columbia will transform the site into a fully rail-served, development-ready industrial hub—directly aligned with the goals of LED’s </w:t>
      </w:r>
      <w:proofErr w:type="spellStart"/>
      <w:r w:rsidRPr="00DE3AE7">
        <w:t>FastSite</w:t>
      </w:r>
      <w:proofErr w:type="spellEnd"/>
      <w:r w:rsidRPr="00DE3AE7">
        <w:t xml:space="preserve"> Program. It will immediately enhance multimodal service to existing tenants, including Louisiana Green Fuels (LGF), Terral </w:t>
      </w:r>
      <w:proofErr w:type="spellStart"/>
      <w:r w:rsidRPr="00DE3AE7">
        <w:t>RiverService</w:t>
      </w:r>
      <w:proofErr w:type="spellEnd"/>
      <w:r w:rsidRPr="00DE3AE7">
        <w:t>, timber processors, agricultural producers, and regional manufacturers. Rail access remains the Port’s most significant infrastructure gap; completing this spur will reduce tenant risk, accelerate delivery timelines, and unlock new industrial investment across the region.</w:t>
      </w:r>
    </w:p>
    <w:p w14:paraId="11451F32" w14:textId="2C4222B6" w:rsidR="00FE6724" w:rsidRPr="00FE6724" w:rsidRDefault="00FE6724" w:rsidP="00DE3AE7">
      <w:r w:rsidRPr="00FE6724">
        <w:t>The Port of Columbia has already secured nearly $50 million in state and federal grants to advance infrastructure development—including the acquisition of over 200 acres, construction of access roads, and the planned development of a truck parking facility, emergency staging area, dock improvements, and a solar manufacturing facility with a 3 MW solar farm. The Port has also received multiple regional strategic planning grants to ensure its expansion serves as a catalyst for broader economic growth across the Ouachita-Black River region.</w:t>
      </w:r>
    </w:p>
    <w:p w14:paraId="2850B151" w14:textId="7F8EBD2C" w:rsidR="00DE3AE7" w:rsidRPr="00DE3AE7" w:rsidRDefault="00FE6724" w:rsidP="00DE3AE7">
      <w:r w:rsidRPr="00FE6724">
        <w:t xml:space="preserve">Our Fast Site </w:t>
      </w:r>
      <w:r w:rsidR="00DE3AE7" w:rsidRPr="00DE3AE7">
        <w:t xml:space="preserve">project includes construction of a modern rail spur, on-site staging and switching, and a Class I mainline connection to Union Pacific, creating seamless integration with truck and barge operations. These improvements will directly support LGF’s shipment of biomass feedstocks, carbon capture components, and renewable fuels while enabling Terral to move agricultural commodities (e.g., 100+ </w:t>
      </w:r>
      <w:proofErr w:type="gramStart"/>
      <w:r w:rsidR="00DE3AE7" w:rsidRPr="00DE3AE7">
        <w:t>railcars</w:t>
      </w:r>
      <w:proofErr w:type="gramEnd"/>
      <w:r w:rsidR="00DE3AE7" w:rsidRPr="00DE3AE7">
        <w:t xml:space="preserve"> of cottonseed) and industrial aggregates between river, rail, and highway with greater efficiency. Timber shippers, solar component manufacturers, and grain producers will gain access to competitive rail service for the first time—expanding regional freight capacity and reducing reliance on long-haul trucking.</w:t>
      </w:r>
    </w:p>
    <w:p w14:paraId="3AAF47CB" w14:textId="77777777" w:rsidR="00DE3AE7" w:rsidRPr="00DE3AE7" w:rsidRDefault="00DE3AE7" w:rsidP="00DE3AE7">
      <w:r w:rsidRPr="00DE3AE7">
        <w:t xml:space="preserve">Importantly, this investment positions the Port of Columbia as one of the few certified multimodal </w:t>
      </w:r>
      <w:proofErr w:type="spellStart"/>
      <w:r w:rsidRPr="00DE3AE7">
        <w:t>FastSites</w:t>
      </w:r>
      <w:proofErr w:type="spellEnd"/>
      <w:r w:rsidRPr="00DE3AE7">
        <w:t xml:space="preserve"> in North Louisiana, offering direct access to rail, river, highway, and utility infrastructure in a fully developable industrial setting. With the spur in place, the Port can eliminate up to 12–18 months of development uncertainty for new projects—accelerating timelines, improving competitiveness, and reducing capital risk for potential investors.</w:t>
      </w:r>
    </w:p>
    <w:p w14:paraId="716208A4" w14:textId="2ABE2915" w:rsidR="00DE3AE7" w:rsidRPr="00DE3AE7" w:rsidRDefault="00DE3AE7" w:rsidP="00DE3AE7">
      <w:r w:rsidRPr="00DE3AE7">
        <w:t xml:space="preserve">By filling this critical infrastructure gap, the </w:t>
      </w:r>
      <w:proofErr w:type="spellStart"/>
      <w:r w:rsidRPr="00DE3AE7">
        <w:t>FastSite</w:t>
      </w:r>
      <w:proofErr w:type="spellEnd"/>
      <w:r w:rsidRPr="00DE3AE7">
        <w:t xml:space="preserve">-supported rail spur will strengthen the regional supply </w:t>
      </w:r>
      <w:proofErr w:type="gramStart"/>
      <w:r w:rsidRPr="00DE3AE7">
        <w:t>chain</w:t>
      </w:r>
      <w:proofErr w:type="gramEnd"/>
      <w:r w:rsidRPr="00FE6724">
        <w:t xml:space="preserve"> and the public benefits are substantial: enhanced freight capacity</w:t>
      </w:r>
      <w:r w:rsidRPr="00DE3AE7">
        <w:t xml:space="preserve">, </w:t>
      </w:r>
      <w:r w:rsidR="00506776" w:rsidRPr="00FE6724">
        <w:t xml:space="preserve">increased </w:t>
      </w:r>
      <w:r w:rsidRPr="00DE3AE7">
        <w:t xml:space="preserve">private investment, lower </w:t>
      </w:r>
      <w:r w:rsidRPr="00FE6724">
        <w:t xml:space="preserve">transportation </w:t>
      </w:r>
      <w:r w:rsidRPr="00DE3AE7">
        <w:t xml:space="preserve">costs, </w:t>
      </w:r>
      <w:r w:rsidRPr="00FE6724">
        <w:t xml:space="preserve">expanding job opportunities, </w:t>
      </w:r>
      <w:r w:rsidRPr="00DE3AE7">
        <w:t>and long-term growth in clean energy, agribusiness, and advanced manufacturing</w:t>
      </w:r>
      <w:r w:rsidR="00506776" w:rsidRPr="00FE6724">
        <w:t>. These impacts add</w:t>
      </w:r>
      <w:r w:rsidRPr="00FE6724">
        <w:t xml:space="preserve"> resiliency within a rural economy</w:t>
      </w:r>
      <w:r w:rsidR="00506776" w:rsidRPr="00FE6724">
        <w:t xml:space="preserve"> poised for growth</w:t>
      </w:r>
      <w:r w:rsidRPr="00DE3AE7">
        <w:t xml:space="preserve">. With state support, the </w:t>
      </w:r>
      <w:r w:rsidRPr="00DE3AE7">
        <w:lastRenderedPageBreak/>
        <w:t>Port of Columbia will deliver a turnkey rail-served industrial site—ready for tenant expansion, job creation, and sustained economic impact</w:t>
      </w:r>
      <w:r w:rsidRPr="00FE6724">
        <w:t xml:space="preserve"> </w:t>
      </w:r>
      <w:r w:rsidR="00506776" w:rsidRPr="00FE6724">
        <w:t xml:space="preserve">across the </w:t>
      </w:r>
      <w:r w:rsidRPr="00FE6724">
        <w:t>Ouachita-Black River Region.</w:t>
      </w:r>
    </w:p>
    <w:p w14:paraId="2A5420F7" w14:textId="0D8D4459" w:rsidR="00C63ED3" w:rsidRPr="00FE6724" w:rsidRDefault="00C63ED3" w:rsidP="00C63ED3">
      <w:pPr>
        <w:rPr>
          <w:b/>
          <w:bCs/>
          <w:u w:val="single"/>
        </w:rPr>
      </w:pPr>
      <w:r w:rsidRPr="00FE6724">
        <w:rPr>
          <w:b/>
          <w:bCs/>
          <w:u w:val="single"/>
        </w:rPr>
        <w:t>Financial Planning</w:t>
      </w:r>
    </w:p>
    <w:p w14:paraId="08102F07" w14:textId="77777777" w:rsidR="00826B60" w:rsidRPr="00826B60" w:rsidRDefault="00826B60" w:rsidP="00826B60">
      <w:r w:rsidRPr="00826B60">
        <w:t xml:space="preserve">The total estimated eligible project cost for the Rail Spur Construction Project is $7 million, and the Port of Columbia is requesting $1,500,000 in </w:t>
      </w:r>
      <w:proofErr w:type="spellStart"/>
      <w:r w:rsidRPr="00826B60">
        <w:t>FastSite</w:t>
      </w:r>
      <w:proofErr w:type="spellEnd"/>
      <w:r w:rsidRPr="00826B60">
        <w:t xml:space="preserve"> funding to close the final construction gap created by the delayed release of Priority 5 Capital Outlay funds.</w:t>
      </w:r>
    </w:p>
    <w:p w14:paraId="6FE8D7E3" w14:textId="77777777" w:rsidR="00826B60" w:rsidRPr="00826B60" w:rsidRDefault="00826B60" w:rsidP="00826B60">
      <w:r w:rsidRPr="00826B60">
        <w:t xml:space="preserve">In accordance with LED </w:t>
      </w:r>
      <w:proofErr w:type="spellStart"/>
      <w:r w:rsidRPr="00826B60">
        <w:t>FastSite</w:t>
      </w:r>
      <w:proofErr w:type="spellEnd"/>
      <w:r w:rsidRPr="00826B60">
        <w:t xml:space="preserve"> Program requirements, </w:t>
      </w:r>
      <w:proofErr w:type="spellStart"/>
      <w:r w:rsidRPr="00826B60">
        <w:t>FastSite</w:t>
      </w:r>
      <w:proofErr w:type="spellEnd"/>
      <w:r w:rsidRPr="00826B60">
        <w:t xml:space="preserve"> loan funds will be used exclusively for construction activities and will not be applied to engineering, design, or pre</w:t>
      </w:r>
      <w:r w:rsidRPr="00826B60">
        <w:noBreakHyphen/>
        <w:t>construction services. All engineering and design work has already been funded through other secured sources.</w:t>
      </w:r>
    </w:p>
    <w:p w14:paraId="52AF1015" w14:textId="77777777" w:rsidR="00826B60" w:rsidRPr="00826B60" w:rsidRDefault="00826B60" w:rsidP="00826B60">
      <w:r w:rsidRPr="00826B60">
        <w:t>Because the project cannot be advertised for public bid until full funding is in place, the Port has submitted stamped engineering design plans and a comprehensive cost estimate in lieu of contractor quotes. These documents were prepared by licensed engineers with extensive rail infrastructure experience and include a complete, itemized breakdown of:</w:t>
      </w:r>
    </w:p>
    <w:p w14:paraId="2108CFC5" w14:textId="77777777" w:rsidR="00826B60" w:rsidRPr="00826B60" w:rsidRDefault="00826B60" w:rsidP="00826B60">
      <w:pPr>
        <w:numPr>
          <w:ilvl w:val="0"/>
          <w:numId w:val="1"/>
        </w:numPr>
      </w:pPr>
      <w:r w:rsidRPr="00826B60">
        <w:t>Rail bed preparation</w:t>
      </w:r>
    </w:p>
    <w:p w14:paraId="6A177FBF" w14:textId="77777777" w:rsidR="00826B60" w:rsidRPr="00826B60" w:rsidRDefault="00826B60" w:rsidP="00826B60">
      <w:pPr>
        <w:numPr>
          <w:ilvl w:val="0"/>
          <w:numId w:val="1"/>
        </w:numPr>
      </w:pPr>
      <w:r w:rsidRPr="00826B60">
        <w:t>Track materials and installation</w:t>
      </w:r>
    </w:p>
    <w:p w14:paraId="228CB1A8" w14:textId="77777777" w:rsidR="00826B60" w:rsidRPr="00826B60" w:rsidRDefault="00826B60" w:rsidP="00826B60">
      <w:pPr>
        <w:numPr>
          <w:ilvl w:val="0"/>
          <w:numId w:val="1"/>
        </w:numPr>
      </w:pPr>
      <w:r w:rsidRPr="00826B60">
        <w:t>Drainage and stormwater improvements</w:t>
      </w:r>
    </w:p>
    <w:p w14:paraId="0A8849C2" w14:textId="77777777" w:rsidR="00826B60" w:rsidRPr="00826B60" w:rsidRDefault="00826B60" w:rsidP="00826B60">
      <w:pPr>
        <w:numPr>
          <w:ilvl w:val="0"/>
          <w:numId w:val="1"/>
        </w:numPr>
      </w:pPr>
      <w:r w:rsidRPr="00826B60">
        <w:t>Switching systems</w:t>
      </w:r>
    </w:p>
    <w:p w14:paraId="29825525" w14:textId="77777777" w:rsidR="00826B60" w:rsidRPr="00826B60" w:rsidRDefault="00826B60" w:rsidP="00826B60">
      <w:pPr>
        <w:numPr>
          <w:ilvl w:val="0"/>
          <w:numId w:val="1"/>
        </w:numPr>
      </w:pPr>
      <w:r w:rsidRPr="00826B60">
        <w:t>On-site staging track development</w:t>
      </w:r>
    </w:p>
    <w:p w14:paraId="080932BA" w14:textId="77777777" w:rsidR="00826B60" w:rsidRPr="00826B60" w:rsidRDefault="00826B60" w:rsidP="00826B60">
      <w:pPr>
        <w:numPr>
          <w:ilvl w:val="0"/>
          <w:numId w:val="1"/>
        </w:numPr>
      </w:pPr>
      <w:proofErr w:type="gramStart"/>
      <w:r w:rsidRPr="00826B60">
        <w:t>Class</w:t>
      </w:r>
      <w:proofErr w:type="gramEnd"/>
      <w:r w:rsidRPr="00826B60">
        <w:t xml:space="preserve"> I mainline connection to Union Pacific</w:t>
      </w:r>
    </w:p>
    <w:p w14:paraId="63EBCB95" w14:textId="77777777" w:rsidR="00826B60" w:rsidRPr="00826B60" w:rsidRDefault="00826B60" w:rsidP="00826B60">
      <w:r w:rsidRPr="00826B60">
        <w:t>The engineering estimate incorporates current unit prices, regional cost conditions, and Class I railroad construction standards, making it the most accurate and reliable cost basis available prior to bidding. Once funding is secured, the Port will fully comply with Louisiana Public Bid Law and solicit competitive construction bids to establish final pricing.</w:t>
      </w:r>
    </w:p>
    <w:p w14:paraId="67EDEDF1" w14:textId="696D54F3" w:rsidR="00826B60" w:rsidRPr="00826B60" w:rsidRDefault="005B0C6E" w:rsidP="00826B60">
      <w:r w:rsidRPr="005B0C6E">
        <w:t xml:space="preserve">Complete documentation of the project’s engineering cost estimates, rail design plans, and detailed construction budget is available online at </w:t>
      </w:r>
      <w:hyperlink r:id="rId5" w:tgtFrame="_new" w:history="1">
        <w:r w:rsidRPr="005B0C6E">
          <w:rPr>
            <w:rStyle w:val="Hyperlink"/>
          </w:rPr>
          <w:t>www.portcolumbia.com</w:t>
        </w:r>
      </w:hyperlink>
      <w:r w:rsidRPr="005B0C6E">
        <w:t>, under “Documents” &gt; “Fast Site.”</w:t>
      </w:r>
      <w:r>
        <w:t xml:space="preserve"> </w:t>
      </w:r>
      <w:r w:rsidR="00826B60" w:rsidRPr="00826B60">
        <w:t>The</w:t>
      </w:r>
      <w:r>
        <w:t>se</w:t>
      </w:r>
      <w:r w:rsidR="00826B60" w:rsidRPr="00826B60">
        <w:t xml:space="preserve"> attached engineering documents demonstrate the Port’s due diligence, validate the total project cost, and confirm that the </w:t>
      </w:r>
      <w:proofErr w:type="spellStart"/>
      <w:r w:rsidR="00826B60" w:rsidRPr="00826B60">
        <w:t>FastSite</w:t>
      </w:r>
      <w:proofErr w:type="spellEnd"/>
      <w:r w:rsidR="00826B60" w:rsidRPr="00826B60">
        <w:t xml:space="preserve"> request is both appropriate and necessary to complete this critical multimodal infrastructure investment.</w:t>
      </w:r>
    </w:p>
    <w:p w14:paraId="2EFBA753" w14:textId="77777777" w:rsidR="00826B60" w:rsidRDefault="00826B60" w:rsidP="00C63ED3"/>
    <w:p w14:paraId="1AE54900" w14:textId="77777777" w:rsidR="00EE7CEC" w:rsidRDefault="00EE7CEC" w:rsidP="00C63ED3"/>
    <w:p w14:paraId="4F00A81D" w14:textId="30034770" w:rsidR="00C63ED3" w:rsidRPr="005B0C6E" w:rsidRDefault="00C63ED3" w:rsidP="00C63ED3">
      <w:pPr>
        <w:rPr>
          <w:b/>
          <w:bCs/>
          <w:u w:val="single"/>
        </w:rPr>
      </w:pPr>
      <w:r w:rsidRPr="005B0C6E">
        <w:rPr>
          <w:b/>
          <w:bCs/>
          <w:u w:val="single"/>
        </w:rPr>
        <w:t>Return of Investment</w:t>
      </w:r>
    </w:p>
    <w:p w14:paraId="7BCDCBB4" w14:textId="206F3D02" w:rsidR="00D31697" w:rsidRPr="00D31697" w:rsidRDefault="00D31697" w:rsidP="00D31697">
      <w:r w:rsidRPr="00D31697">
        <w:t>The Port of Columbia is advancing a $7 million rail spur construction project to support increased multimodal freight operations, unlock new industrial development, and enable full-scale operations for tenants such as Louisiana Green Fuels (LGF). The new rail infrastructure will transform the Port into a fully rail-served logistics hub along the Ouachita</w:t>
      </w:r>
      <w:r>
        <w:t xml:space="preserve">-Black </w:t>
      </w:r>
      <w:r w:rsidRPr="00D31697">
        <w:t>River corridor. To date, the Port has secured $4.5 million from the Louisiana Department of Transportation and Development (</w:t>
      </w:r>
      <w:proofErr w:type="spellStart"/>
      <w:r w:rsidRPr="00D31697">
        <w:t>LaDOTD</w:t>
      </w:r>
      <w:proofErr w:type="spellEnd"/>
      <w:r w:rsidRPr="00D31697">
        <w:t xml:space="preserve">) Port Priority Program and $1 million from the Delta Regional Authority (DRA). The Port is requesting $1.5 million from the LED </w:t>
      </w:r>
      <w:proofErr w:type="spellStart"/>
      <w:r w:rsidRPr="00D31697">
        <w:t>FastSite</w:t>
      </w:r>
      <w:proofErr w:type="spellEnd"/>
      <w:r w:rsidRPr="00D31697">
        <w:t xml:space="preserve"> Program to complete the project’s capital stack.</w:t>
      </w:r>
      <w:r>
        <w:t xml:space="preserve"> </w:t>
      </w:r>
      <w:r w:rsidRPr="00D31697">
        <w:t xml:space="preserve"> </w:t>
      </w:r>
      <w:proofErr w:type="spellStart"/>
      <w:r w:rsidRPr="00D31697">
        <w:t>FastSite</w:t>
      </w:r>
      <w:proofErr w:type="spellEnd"/>
      <w:r w:rsidRPr="00D31697">
        <w:t xml:space="preserve"> funds will be used exclusively for eligible construction costs, consistent with LED program requirements.</w:t>
      </w:r>
      <w:r>
        <w:t xml:space="preserve"> </w:t>
      </w:r>
      <w:proofErr w:type="gramStart"/>
      <w:r w:rsidRPr="00D31697">
        <w:t>This</w:t>
      </w:r>
      <w:proofErr w:type="gramEnd"/>
      <w:r w:rsidRPr="00D31697">
        <w:t xml:space="preserve"> public investment is essential to delivering a project with long-term economic, operational, and fiscal returns to the State of Louisiana.</w:t>
      </w:r>
    </w:p>
    <w:p w14:paraId="210CC0FD" w14:textId="77777777" w:rsidR="00D31697" w:rsidRPr="00D31697" w:rsidRDefault="00D31697" w:rsidP="00D31697">
      <w:r w:rsidRPr="00D31697">
        <w:t xml:space="preserve">The Port has developed a conservative, multi-stream revenue strategy to fully repay the $1.5 million loan within the required five-year </w:t>
      </w:r>
      <w:proofErr w:type="gramStart"/>
      <w:r w:rsidRPr="00D31697">
        <w:t>window</w:t>
      </w:r>
      <w:proofErr w:type="gramEnd"/>
      <w:r w:rsidRPr="00D31697">
        <w:t>. This plan leverages three primary revenue sources tied directly to the construction of the rail spur:</w:t>
      </w:r>
    </w:p>
    <w:p w14:paraId="0154627C" w14:textId="77777777" w:rsidR="00D31697" w:rsidRPr="00D31697" w:rsidRDefault="00D31697" w:rsidP="00D31697">
      <w:r w:rsidRPr="00D31697">
        <w:t>The first source is land lease revenue. The Port will increase lease rates on 117 existing leased acres from $1,500 to $2,025 per acre, generating a consistent $61,425 annually. In Year 1, the Port will lease an additional 35 acres, with total leased acreage growing by 10 percent annually thereafter. All new acreage will lease at the updated $2,025 rate, producing a reliable and growing revenue stream. The Port currently has over 400 acres.</w:t>
      </w:r>
    </w:p>
    <w:p w14:paraId="1D52E7D8" w14:textId="77777777" w:rsidR="00D31697" w:rsidRPr="00D31697" w:rsidRDefault="00D31697" w:rsidP="00D31697">
      <w:r w:rsidRPr="00D31697">
        <w:t>The second source is rail usage revenue. The Port expects to handle 500 railcars in Year 1, with usage increasing to 1,000 cars by Year 5 as LGF operations scale. A fee of $125 per railcar will be charged for loading, unloading, and equipment use, consistent with regional market benchmarks.</w:t>
      </w:r>
    </w:p>
    <w:p w14:paraId="1095172C" w14:textId="77777777" w:rsidR="00D31697" w:rsidRPr="00D31697" w:rsidRDefault="00D31697" w:rsidP="00D31697">
      <w:r w:rsidRPr="00D31697">
        <w:t xml:space="preserve">The third source is rail storage revenue. The project includes development of 10 railcar storage spaces designed to accommodate long-term </w:t>
      </w:r>
      <w:proofErr w:type="gramStart"/>
      <w:r w:rsidRPr="00D31697">
        <w:t>tenant</w:t>
      </w:r>
      <w:proofErr w:type="gramEnd"/>
      <w:r w:rsidRPr="00D31697">
        <w:t xml:space="preserve"> or transient usage. While initial demand is expected to be modest, the Port anticipates 25 percent </w:t>
      </w:r>
      <w:proofErr w:type="gramStart"/>
      <w:r w:rsidRPr="00D31697">
        <w:t>utilization—</w:t>
      </w:r>
      <w:proofErr w:type="gramEnd"/>
      <w:r w:rsidRPr="00D31697">
        <w:t>approximately 900 cars per year—at $35 per day. This results in a conservative storage revenue estimate of $31,500 per year.</w:t>
      </w:r>
    </w:p>
    <w:p w14:paraId="42A6BFD3" w14:textId="77777777" w:rsidR="00D31697" w:rsidRPr="00D31697" w:rsidRDefault="00D31697" w:rsidP="00D31697">
      <w:r w:rsidRPr="00D31697">
        <w:rPr>
          <w:b/>
          <w:bCs/>
        </w:rPr>
        <w:t>Five-Year Revenue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4"/>
        <w:gridCol w:w="1701"/>
        <w:gridCol w:w="1478"/>
        <w:gridCol w:w="1888"/>
        <w:gridCol w:w="2418"/>
      </w:tblGrid>
      <w:tr w:rsidR="00D31697" w:rsidRPr="00D31697" w14:paraId="5AE7A9BC" w14:textId="77777777">
        <w:trPr>
          <w:tblHeader/>
          <w:tblCellSpacing w:w="15" w:type="dxa"/>
        </w:trPr>
        <w:tc>
          <w:tcPr>
            <w:tcW w:w="0" w:type="auto"/>
            <w:vAlign w:val="center"/>
            <w:hideMark/>
          </w:tcPr>
          <w:p w14:paraId="1219D2C4" w14:textId="77777777" w:rsidR="00D31697" w:rsidRPr="00D31697" w:rsidRDefault="00D31697" w:rsidP="00D31697">
            <w:pPr>
              <w:rPr>
                <w:b/>
                <w:bCs/>
              </w:rPr>
            </w:pPr>
            <w:r w:rsidRPr="00D31697">
              <w:rPr>
                <w:b/>
                <w:bCs/>
              </w:rPr>
              <w:t>Year</w:t>
            </w:r>
          </w:p>
        </w:tc>
        <w:tc>
          <w:tcPr>
            <w:tcW w:w="0" w:type="auto"/>
            <w:vAlign w:val="center"/>
            <w:hideMark/>
          </w:tcPr>
          <w:p w14:paraId="03B7618E" w14:textId="77777777" w:rsidR="00D31697" w:rsidRPr="00D31697" w:rsidRDefault="00D31697" w:rsidP="00D31697">
            <w:pPr>
              <w:rPr>
                <w:b/>
                <w:bCs/>
              </w:rPr>
            </w:pPr>
            <w:r w:rsidRPr="00D31697">
              <w:rPr>
                <w:b/>
                <w:bCs/>
              </w:rPr>
              <w:t>Lease Revenue</w:t>
            </w:r>
          </w:p>
        </w:tc>
        <w:tc>
          <w:tcPr>
            <w:tcW w:w="0" w:type="auto"/>
            <w:vAlign w:val="center"/>
            <w:hideMark/>
          </w:tcPr>
          <w:p w14:paraId="2D26287A" w14:textId="77777777" w:rsidR="00D31697" w:rsidRPr="00D31697" w:rsidRDefault="00D31697" w:rsidP="00D31697">
            <w:pPr>
              <w:rPr>
                <w:b/>
                <w:bCs/>
              </w:rPr>
            </w:pPr>
            <w:r w:rsidRPr="00D31697">
              <w:rPr>
                <w:b/>
                <w:bCs/>
              </w:rPr>
              <w:t>Rail Revenue</w:t>
            </w:r>
          </w:p>
        </w:tc>
        <w:tc>
          <w:tcPr>
            <w:tcW w:w="0" w:type="auto"/>
            <w:vAlign w:val="center"/>
            <w:hideMark/>
          </w:tcPr>
          <w:p w14:paraId="2BEBAA63" w14:textId="77777777" w:rsidR="00D31697" w:rsidRPr="00D31697" w:rsidRDefault="00D31697" w:rsidP="00D31697">
            <w:pPr>
              <w:rPr>
                <w:b/>
                <w:bCs/>
              </w:rPr>
            </w:pPr>
            <w:r w:rsidRPr="00D31697">
              <w:rPr>
                <w:b/>
                <w:bCs/>
              </w:rPr>
              <w:t>Storage Revenue</w:t>
            </w:r>
          </w:p>
        </w:tc>
        <w:tc>
          <w:tcPr>
            <w:tcW w:w="0" w:type="auto"/>
            <w:vAlign w:val="center"/>
            <w:hideMark/>
          </w:tcPr>
          <w:p w14:paraId="0AF4582F" w14:textId="77777777" w:rsidR="00D31697" w:rsidRPr="00D31697" w:rsidRDefault="00D31697" w:rsidP="00D31697">
            <w:pPr>
              <w:rPr>
                <w:b/>
                <w:bCs/>
              </w:rPr>
            </w:pPr>
            <w:r w:rsidRPr="00D31697">
              <w:rPr>
                <w:b/>
                <w:bCs/>
              </w:rPr>
              <w:t>Total Annual Revenue</w:t>
            </w:r>
          </w:p>
        </w:tc>
      </w:tr>
      <w:tr w:rsidR="00D31697" w:rsidRPr="00D31697" w14:paraId="4D2B1D37" w14:textId="77777777">
        <w:trPr>
          <w:tblCellSpacing w:w="15" w:type="dxa"/>
        </w:trPr>
        <w:tc>
          <w:tcPr>
            <w:tcW w:w="0" w:type="auto"/>
            <w:vAlign w:val="center"/>
            <w:hideMark/>
          </w:tcPr>
          <w:p w14:paraId="04678703" w14:textId="77777777" w:rsidR="00D31697" w:rsidRPr="00D31697" w:rsidRDefault="00D31697" w:rsidP="00D31697">
            <w:r w:rsidRPr="00D31697">
              <w:t>1</w:t>
            </w:r>
          </w:p>
        </w:tc>
        <w:tc>
          <w:tcPr>
            <w:tcW w:w="0" w:type="auto"/>
            <w:vAlign w:val="center"/>
            <w:hideMark/>
          </w:tcPr>
          <w:p w14:paraId="12B33F48" w14:textId="77777777" w:rsidR="00D31697" w:rsidRPr="00D31697" w:rsidRDefault="00D31697" w:rsidP="00D31697">
            <w:r w:rsidRPr="00D31697">
              <w:t>$132,300</w:t>
            </w:r>
          </w:p>
        </w:tc>
        <w:tc>
          <w:tcPr>
            <w:tcW w:w="0" w:type="auto"/>
            <w:vAlign w:val="center"/>
            <w:hideMark/>
          </w:tcPr>
          <w:p w14:paraId="018F61AF" w14:textId="77777777" w:rsidR="00D31697" w:rsidRPr="00D31697" w:rsidRDefault="00D31697" w:rsidP="00D31697">
            <w:r w:rsidRPr="00D31697">
              <w:t>$62,500</w:t>
            </w:r>
          </w:p>
        </w:tc>
        <w:tc>
          <w:tcPr>
            <w:tcW w:w="0" w:type="auto"/>
            <w:vAlign w:val="center"/>
            <w:hideMark/>
          </w:tcPr>
          <w:p w14:paraId="74A336B6" w14:textId="77777777" w:rsidR="00D31697" w:rsidRPr="00D31697" w:rsidRDefault="00D31697" w:rsidP="00D31697">
            <w:r w:rsidRPr="00D31697">
              <w:t>$31,500</w:t>
            </w:r>
          </w:p>
        </w:tc>
        <w:tc>
          <w:tcPr>
            <w:tcW w:w="0" w:type="auto"/>
            <w:vAlign w:val="center"/>
            <w:hideMark/>
          </w:tcPr>
          <w:p w14:paraId="3476D08A" w14:textId="77777777" w:rsidR="00D31697" w:rsidRPr="00D31697" w:rsidRDefault="00D31697" w:rsidP="00D31697">
            <w:r w:rsidRPr="00D31697">
              <w:t>$226,300</w:t>
            </w:r>
          </w:p>
        </w:tc>
      </w:tr>
      <w:tr w:rsidR="00D31697" w:rsidRPr="00D31697" w14:paraId="408C3A60" w14:textId="77777777">
        <w:trPr>
          <w:tblCellSpacing w:w="15" w:type="dxa"/>
        </w:trPr>
        <w:tc>
          <w:tcPr>
            <w:tcW w:w="0" w:type="auto"/>
            <w:vAlign w:val="center"/>
            <w:hideMark/>
          </w:tcPr>
          <w:p w14:paraId="0A0CB414" w14:textId="77777777" w:rsidR="00D31697" w:rsidRPr="00D31697" w:rsidRDefault="00D31697" w:rsidP="00D31697">
            <w:r w:rsidRPr="00D31697">
              <w:lastRenderedPageBreak/>
              <w:t>2</w:t>
            </w:r>
          </w:p>
        </w:tc>
        <w:tc>
          <w:tcPr>
            <w:tcW w:w="0" w:type="auto"/>
            <w:vAlign w:val="center"/>
            <w:hideMark/>
          </w:tcPr>
          <w:p w14:paraId="246528BA" w14:textId="77777777" w:rsidR="00D31697" w:rsidRPr="00D31697" w:rsidRDefault="00D31697" w:rsidP="00D31697">
            <w:r w:rsidRPr="00D31697">
              <w:t>$163,080</w:t>
            </w:r>
          </w:p>
        </w:tc>
        <w:tc>
          <w:tcPr>
            <w:tcW w:w="0" w:type="auto"/>
            <w:vAlign w:val="center"/>
            <w:hideMark/>
          </w:tcPr>
          <w:p w14:paraId="57D829A8" w14:textId="77777777" w:rsidR="00D31697" w:rsidRPr="00D31697" w:rsidRDefault="00D31697" w:rsidP="00D31697">
            <w:r w:rsidRPr="00D31697">
              <w:t>$78,125</w:t>
            </w:r>
          </w:p>
        </w:tc>
        <w:tc>
          <w:tcPr>
            <w:tcW w:w="0" w:type="auto"/>
            <w:vAlign w:val="center"/>
            <w:hideMark/>
          </w:tcPr>
          <w:p w14:paraId="1AC2F3D1" w14:textId="77777777" w:rsidR="00D31697" w:rsidRPr="00D31697" w:rsidRDefault="00D31697" w:rsidP="00D31697">
            <w:r w:rsidRPr="00D31697">
              <w:t>$31,500</w:t>
            </w:r>
          </w:p>
        </w:tc>
        <w:tc>
          <w:tcPr>
            <w:tcW w:w="0" w:type="auto"/>
            <w:vAlign w:val="center"/>
            <w:hideMark/>
          </w:tcPr>
          <w:p w14:paraId="44104DFA" w14:textId="77777777" w:rsidR="00D31697" w:rsidRPr="00D31697" w:rsidRDefault="00D31697" w:rsidP="00D31697">
            <w:r w:rsidRPr="00D31697">
              <w:t>$272,705</w:t>
            </w:r>
          </w:p>
        </w:tc>
      </w:tr>
      <w:tr w:rsidR="00D31697" w:rsidRPr="00D31697" w14:paraId="51A36A3D" w14:textId="77777777">
        <w:trPr>
          <w:tblCellSpacing w:w="15" w:type="dxa"/>
        </w:trPr>
        <w:tc>
          <w:tcPr>
            <w:tcW w:w="0" w:type="auto"/>
            <w:vAlign w:val="center"/>
            <w:hideMark/>
          </w:tcPr>
          <w:p w14:paraId="5EA84473" w14:textId="77777777" w:rsidR="00D31697" w:rsidRPr="00D31697" w:rsidRDefault="00D31697" w:rsidP="00D31697">
            <w:r w:rsidRPr="00D31697">
              <w:t>3</w:t>
            </w:r>
          </w:p>
        </w:tc>
        <w:tc>
          <w:tcPr>
            <w:tcW w:w="0" w:type="auto"/>
            <w:vAlign w:val="center"/>
            <w:hideMark/>
          </w:tcPr>
          <w:p w14:paraId="7856C5DE" w14:textId="77777777" w:rsidR="00D31697" w:rsidRPr="00D31697" w:rsidRDefault="00D31697" w:rsidP="00D31697">
            <w:r w:rsidRPr="00D31697">
              <w:t>$196,938</w:t>
            </w:r>
          </w:p>
        </w:tc>
        <w:tc>
          <w:tcPr>
            <w:tcW w:w="0" w:type="auto"/>
            <w:vAlign w:val="center"/>
            <w:hideMark/>
          </w:tcPr>
          <w:p w14:paraId="33F1CA8A" w14:textId="77777777" w:rsidR="00D31697" w:rsidRPr="00D31697" w:rsidRDefault="00D31697" w:rsidP="00D31697">
            <w:r w:rsidRPr="00D31697">
              <w:t>$93,750</w:t>
            </w:r>
          </w:p>
        </w:tc>
        <w:tc>
          <w:tcPr>
            <w:tcW w:w="0" w:type="auto"/>
            <w:vAlign w:val="center"/>
            <w:hideMark/>
          </w:tcPr>
          <w:p w14:paraId="5DF3D165" w14:textId="77777777" w:rsidR="00D31697" w:rsidRPr="00D31697" w:rsidRDefault="00D31697" w:rsidP="00D31697">
            <w:r w:rsidRPr="00D31697">
              <w:t>$31,500</w:t>
            </w:r>
          </w:p>
        </w:tc>
        <w:tc>
          <w:tcPr>
            <w:tcW w:w="0" w:type="auto"/>
            <w:vAlign w:val="center"/>
            <w:hideMark/>
          </w:tcPr>
          <w:p w14:paraId="6DB4F18C" w14:textId="77777777" w:rsidR="00D31697" w:rsidRPr="00D31697" w:rsidRDefault="00D31697" w:rsidP="00D31697">
            <w:r w:rsidRPr="00D31697">
              <w:t>$322,188</w:t>
            </w:r>
          </w:p>
        </w:tc>
      </w:tr>
      <w:tr w:rsidR="00D31697" w:rsidRPr="00D31697" w14:paraId="61CBD73D" w14:textId="77777777">
        <w:trPr>
          <w:tblCellSpacing w:w="15" w:type="dxa"/>
        </w:trPr>
        <w:tc>
          <w:tcPr>
            <w:tcW w:w="0" w:type="auto"/>
            <w:vAlign w:val="center"/>
            <w:hideMark/>
          </w:tcPr>
          <w:p w14:paraId="052F9309" w14:textId="77777777" w:rsidR="00D31697" w:rsidRPr="00D31697" w:rsidRDefault="00D31697" w:rsidP="00D31697">
            <w:r w:rsidRPr="00D31697">
              <w:t>4</w:t>
            </w:r>
          </w:p>
        </w:tc>
        <w:tc>
          <w:tcPr>
            <w:tcW w:w="0" w:type="auto"/>
            <w:vAlign w:val="center"/>
            <w:hideMark/>
          </w:tcPr>
          <w:p w14:paraId="0D2870D4" w14:textId="77777777" w:rsidR="00D31697" w:rsidRPr="00D31697" w:rsidRDefault="00D31697" w:rsidP="00D31697">
            <w:r w:rsidRPr="00D31697">
              <w:t>$234,182</w:t>
            </w:r>
          </w:p>
        </w:tc>
        <w:tc>
          <w:tcPr>
            <w:tcW w:w="0" w:type="auto"/>
            <w:vAlign w:val="center"/>
            <w:hideMark/>
          </w:tcPr>
          <w:p w14:paraId="637D1D1A" w14:textId="77777777" w:rsidR="00D31697" w:rsidRPr="00D31697" w:rsidRDefault="00D31697" w:rsidP="00D31697">
            <w:r w:rsidRPr="00D31697">
              <w:t>$109,375</w:t>
            </w:r>
          </w:p>
        </w:tc>
        <w:tc>
          <w:tcPr>
            <w:tcW w:w="0" w:type="auto"/>
            <w:vAlign w:val="center"/>
            <w:hideMark/>
          </w:tcPr>
          <w:p w14:paraId="51D24F1A" w14:textId="77777777" w:rsidR="00D31697" w:rsidRPr="00D31697" w:rsidRDefault="00D31697" w:rsidP="00D31697">
            <w:r w:rsidRPr="00D31697">
              <w:t>$31,500</w:t>
            </w:r>
          </w:p>
        </w:tc>
        <w:tc>
          <w:tcPr>
            <w:tcW w:w="0" w:type="auto"/>
            <w:vAlign w:val="center"/>
            <w:hideMark/>
          </w:tcPr>
          <w:p w14:paraId="0C317E6D" w14:textId="77777777" w:rsidR="00D31697" w:rsidRPr="00D31697" w:rsidRDefault="00D31697" w:rsidP="00D31697">
            <w:r w:rsidRPr="00D31697">
              <w:t>$375,057</w:t>
            </w:r>
          </w:p>
        </w:tc>
      </w:tr>
      <w:tr w:rsidR="00D31697" w:rsidRPr="00D31697" w14:paraId="71AE8202" w14:textId="77777777">
        <w:trPr>
          <w:tblCellSpacing w:w="15" w:type="dxa"/>
        </w:trPr>
        <w:tc>
          <w:tcPr>
            <w:tcW w:w="0" w:type="auto"/>
            <w:vAlign w:val="center"/>
            <w:hideMark/>
          </w:tcPr>
          <w:p w14:paraId="640D2F7A" w14:textId="77777777" w:rsidR="00D31697" w:rsidRPr="00D31697" w:rsidRDefault="00D31697" w:rsidP="00D31697">
            <w:r w:rsidRPr="00D31697">
              <w:t>5</w:t>
            </w:r>
          </w:p>
        </w:tc>
        <w:tc>
          <w:tcPr>
            <w:tcW w:w="0" w:type="auto"/>
            <w:vAlign w:val="center"/>
            <w:hideMark/>
          </w:tcPr>
          <w:p w14:paraId="68E33FDF" w14:textId="77777777" w:rsidR="00D31697" w:rsidRPr="00D31697" w:rsidRDefault="00D31697" w:rsidP="00D31697">
            <w:r w:rsidRPr="00D31697">
              <w:t>$275,150</w:t>
            </w:r>
          </w:p>
        </w:tc>
        <w:tc>
          <w:tcPr>
            <w:tcW w:w="0" w:type="auto"/>
            <w:vAlign w:val="center"/>
            <w:hideMark/>
          </w:tcPr>
          <w:p w14:paraId="71164512" w14:textId="77777777" w:rsidR="00D31697" w:rsidRPr="00D31697" w:rsidRDefault="00D31697" w:rsidP="00D31697">
            <w:r w:rsidRPr="00D31697">
              <w:t>$125,000</w:t>
            </w:r>
          </w:p>
        </w:tc>
        <w:tc>
          <w:tcPr>
            <w:tcW w:w="0" w:type="auto"/>
            <w:vAlign w:val="center"/>
            <w:hideMark/>
          </w:tcPr>
          <w:p w14:paraId="7E64B56D" w14:textId="77777777" w:rsidR="00D31697" w:rsidRPr="00D31697" w:rsidRDefault="00D31697" w:rsidP="00D31697">
            <w:r w:rsidRPr="00D31697">
              <w:t>$31,500</w:t>
            </w:r>
          </w:p>
        </w:tc>
        <w:tc>
          <w:tcPr>
            <w:tcW w:w="0" w:type="auto"/>
            <w:vAlign w:val="center"/>
            <w:hideMark/>
          </w:tcPr>
          <w:p w14:paraId="78911A65" w14:textId="77777777" w:rsidR="00D31697" w:rsidRPr="00D31697" w:rsidRDefault="00D31697" w:rsidP="00D31697">
            <w:r w:rsidRPr="00D31697">
              <w:t>$431,650</w:t>
            </w:r>
          </w:p>
        </w:tc>
      </w:tr>
      <w:tr w:rsidR="00D31697" w:rsidRPr="00D31697" w14:paraId="78F969BD" w14:textId="77777777">
        <w:trPr>
          <w:tblCellSpacing w:w="15" w:type="dxa"/>
        </w:trPr>
        <w:tc>
          <w:tcPr>
            <w:tcW w:w="0" w:type="auto"/>
            <w:vAlign w:val="center"/>
            <w:hideMark/>
          </w:tcPr>
          <w:p w14:paraId="4EBE8787" w14:textId="77777777" w:rsidR="00D31697" w:rsidRPr="00D31697" w:rsidRDefault="00D31697" w:rsidP="00D31697">
            <w:r w:rsidRPr="00D31697">
              <w:rPr>
                <w:b/>
                <w:bCs/>
              </w:rPr>
              <w:t>Total</w:t>
            </w:r>
          </w:p>
        </w:tc>
        <w:tc>
          <w:tcPr>
            <w:tcW w:w="0" w:type="auto"/>
            <w:vAlign w:val="center"/>
            <w:hideMark/>
          </w:tcPr>
          <w:p w14:paraId="7E62292B" w14:textId="77777777" w:rsidR="00D31697" w:rsidRPr="00D31697" w:rsidRDefault="00D31697" w:rsidP="00D31697">
            <w:r w:rsidRPr="00D31697">
              <w:t>—</w:t>
            </w:r>
          </w:p>
        </w:tc>
        <w:tc>
          <w:tcPr>
            <w:tcW w:w="0" w:type="auto"/>
            <w:vAlign w:val="center"/>
            <w:hideMark/>
          </w:tcPr>
          <w:p w14:paraId="16D262BD" w14:textId="77777777" w:rsidR="00D31697" w:rsidRPr="00D31697" w:rsidRDefault="00D31697" w:rsidP="00D31697">
            <w:r w:rsidRPr="00D31697">
              <w:t>—</w:t>
            </w:r>
          </w:p>
        </w:tc>
        <w:tc>
          <w:tcPr>
            <w:tcW w:w="0" w:type="auto"/>
            <w:vAlign w:val="center"/>
            <w:hideMark/>
          </w:tcPr>
          <w:p w14:paraId="2022B9EA" w14:textId="77777777" w:rsidR="00D31697" w:rsidRPr="00D31697" w:rsidRDefault="00D31697" w:rsidP="00D31697">
            <w:r w:rsidRPr="00D31697">
              <w:t>—</w:t>
            </w:r>
          </w:p>
        </w:tc>
        <w:tc>
          <w:tcPr>
            <w:tcW w:w="0" w:type="auto"/>
            <w:vAlign w:val="center"/>
            <w:hideMark/>
          </w:tcPr>
          <w:p w14:paraId="6F4303E5" w14:textId="77777777" w:rsidR="00D31697" w:rsidRPr="00D31697" w:rsidRDefault="00D31697" w:rsidP="00D31697">
            <w:r w:rsidRPr="00D31697">
              <w:rPr>
                <w:b/>
                <w:bCs/>
              </w:rPr>
              <w:t>$1,627,900</w:t>
            </w:r>
          </w:p>
        </w:tc>
      </w:tr>
    </w:tbl>
    <w:p w14:paraId="135A7A1D" w14:textId="77777777" w:rsidR="00D31697" w:rsidRPr="00D31697" w:rsidRDefault="00D31697" w:rsidP="00D31697">
      <w:r w:rsidRPr="00D31697">
        <w:t xml:space="preserve">These projections indicate that rail usage fees, increased land-lease revenue, and railcar storage income will generate more than $1.6 million within five years, fully covering the LED </w:t>
      </w:r>
      <w:proofErr w:type="spellStart"/>
      <w:r w:rsidRPr="00D31697">
        <w:t>FastSite</w:t>
      </w:r>
      <w:proofErr w:type="spellEnd"/>
      <w:r w:rsidRPr="00D31697">
        <w:t xml:space="preserve"> loan obligation. This ROI figure reflects only the Port’s direct revenue from land leases, rail usage, and storage fees. It does not include wages from new jobs or broader economic multipliers. Including those would yield a significantly higher total economic impact, but this analysis conservatively focuses on measurable project-generated revenue to the Port.</w:t>
      </w:r>
    </w:p>
    <w:p w14:paraId="110B6728" w14:textId="77777777" w:rsidR="00D31697" w:rsidRPr="00D31697" w:rsidRDefault="00D31697" w:rsidP="00D31697">
      <w:r w:rsidRPr="00D31697">
        <w:t>The return on investment was calculated based on $5.5 million in secured matching funds and $1.6 million in projected revenue, resulting in total benefits of $7.1 million over five years. This yields a conservative ROI of 3.75 to 1—not including payroll or induced impacts.</w:t>
      </w:r>
    </w:p>
    <w:p w14:paraId="7D811AFB" w14:textId="77777777" w:rsidR="00D31697" w:rsidRPr="00D31697" w:rsidRDefault="00D31697" w:rsidP="00D31697">
      <w:r w:rsidRPr="00D31697">
        <w:t xml:space="preserve">The Port recognizes that infrastructure-driven growth can involve market fluctuations and timing uncertainties. While full repayment is confidently expected within five years, the Port views the LED </w:t>
      </w:r>
      <w:proofErr w:type="spellStart"/>
      <w:r w:rsidRPr="00D31697">
        <w:t>FastSite</w:t>
      </w:r>
      <w:proofErr w:type="spellEnd"/>
      <w:r w:rsidRPr="00D31697">
        <w:t xml:space="preserve"> loan as a construction-phase bridge loan that must be retired on schedule—either through operating revenue or, if needed, a guaranteed financial instrument. What makes </w:t>
      </w:r>
      <w:proofErr w:type="spellStart"/>
      <w:r w:rsidRPr="00D31697">
        <w:t>FastSite</w:t>
      </w:r>
      <w:proofErr w:type="spellEnd"/>
      <w:r w:rsidRPr="00D31697">
        <w:t xml:space="preserve"> uniquely valuable is its role in delivering upfront capital, unlike most state and federal infrastructure grants, which are reimbursable only after expenses are incurred. This feature allows the Port to advance construction without delay, begin generating revenue sooner, and mitigate risks related to cost inflation and market timing.</w:t>
      </w:r>
    </w:p>
    <w:p w14:paraId="5CF50AE4" w14:textId="77777777" w:rsidR="00D31697" w:rsidRPr="00D31697" w:rsidRDefault="00D31697" w:rsidP="00D31697">
      <w:r w:rsidRPr="00D31697">
        <w:t xml:space="preserve">In this way, the </w:t>
      </w:r>
      <w:proofErr w:type="spellStart"/>
      <w:r w:rsidRPr="00D31697">
        <w:t>FastSite</w:t>
      </w:r>
      <w:proofErr w:type="spellEnd"/>
      <w:r w:rsidRPr="00D31697">
        <w:t xml:space="preserve"> program fills a critical financing gap in Louisiana’s infrastructure toolkit. It empowers public entities like the Port of Columbia to align real-time capital needs with project schedules and development momentum.</w:t>
      </w:r>
    </w:p>
    <w:p w14:paraId="3FAFA279" w14:textId="77777777" w:rsidR="00D31697" w:rsidRPr="00D31697" w:rsidRDefault="00D31697" w:rsidP="00D31697">
      <w:r w:rsidRPr="00D31697">
        <w:t>Should actual revenue fall short of full repayment by the end of the five-year term, the Port will issue a revenue-backed bond to cover the remaining balance. This bond will be secured by recurring lease payments, rail usage fees, and storage revenue, ensuring complete repayment without burdening local taxpayers.</w:t>
      </w:r>
    </w:p>
    <w:p w14:paraId="4FF8C709" w14:textId="77777777" w:rsidR="00D31697" w:rsidRPr="00D31697" w:rsidRDefault="00D31697" w:rsidP="00D31697">
      <w:r w:rsidRPr="00D31697">
        <w:lastRenderedPageBreak/>
        <w:t xml:space="preserve">Importantly, this bond strategy not only guarantees LED’s return on investment, </w:t>
      </w:r>
      <w:proofErr w:type="gramStart"/>
      <w:r w:rsidRPr="00D31697">
        <w:t>it</w:t>
      </w:r>
      <w:proofErr w:type="gramEnd"/>
      <w:r w:rsidRPr="00D31697">
        <w:t xml:space="preserve"> also strengthens the Port’s capital structure and enables it to leverage future infrastructure projects using the same revenue streams. This approach reflects </w:t>
      </w:r>
      <w:proofErr w:type="gramStart"/>
      <w:r w:rsidRPr="00D31697">
        <w:t>the Port’s</w:t>
      </w:r>
      <w:proofErr w:type="gramEnd"/>
      <w:r w:rsidRPr="00D31697">
        <w:t xml:space="preserve"> broader commitment to innovative public financing, performance-driven project delivery, and long-term economic development aligned with the mission and intent of the LED </w:t>
      </w:r>
      <w:proofErr w:type="spellStart"/>
      <w:r w:rsidRPr="00D31697">
        <w:t>FastSite</w:t>
      </w:r>
      <w:proofErr w:type="spellEnd"/>
      <w:r w:rsidRPr="00D31697">
        <w:t xml:space="preserve"> Program.</w:t>
      </w:r>
    </w:p>
    <w:p w14:paraId="3B92EEEB" w14:textId="77777777" w:rsidR="00D31697" w:rsidRDefault="00D31697" w:rsidP="00EE7CEC"/>
    <w:p w14:paraId="247622D5" w14:textId="48758BE9" w:rsidR="00EE7CEC" w:rsidRPr="002271BA" w:rsidRDefault="00EE7CEC" w:rsidP="00EE7CEC">
      <w:pPr>
        <w:rPr>
          <w:b/>
          <w:bCs/>
          <w:u w:val="single"/>
        </w:rPr>
      </w:pPr>
      <w:r w:rsidRPr="002271BA">
        <w:rPr>
          <w:b/>
          <w:bCs/>
          <w:u w:val="single"/>
        </w:rPr>
        <w:t>Matching Funds Description</w:t>
      </w:r>
    </w:p>
    <w:p w14:paraId="0645AD2E" w14:textId="77777777" w:rsidR="002271BA" w:rsidRPr="002271BA" w:rsidRDefault="002271BA" w:rsidP="002271BA">
      <w:r w:rsidRPr="002271BA">
        <w:t>The Port of Columbia will leverage a total of $5,500,000 in secured matching funds for the Rail Spur Construction Project. These funds consist of:</w:t>
      </w:r>
    </w:p>
    <w:p w14:paraId="3A115FBB" w14:textId="77777777" w:rsidR="002271BA" w:rsidRPr="002271BA" w:rsidRDefault="002271BA" w:rsidP="002271BA">
      <w:pPr>
        <w:numPr>
          <w:ilvl w:val="0"/>
          <w:numId w:val="4"/>
        </w:numPr>
      </w:pPr>
      <w:r w:rsidRPr="002271BA">
        <w:t>$4,500,000 in cash funding awarded through the Louisiana Department of Transportation and Development (</w:t>
      </w:r>
      <w:proofErr w:type="spellStart"/>
      <w:r w:rsidRPr="002271BA">
        <w:t>LaDOTD</w:t>
      </w:r>
      <w:proofErr w:type="spellEnd"/>
      <w:r w:rsidRPr="002271BA">
        <w:t>) Port Priority Program (PPP), and</w:t>
      </w:r>
    </w:p>
    <w:p w14:paraId="47924E3E" w14:textId="77777777" w:rsidR="002271BA" w:rsidRPr="002271BA" w:rsidRDefault="002271BA" w:rsidP="002271BA">
      <w:pPr>
        <w:numPr>
          <w:ilvl w:val="0"/>
          <w:numId w:val="4"/>
        </w:numPr>
      </w:pPr>
      <w:r w:rsidRPr="002271BA">
        <w:t xml:space="preserve">$1,000,000 in cash funding </w:t>
      </w:r>
      <w:proofErr w:type="gramStart"/>
      <w:r w:rsidRPr="002271BA">
        <w:t>awarded</w:t>
      </w:r>
      <w:proofErr w:type="gramEnd"/>
      <w:r w:rsidRPr="002271BA">
        <w:t xml:space="preserve"> through the Delta Regional Authority (DRA).</w:t>
      </w:r>
    </w:p>
    <w:p w14:paraId="52D07B09" w14:textId="77777777" w:rsidR="002271BA" w:rsidRPr="002271BA" w:rsidRDefault="002271BA" w:rsidP="002271BA">
      <w:r w:rsidRPr="002271BA">
        <w:t xml:space="preserve">Both awards are dedicated specifically to the design and construction of the Port’s rail spur and associated infrastructure. Together, this $5.5 million match demonstrates a strong financial commitment and ensures that the LED </w:t>
      </w:r>
      <w:proofErr w:type="spellStart"/>
      <w:r w:rsidRPr="002271BA">
        <w:t>FastSite</w:t>
      </w:r>
      <w:proofErr w:type="spellEnd"/>
      <w:r w:rsidRPr="002271BA">
        <w:t xml:space="preserve"> investment will leverage significant state and federal resources to complete a critical multimodal infrastructure project.</w:t>
      </w:r>
    </w:p>
    <w:p w14:paraId="230CF24C" w14:textId="77777777" w:rsidR="002271BA" w:rsidRPr="002271BA" w:rsidRDefault="002271BA" w:rsidP="002271BA">
      <w:r w:rsidRPr="002271BA">
        <w:t>The Port has attached official award letters verifying the commitment and availability of these funds (available at www.portcolumbia.com/documents/FastSite). These matching resources are fully obligated to the rail spur project and serve as the primary financing for construction. The fund type is cash, and the funds are currently available for drawdown.</w:t>
      </w:r>
    </w:p>
    <w:p w14:paraId="42B801E9" w14:textId="77777777" w:rsidR="002271BA" w:rsidRPr="002271BA" w:rsidRDefault="002271BA" w:rsidP="002271BA">
      <w:r w:rsidRPr="002271BA">
        <w:t xml:space="preserve">The requested $1,500,000 </w:t>
      </w:r>
      <w:proofErr w:type="spellStart"/>
      <w:r w:rsidRPr="002271BA">
        <w:t>FastSite</w:t>
      </w:r>
      <w:proofErr w:type="spellEnd"/>
      <w:r w:rsidRPr="002271BA">
        <w:t xml:space="preserve"> loan will close a critical funding gap caused by the delayed release of Priority 5 Capital Outlay funding. The </w:t>
      </w:r>
      <w:proofErr w:type="spellStart"/>
      <w:r w:rsidRPr="002271BA">
        <w:t>FastSite</w:t>
      </w:r>
      <w:proofErr w:type="spellEnd"/>
      <w:r w:rsidRPr="002271BA">
        <w:t xml:space="preserve"> program’s ability to provide upfront, non-reimbursable capital makes it uniquely valuable for bridging this timing gap—ensuring uninterrupted construction progress on a shovel-ready, high-impact infrastructure project.</w:t>
      </w:r>
    </w:p>
    <w:p w14:paraId="3E21AE43" w14:textId="77777777" w:rsidR="002271BA" w:rsidRDefault="002271BA" w:rsidP="00C06677"/>
    <w:p w14:paraId="42F81B2B" w14:textId="36CF5A4D" w:rsidR="00C06677" w:rsidRPr="00C06677" w:rsidRDefault="00C06677" w:rsidP="00C06677"/>
    <w:sectPr w:rsidR="00C06677" w:rsidRPr="00C06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A50"/>
    <w:multiLevelType w:val="multilevel"/>
    <w:tmpl w:val="943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390D"/>
    <w:multiLevelType w:val="multilevel"/>
    <w:tmpl w:val="B0BA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B206D"/>
    <w:multiLevelType w:val="multilevel"/>
    <w:tmpl w:val="4F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F12AB"/>
    <w:multiLevelType w:val="multilevel"/>
    <w:tmpl w:val="BDDE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668261">
    <w:abstractNumId w:val="3"/>
  </w:num>
  <w:num w:numId="2" w16cid:durableId="606036109">
    <w:abstractNumId w:val="2"/>
  </w:num>
  <w:num w:numId="3" w16cid:durableId="518278477">
    <w:abstractNumId w:val="1"/>
  </w:num>
  <w:num w:numId="4" w16cid:durableId="59140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D3"/>
    <w:rsid w:val="002271BA"/>
    <w:rsid w:val="00506776"/>
    <w:rsid w:val="005B0C6E"/>
    <w:rsid w:val="00826B60"/>
    <w:rsid w:val="00C06677"/>
    <w:rsid w:val="00C63ED3"/>
    <w:rsid w:val="00D31697"/>
    <w:rsid w:val="00D40B8B"/>
    <w:rsid w:val="00DE3AE7"/>
    <w:rsid w:val="00EE0710"/>
    <w:rsid w:val="00EE7CEC"/>
    <w:rsid w:val="00FE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AE29"/>
  <w15:chartTrackingRefBased/>
  <w15:docId w15:val="{FF2E2210-A8FF-4D39-A15B-40505C65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ED3"/>
    <w:rPr>
      <w:rFonts w:eastAsiaTheme="majorEastAsia" w:cstheme="majorBidi"/>
      <w:color w:val="272727" w:themeColor="text1" w:themeTint="D8"/>
    </w:rPr>
  </w:style>
  <w:style w:type="paragraph" w:styleId="Title">
    <w:name w:val="Title"/>
    <w:basedOn w:val="Normal"/>
    <w:next w:val="Normal"/>
    <w:link w:val="TitleChar"/>
    <w:uiPriority w:val="10"/>
    <w:qFormat/>
    <w:rsid w:val="00C6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ED3"/>
    <w:pPr>
      <w:spacing w:before="160"/>
      <w:jc w:val="center"/>
    </w:pPr>
    <w:rPr>
      <w:i/>
      <w:iCs/>
      <w:color w:val="404040" w:themeColor="text1" w:themeTint="BF"/>
    </w:rPr>
  </w:style>
  <w:style w:type="character" w:customStyle="1" w:styleId="QuoteChar">
    <w:name w:val="Quote Char"/>
    <w:basedOn w:val="DefaultParagraphFont"/>
    <w:link w:val="Quote"/>
    <w:uiPriority w:val="29"/>
    <w:rsid w:val="00C63ED3"/>
    <w:rPr>
      <w:i/>
      <w:iCs/>
      <w:color w:val="404040" w:themeColor="text1" w:themeTint="BF"/>
    </w:rPr>
  </w:style>
  <w:style w:type="paragraph" w:styleId="ListParagraph">
    <w:name w:val="List Paragraph"/>
    <w:basedOn w:val="Normal"/>
    <w:uiPriority w:val="34"/>
    <w:qFormat/>
    <w:rsid w:val="00C63ED3"/>
    <w:pPr>
      <w:ind w:left="720"/>
      <w:contextualSpacing/>
    </w:pPr>
  </w:style>
  <w:style w:type="character" w:styleId="IntenseEmphasis">
    <w:name w:val="Intense Emphasis"/>
    <w:basedOn w:val="DefaultParagraphFont"/>
    <w:uiPriority w:val="21"/>
    <w:qFormat/>
    <w:rsid w:val="00C63ED3"/>
    <w:rPr>
      <w:i/>
      <w:iCs/>
      <w:color w:val="0F4761" w:themeColor="accent1" w:themeShade="BF"/>
    </w:rPr>
  </w:style>
  <w:style w:type="paragraph" w:styleId="IntenseQuote">
    <w:name w:val="Intense Quote"/>
    <w:basedOn w:val="Normal"/>
    <w:next w:val="Normal"/>
    <w:link w:val="IntenseQuoteChar"/>
    <w:uiPriority w:val="30"/>
    <w:qFormat/>
    <w:rsid w:val="00C6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ED3"/>
    <w:rPr>
      <w:i/>
      <w:iCs/>
      <w:color w:val="0F4761" w:themeColor="accent1" w:themeShade="BF"/>
    </w:rPr>
  </w:style>
  <w:style w:type="character" w:styleId="IntenseReference">
    <w:name w:val="Intense Reference"/>
    <w:basedOn w:val="DefaultParagraphFont"/>
    <w:uiPriority w:val="32"/>
    <w:qFormat/>
    <w:rsid w:val="00C63ED3"/>
    <w:rPr>
      <w:b/>
      <w:bCs/>
      <w:smallCaps/>
      <w:color w:val="0F4761" w:themeColor="accent1" w:themeShade="BF"/>
      <w:spacing w:val="5"/>
    </w:rPr>
  </w:style>
  <w:style w:type="paragraph" w:styleId="NormalWeb">
    <w:name w:val="Normal (Web)"/>
    <w:basedOn w:val="Normal"/>
    <w:uiPriority w:val="99"/>
    <w:semiHidden/>
    <w:unhideWhenUsed/>
    <w:rsid w:val="00C06677"/>
    <w:rPr>
      <w:rFonts w:ascii="Times New Roman" w:hAnsi="Times New Roman" w:cs="Times New Roman"/>
    </w:rPr>
  </w:style>
  <w:style w:type="character" w:styleId="Hyperlink">
    <w:name w:val="Hyperlink"/>
    <w:basedOn w:val="DefaultParagraphFont"/>
    <w:uiPriority w:val="99"/>
    <w:unhideWhenUsed/>
    <w:rsid w:val="00C06677"/>
    <w:rPr>
      <w:color w:val="467886" w:themeColor="hyperlink"/>
      <w:u w:val="single"/>
    </w:rPr>
  </w:style>
  <w:style w:type="character" w:styleId="UnresolvedMention">
    <w:name w:val="Unresolved Mention"/>
    <w:basedOn w:val="DefaultParagraphFont"/>
    <w:uiPriority w:val="99"/>
    <w:semiHidden/>
    <w:unhideWhenUsed/>
    <w:rsid w:val="00C06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tcolumb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1081</TotalTime>
  <Pages>5</Pages>
  <Words>1669</Words>
  <Characters>9968</Characters>
  <Application>Microsoft Office Word</Application>
  <DocSecurity>0</DocSecurity>
  <Lines>1424</Lines>
  <Paragraphs>1163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4</cp:revision>
  <cp:lastPrinted>2025-12-11T15:13:00Z</cp:lastPrinted>
  <dcterms:created xsi:type="dcterms:W3CDTF">2025-12-10T21:15:00Z</dcterms:created>
  <dcterms:modified xsi:type="dcterms:W3CDTF">2025-12-11T15:24:00Z</dcterms:modified>
</cp:coreProperties>
</file>