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D537" w14:textId="5FA4B3AE" w:rsidR="00004675" w:rsidRPr="00004675" w:rsidRDefault="00004675" w:rsidP="00004675">
      <w:pPr>
        <w:rPr>
          <w:b/>
          <w:bCs/>
          <w:u w:val="single"/>
        </w:rPr>
      </w:pPr>
      <w:r w:rsidRPr="00004675">
        <w:rPr>
          <w:b/>
          <w:bCs/>
          <w:u w:val="single"/>
        </w:rPr>
        <w:t>Impact Statement: Optional Additive Component – Property Acquisition</w:t>
      </w:r>
    </w:p>
    <w:p w14:paraId="7B7E1B29" w14:textId="4C8DF3F9" w:rsidR="00004675" w:rsidRDefault="00004675" w:rsidP="00004675">
      <w:r>
        <w:t>As an alternative proposal, the Port of Columbia seeks LED’s consideration of an additive component to the existing Fast Site Rail Spur Construction Project: the acquisition of a strategically located parcel at 3352 Highway 165, Columbia, LA 71418. This 3.34</w:t>
      </w:r>
      <w:r>
        <w:rPr>
          <w:rFonts w:ascii="Cambria Math" w:hAnsi="Cambria Math" w:cs="Cambria Math"/>
        </w:rPr>
        <w:t>‑</w:t>
      </w:r>
      <w:r>
        <w:t>acre property lies directly at the Port</w:t>
      </w:r>
      <w:r>
        <w:rPr>
          <w:rFonts w:ascii="Aptos" w:hAnsi="Aptos" w:cs="Aptos"/>
        </w:rPr>
        <w:t>’</w:t>
      </w:r>
      <w:r>
        <w:t xml:space="preserve">s entrance and is improved with a 2,848 sq. ft. office building, a 1,200 sq. ft. warehouse, and substantial concrete drives and parking areas supporting both structures. The site was appraised at $229,500, and the owner has agreed to </w:t>
      </w:r>
      <w:proofErr w:type="gramStart"/>
      <w:r>
        <w:t>sell</w:t>
      </w:r>
      <w:proofErr w:type="gramEnd"/>
      <w:r>
        <w:t xml:space="preserve"> for $275,000, with the Port covering closing and legal costs. The Port therefore requests an additional $300,000 in Fast Site funds to support this acquisition, bringing the total project cost to $7.3 million and the total Fast Site request to $1.8 million.</w:t>
      </w:r>
    </w:p>
    <w:p w14:paraId="5CB5EB72" w14:textId="6CA63CD1" w:rsidR="00004675" w:rsidRDefault="00004675" w:rsidP="00004675">
      <w:r w:rsidRPr="00004675">
        <w:rPr>
          <w:b/>
          <w:bCs/>
        </w:rPr>
        <w:t>Purpose and Operational Impact</w:t>
      </w:r>
      <w:proofErr w:type="gramStart"/>
      <w:r>
        <w:t xml:space="preserve">:  </w:t>
      </w:r>
      <w:r>
        <w:t>The</w:t>
      </w:r>
      <w:proofErr w:type="gramEnd"/>
      <w:r>
        <w:t xml:space="preserve"> acquisition of this property provides immediate operational benefits by establishing a Port Operations and Security Compound at the primary access point to the facility. The office structure will house Port administration, tenant contractors, and logistics coordination, while the warehouse offers space for equipment storage and contractor staging. This eliminates the need for new construction, accelerates Port readiness for rail-served tenants, and supports ongoing multimodal operations. The Port anticipates generating $15,000 per year in leased office space revenue and saving an additional $15,000 per year by eliminating costs associated with leasing or constructing separate Port office facilities—yielding a combined annual benefit of $30,000.</w:t>
      </w:r>
    </w:p>
    <w:p w14:paraId="7274CC95" w14:textId="58AB15F1" w:rsidR="00004675" w:rsidRDefault="00004675" w:rsidP="00004675">
      <w:r w:rsidRPr="00004675">
        <w:rPr>
          <w:b/>
          <w:bCs/>
        </w:rPr>
        <w:t>Strategic Control and Risk Mitigation</w:t>
      </w:r>
      <w:proofErr w:type="gramStart"/>
      <w:r>
        <w:t xml:space="preserve">:  </w:t>
      </w:r>
      <w:r>
        <w:t>Owning</w:t>
      </w:r>
      <w:proofErr w:type="gramEnd"/>
      <w:r>
        <w:t xml:space="preserve"> this 3.34</w:t>
      </w:r>
      <w:r>
        <w:rPr>
          <w:rFonts w:ascii="Cambria Math" w:hAnsi="Cambria Math" w:cs="Cambria Math"/>
        </w:rPr>
        <w:t>‑</w:t>
      </w:r>
      <w:r>
        <w:t>acre parcel gives the Port full control of both sides of the entrance corridor, mitigating risks that could arise from incompatible development or conflicting land uses. By securing this property, the Port protects the integrity of its access road, ensures long-term control over traffic patterns and security operations, preserves flexibility for future utility or infrastructure upgrades, and prevents adjacent uses from hindering Port logistics. This acquisition strengthens site control, enhances safety, and safeguards the long-term viability of the Port’s expanding industrial footprint.</w:t>
      </w:r>
    </w:p>
    <w:p w14:paraId="746F10E6" w14:textId="6AFCB6DE" w:rsidR="00004675" w:rsidRDefault="00004675" w:rsidP="00004675">
      <w:r w:rsidRPr="00004675">
        <w:rPr>
          <w:b/>
          <w:bCs/>
        </w:rPr>
        <w:t>Relationship to the Core Fast Site Project</w:t>
      </w:r>
      <w:proofErr w:type="gramStart"/>
      <w:r>
        <w:t xml:space="preserve">:  </w:t>
      </w:r>
      <w:r>
        <w:t>The</w:t>
      </w:r>
      <w:proofErr w:type="gramEnd"/>
      <w:r>
        <w:t xml:space="preserve"> Port requests that LED evaluate this property acquisition as an additive component to the original Fast Site loan package, to be considered only upon approval of the core $1.5 million rail spur request. This ensures that the primary project remains the funding priority while providing </w:t>
      </w:r>
      <w:proofErr w:type="gramStart"/>
      <w:r>
        <w:t>LED</w:t>
      </w:r>
      <w:proofErr w:type="gramEnd"/>
      <w:r>
        <w:t xml:space="preserve"> the option to support a complementary investment that enhances the functionality, </w:t>
      </w:r>
      <w:r>
        <w:t>security</w:t>
      </w:r>
      <w:r>
        <w:t>, and development potential of the entire Port complex.</w:t>
      </w:r>
    </w:p>
    <w:p w14:paraId="02169F50" w14:textId="77777777" w:rsidR="00004675" w:rsidRDefault="00004675" w:rsidP="00004675"/>
    <w:p w14:paraId="14C40DCB" w14:textId="77777777" w:rsidR="00004675" w:rsidRDefault="00004675" w:rsidP="00004675"/>
    <w:p w14:paraId="1CE53C34" w14:textId="51F8913D" w:rsidR="00004675" w:rsidRPr="00004675" w:rsidRDefault="00004675" w:rsidP="00004675">
      <w:pPr>
        <w:rPr>
          <w:b/>
          <w:bCs/>
          <w:u w:val="single"/>
        </w:rPr>
      </w:pPr>
      <w:r w:rsidRPr="00004675">
        <w:rPr>
          <w:b/>
          <w:bCs/>
          <w:u w:val="single"/>
        </w:rPr>
        <w:lastRenderedPageBreak/>
        <w:t>Financial Planning</w:t>
      </w:r>
    </w:p>
    <w:p w14:paraId="0DCB92C6" w14:textId="0A267083" w:rsidR="00004675" w:rsidRDefault="00004675" w:rsidP="00004675">
      <w:r>
        <w:t xml:space="preserve">The Port of Columbia is not leveraging any additional match funding for the Optional Additive Component. The proposed property acquisition and improvement at 3352 Hwy 165 represents an incremental investment to the original rail spur project, increasing the total project cost from $7.0 million to $7.3 million and increasing the </w:t>
      </w:r>
      <w:proofErr w:type="spellStart"/>
      <w:r>
        <w:t>FastSite</w:t>
      </w:r>
      <w:proofErr w:type="spellEnd"/>
      <w:r>
        <w:t xml:space="preserve"> request from $1.5 million to $1.8 million. The Port is requesting $300,000 in additional funds from </w:t>
      </w:r>
      <w:proofErr w:type="spellStart"/>
      <w:r>
        <w:t>FastSite</w:t>
      </w:r>
      <w:proofErr w:type="spellEnd"/>
      <w:r>
        <w:t xml:space="preserve"> to support the full acquisition cost and related expenses.</w:t>
      </w:r>
    </w:p>
    <w:p w14:paraId="364060CD" w14:textId="7FB700DE" w:rsidR="00004675" w:rsidRDefault="00004675" w:rsidP="00004675">
      <w:r>
        <w:t>A certified property appraisal conducted by Greg Wilbanks, Louisiana General Real Estate Appraiser (G2023), dated October 25, 2023, values the property at $229,500. The appraisal, along with a letter from the property owner confirming an agreed sale price of $275,000 (with the Port covering all associated closing, legal, and transactional costs), has been uploaded to the Port’s website at www.portcolumbia.com under the “</w:t>
      </w:r>
      <w:proofErr w:type="spellStart"/>
      <w:r>
        <w:t>FastSite</w:t>
      </w:r>
      <w:proofErr w:type="spellEnd"/>
      <w:r>
        <w:t xml:space="preserve"> Documents” section.</w:t>
      </w:r>
    </w:p>
    <w:p w14:paraId="321DEC10" w14:textId="202E679F" w:rsidR="00004675" w:rsidRDefault="00004675" w:rsidP="00004675">
      <w:r>
        <w:t>This 3</w:t>
      </w:r>
      <w:r>
        <w:t xml:space="preserve"> + </w:t>
      </w:r>
      <w:r>
        <w:t>acre parcel includes a 2,848 sq. ft. office building and a 1,200 sq. ft. warehouse, both supported by concrete drives and parking infrastructure. While the land/structure acquisition is independent of the rail construction activities, it holds significant operational utility and functional alignment with the overall rail project.</w:t>
      </w:r>
    </w:p>
    <w:p w14:paraId="34AAAB09" w14:textId="33CC2EBD" w:rsidR="00004675" w:rsidRDefault="00004675" w:rsidP="00004675">
      <w:r>
        <w:t xml:space="preserve">The Port is pursuing the property acquisition as a standalone investment with independent utility but one that is financially feasible and programmatically eligible only when tied to the broader rail spur project. Submitting the parcel as a standalone </w:t>
      </w:r>
      <w:proofErr w:type="spellStart"/>
      <w:r>
        <w:t>FastSite</w:t>
      </w:r>
      <w:proofErr w:type="spellEnd"/>
      <w:r>
        <w:t xml:space="preserve"> project would be difficult to justify under traditional economic return metrics. However, as an additive component, it provides critical operational enhancements to the Port’s rail-served industrial site.  Strategically located at the entrance to the Port, this property:  Enhances operational control and security over the Port’s only access route;  Establishes a permanent administrative and security hub, saving the Port an estimated $15,000 per year in facility costs;  Offers </w:t>
      </w:r>
      <w:r>
        <w:t>leasable</w:t>
      </w:r>
      <w:r>
        <w:t xml:space="preserve"> office space for contractors and tenants, generating an additional $15,000 per year in potential revenue;  Prevents incompatible adjacent land use that could compromise multimodal freight logistics; and Provides a functional staging and support area for the expanded rail, truck, and barge operations.</w:t>
      </w:r>
    </w:p>
    <w:p w14:paraId="462B3732" w14:textId="6AA2A6DF" w:rsidR="00004675" w:rsidRDefault="00004675" w:rsidP="00004675">
      <w:r>
        <w:t xml:space="preserve">Importantly, the inclusion of this property does not </w:t>
      </w:r>
      <w:r>
        <w:t>impact on</w:t>
      </w:r>
      <w:r>
        <w:t xml:space="preserve"> the design, budget, or match funds of the original rail project, and </w:t>
      </w:r>
      <w:proofErr w:type="spellStart"/>
      <w:r>
        <w:t>FastSite</w:t>
      </w:r>
      <w:proofErr w:type="spellEnd"/>
      <w:r>
        <w:t xml:space="preserve"> funds dedicated to the acquisition would be fully discrete. It is proposed only as an optional additive component—to be evaluated separately after the core rail project is approved, and only if sufficient </w:t>
      </w:r>
      <w:proofErr w:type="spellStart"/>
      <w:r>
        <w:t>FastSite</w:t>
      </w:r>
      <w:proofErr w:type="spellEnd"/>
      <w:r>
        <w:t xml:space="preserve"> funding remains available.</w:t>
      </w:r>
    </w:p>
    <w:p w14:paraId="042BE6E7" w14:textId="77777777" w:rsidR="00004675" w:rsidRDefault="00004675" w:rsidP="00004675"/>
    <w:p w14:paraId="63B0685C" w14:textId="3EC274DC" w:rsidR="00004675" w:rsidRPr="00004675" w:rsidRDefault="00004675" w:rsidP="00004675">
      <w:pPr>
        <w:rPr>
          <w:b/>
          <w:bCs/>
          <w:u w:val="single"/>
        </w:rPr>
      </w:pPr>
      <w:r w:rsidRPr="00004675">
        <w:rPr>
          <w:b/>
          <w:bCs/>
          <w:u w:val="single"/>
        </w:rPr>
        <w:lastRenderedPageBreak/>
        <w:t>Return on Investment</w:t>
      </w:r>
    </w:p>
    <w:p w14:paraId="4C21C5A5" w14:textId="77777777" w:rsidR="00004675" w:rsidRDefault="00004675" w:rsidP="00004675">
      <w:r>
        <w:t xml:space="preserve">The Port of Columbia is requesting $1.8 million from the LED </w:t>
      </w:r>
      <w:proofErr w:type="spellStart"/>
      <w:r>
        <w:t>FastSite</w:t>
      </w:r>
      <w:proofErr w:type="spellEnd"/>
      <w:r>
        <w:t xml:space="preserve"> Program to complete funding for a $7.3 million infrastructure initiative composed of two parts: </w:t>
      </w:r>
    </w:p>
    <w:p w14:paraId="3D276C5A" w14:textId="77777777" w:rsidR="00004675" w:rsidRDefault="00004675" w:rsidP="00004675">
      <w:pPr>
        <w:ind w:left="720"/>
      </w:pPr>
      <w:r>
        <w:t xml:space="preserve">(1) construction of a rail spur to enable multimodal freight operations, and </w:t>
      </w:r>
    </w:p>
    <w:p w14:paraId="0F79BFB2" w14:textId="77777777" w:rsidR="00004675" w:rsidRDefault="00004675" w:rsidP="00004675">
      <w:pPr>
        <w:ind w:left="720"/>
      </w:pPr>
      <w:r>
        <w:t xml:space="preserve">(2) an optional additive component—the acquisition of a strategically located office/warehouse property with 3.34 acres of improved land. </w:t>
      </w:r>
    </w:p>
    <w:p w14:paraId="479A76AE" w14:textId="4CBBBE45" w:rsidR="00004675" w:rsidRDefault="00004675" w:rsidP="00004675">
      <w:r>
        <w:t xml:space="preserve">While this property acquisition has independent utility, it is being advanced in conjunction with the rail project to qualify under </w:t>
      </w:r>
      <w:proofErr w:type="spellStart"/>
      <w:r>
        <w:t>FastSite</w:t>
      </w:r>
      <w:proofErr w:type="spellEnd"/>
      <w:r>
        <w:t xml:space="preserve"> program guidelines and to take advantage of the Port’s strengthened financial position. This additive component will support Port operations, reduce long-term rental costs, and provide on-site tenant office space while also securing control of both sides of the Port’s primary access corridor—minimizing risks related to encroachment, traffic conflict, and incompatible development.</w:t>
      </w:r>
    </w:p>
    <w:p w14:paraId="0D2CA7B9" w14:textId="597F3628" w:rsidR="00004675" w:rsidRDefault="00004675" w:rsidP="00004675">
      <w:r>
        <w:t>The Port of Columbia is advancing a $7.3 million rail spur construction project to support increased multimodal freight operations, unlock new industrial development, and enable full-scale operations for tenants such as Louisiana Green Fuels (LGF). The new rail infrastructure will transform the Port into a fully rail-served logistics hub along the Ouachita-Black River corridor. To date, the Port has secured $4.5 million from the Louisiana Department of Transportation and Development (</w:t>
      </w:r>
      <w:proofErr w:type="spellStart"/>
      <w:r>
        <w:t>LaDOTD</w:t>
      </w:r>
      <w:proofErr w:type="spellEnd"/>
      <w:r>
        <w:t xml:space="preserve">) Port Priority Program and $1 million from the Delta Regional Authority (DRA). The Port is requesting $1.8 million from the LED </w:t>
      </w:r>
      <w:proofErr w:type="spellStart"/>
      <w:r>
        <w:t>FastSite</w:t>
      </w:r>
      <w:proofErr w:type="spellEnd"/>
      <w:r>
        <w:t xml:space="preserve"> Program to complete the project’s capital stack. </w:t>
      </w:r>
      <w:proofErr w:type="spellStart"/>
      <w:r>
        <w:t>FastSite</w:t>
      </w:r>
      <w:proofErr w:type="spellEnd"/>
      <w:r>
        <w:t xml:space="preserve"> funds will be used exclusively for eligible construction costs, consistent with LED program requirements. This public investment is essential to delivering a project with long-term economic, operational, and fiscal returns to the State of Louisiana.</w:t>
      </w:r>
    </w:p>
    <w:p w14:paraId="6138663F" w14:textId="004D7540" w:rsidR="00004675" w:rsidRDefault="00004675" w:rsidP="00004675">
      <w:r>
        <w:t xml:space="preserve">The Port has developed a conservative, multi-stream revenue strategy to fully retire the $1.8 million loan within the required five-year </w:t>
      </w:r>
      <w:proofErr w:type="gramStart"/>
      <w:r>
        <w:t>window</w:t>
      </w:r>
      <w:proofErr w:type="gramEnd"/>
      <w:r>
        <w:t>. This plan leverages four primary revenue sources tied directly to the rail spur and the optional property acquisition:</w:t>
      </w:r>
    </w:p>
    <w:p w14:paraId="4BB75847" w14:textId="77777777" w:rsidR="00004675" w:rsidRDefault="00004675" w:rsidP="00004675">
      <w:r w:rsidRPr="00004675">
        <w:rPr>
          <w:b/>
          <w:bCs/>
        </w:rPr>
        <w:t>Land Lease Revenue</w:t>
      </w:r>
      <w:proofErr w:type="gramStart"/>
      <w:r>
        <w:t>:  The</w:t>
      </w:r>
      <w:proofErr w:type="gramEnd"/>
      <w:r>
        <w:t xml:space="preserve"> Port will increase lease rates </w:t>
      </w:r>
      <w:proofErr w:type="gramStart"/>
      <w:r>
        <w:t>on</w:t>
      </w:r>
      <w:proofErr w:type="gramEnd"/>
      <w:r>
        <w:t xml:space="preserve"> 117 existing leased acres from $1,500 to $2,025 per acre, generating $61,425 annually. In Year 1, the Port will lease an additional 35 acres, with total leased acreage growing by 10 percent annually thereafter. All new acreage will lease at the updated $2,025 rate, producing a reliable and growing revenue stream. The Port currently owns over 400 acres.</w:t>
      </w:r>
    </w:p>
    <w:p w14:paraId="53C26A04" w14:textId="77777777" w:rsidR="00004675" w:rsidRDefault="00004675" w:rsidP="00004675"/>
    <w:p w14:paraId="53976604" w14:textId="78CB6C1A" w:rsidR="00004675" w:rsidRDefault="00004675" w:rsidP="00004675">
      <w:r w:rsidRPr="00004675">
        <w:rPr>
          <w:b/>
          <w:bCs/>
        </w:rPr>
        <w:lastRenderedPageBreak/>
        <w:t>Rail Usage Revenue</w:t>
      </w:r>
      <w:proofErr w:type="gramStart"/>
      <w:r>
        <w:t>:  The</w:t>
      </w:r>
      <w:proofErr w:type="gramEnd"/>
      <w:r>
        <w:t xml:space="preserve"> Port expects to handle 500 railcars in Year 1, increasing to 1,000 cars by Year 5 as LGF operations scale. A fee of $125 per railcar will be charged for loading, unloading, and equipment use, consistent with regional market benchmarks.</w:t>
      </w:r>
    </w:p>
    <w:p w14:paraId="71481FC2" w14:textId="3697CE20" w:rsidR="00004675" w:rsidRDefault="00004675" w:rsidP="00004675">
      <w:r w:rsidRPr="00004675">
        <w:rPr>
          <w:b/>
          <w:bCs/>
        </w:rPr>
        <w:t>Rail Storage Revenue</w:t>
      </w:r>
      <w:proofErr w:type="gramStart"/>
      <w:r>
        <w:t>:  The</w:t>
      </w:r>
      <w:proofErr w:type="gramEnd"/>
      <w:r>
        <w:t xml:space="preserve"> project includes development of 10 </w:t>
      </w:r>
      <w:proofErr w:type="gramStart"/>
      <w:r>
        <w:t>railcar</w:t>
      </w:r>
      <w:proofErr w:type="gramEnd"/>
      <w:r>
        <w:t xml:space="preserve"> storage spaces designed for long-term or transient use. With an estimated 25 percent utilization—about 900 cars annually—at $35 per day, this equates to $31,500 in conservative annual revenue.</w:t>
      </w:r>
    </w:p>
    <w:p w14:paraId="08FDCD34" w14:textId="2EFF1ECD" w:rsidR="00004675" w:rsidRDefault="00004675" w:rsidP="00004675">
      <w:r w:rsidRPr="00004675">
        <w:rPr>
          <w:b/>
          <w:bCs/>
        </w:rPr>
        <w:t>Office Space Rent</w:t>
      </w:r>
      <w:r>
        <w:t xml:space="preserve"> (Optional Component)</w:t>
      </w:r>
      <w:proofErr w:type="gramStart"/>
      <w:r>
        <w:t>:  From</w:t>
      </w:r>
      <w:proofErr w:type="gramEnd"/>
      <w:r>
        <w:t xml:space="preserve"> the additive land/structure component, the Port anticipates $15,000 annually in tenant rental income, along with an additional $15,000 in operational savings by relocating Port staff from leased offices into the on-site facility. This dual function both </w:t>
      </w:r>
      <w:proofErr w:type="gramStart"/>
      <w:r>
        <w:t>offsets</w:t>
      </w:r>
      <w:proofErr w:type="gramEnd"/>
      <w:r>
        <w:t xml:space="preserve"> costs and improves on-site management of Port operations.</w:t>
      </w:r>
    </w:p>
    <w:p w14:paraId="0BB5FE90" w14:textId="77777777" w:rsidR="00004675" w:rsidRDefault="00004675" w:rsidP="00004675">
      <w:r>
        <w:t>Five-Year Revenue Summary</w:t>
      </w:r>
    </w:p>
    <w:p w14:paraId="5FF39667" w14:textId="77777777" w:rsidR="00004675" w:rsidRDefault="00004675" w:rsidP="00004675">
      <w:r>
        <w:t>Year</w:t>
      </w:r>
      <w:r>
        <w:tab/>
        <w:t>Lease Revenue</w:t>
      </w:r>
      <w:r>
        <w:tab/>
        <w:t>Rail Revenue</w:t>
      </w:r>
      <w:r>
        <w:tab/>
        <w:t>Storage Revenue</w:t>
      </w:r>
      <w:r>
        <w:tab/>
        <w:t>Office Rent &amp; Savings</w:t>
      </w:r>
      <w:r>
        <w:tab/>
        <w:t>Total Annual Revenue</w:t>
      </w:r>
    </w:p>
    <w:p w14:paraId="1EDDE12F" w14:textId="77777777" w:rsidR="00004675" w:rsidRDefault="00004675" w:rsidP="00004675">
      <w:r>
        <w:t>1</w:t>
      </w:r>
      <w:r>
        <w:tab/>
        <w:t>$132,300</w:t>
      </w:r>
      <w:r>
        <w:tab/>
        <w:t>$62,500</w:t>
      </w:r>
      <w:r>
        <w:tab/>
        <w:t>$31,500</w:t>
      </w:r>
      <w:r>
        <w:tab/>
        <w:t>$30,000</w:t>
      </w:r>
      <w:r>
        <w:tab/>
        <w:t>$256,300</w:t>
      </w:r>
    </w:p>
    <w:p w14:paraId="411493E7" w14:textId="77777777" w:rsidR="00004675" w:rsidRDefault="00004675" w:rsidP="00004675">
      <w:r>
        <w:t>2</w:t>
      </w:r>
      <w:r>
        <w:tab/>
        <w:t>$163,080</w:t>
      </w:r>
      <w:r>
        <w:tab/>
        <w:t>$78,125</w:t>
      </w:r>
      <w:r>
        <w:tab/>
        <w:t>$31,500</w:t>
      </w:r>
      <w:r>
        <w:tab/>
        <w:t>$30,000</w:t>
      </w:r>
      <w:r>
        <w:tab/>
        <w:t>$302,705</w:t>
      </w:r>
    </w:p>
    <w:p w14:paraId="4D7AD7DD" w14:textId="77777777" w:rsidR="00004675" w:rsidRDefault="00004675" w:rsidP="00004675">
      <w:r>
        <w:t>3</w:t>
      </w:r>
      <w:r>
        <w:tab/>
        <w:t>$196,938</w:t>
      </w:r>
      <w:r>
        <w:tab/>
        <w:t>$93,750</w:t>
      </w:r>
      <w:r>
        <w:tab/>
        <w:t>$31,500</w:t>
      </w:r>
      <w:r>
        <w:tab/>
        <w:t>$30,000</w:t>
      </w:r>
      <w:r>
        <w:tab/>
        <w:t>$352,188</w:t>
      </w:r>
    </w:p>
    <w:p w14:paraId="7CB8160B" w14:textId="77777777" w:rsidR="00004675" w:rsidRDefault="00004675" w:rsidP="00004675">
      <w:r>
        <w:t>4</w:t>
      </w:r>
      <w:r>
        <w:tab/>
        <w:t>$234,182</w:t>
      </w:r>
      <w:r>
        <w:tab/>
        <w:t>$109,375</w:t>
      </w:r>
      <w:r>
        <w:tab/>
        <w:t>$31,500</w:t>
      </w:r>
      <w:r>
        <w:tab/>
        <w:t>$30,000</w:t>
      </w:r>
      <w:r>
        <w:tab/>
        <w:t>$405,057</w:t>
      </w:r>
    </w:p>
    <w:p w14:paraId="3D329F41" w14:textId="77777777" w:rsidR="00004675" w:rsidRDefault="00004675" w:rsidP="00004675">
      <w:r>
        <w:t>5</w:t>
      </w:r>
      <w:r>
        <w:tab/>
        <w:t>$275,150</w:t>
      </w:r>
      <w:r>
        <w:tab/>
        <w:t>$125,000</w:t>
      </w:r>
      <w:r>
        <w:tab/>
        <w:t>$31,500</w:t>
      </w:r>
      <w:r>
        <w:tab/>
        <w:t>$30,000</w:t>
      </w:r>
      <w:r>
        <w:tab/>
        <w:t>$461,650</w:t>
      </w:r>
    </w:p>
    <w:p w14:paraId="5A1452CF" w14:textId="77777777" w:rsidR="00004675" w:rsidRDefault="00004675" w:rsidP="00004675"/>
    <w:p w14:paraId="6715051A" w14:textId="4705402A" w:rsidR="00004675" w:rsidRDefault="00004675" w:rsidP="00004675">
      <w:r>
        <w:t>Total 5-Year Revenue: $1,777,900</w:t>
      </w:r>
    </w:p>
    <w:p w14:paraId="1FC103C4" w14:textId="2F7B694B" w:rsidR="00004675" w:rsidRDefault="00004675" w:rsidP="00004675">
      <w:r>
        <w:t xml:space="preserve">These projections demonstrate that combined revenues from land leases, rail operations, storage, and the optional office component will fully retire the $1.8 million </w:t>
      </w:r>
      <w:proofErr w:type="spellStart"/>
      <w:r>
        <w:t>FastSite</w:t>
      </w:r>
      <w:proofErr w:type="spellEnd"/>
      <w:r>
        <w:t xml:space="preserve"> loan within five years.</w:t>
      </w:r>
    </w:p>
    <w:p w14:paraId="2B064CE4" w14:textId="44DD01AC" w:rsidR="00004675" w:rsidRDefault="00004675" w:rsidP="00004675">
      <w:r>
        <w:t>This ROI figure reflects only the Port’s direct, project-generated revenue. It does not include broader economic impacts from new job creation, local business development, or induced spending—factors that would significantly increase the total economic return to the State of Louisiana</w:t>
      </w:r>
      <w:r>
        <w:t xml:space="preserve">.  </w:t>
      </w:r>
      <w:r>
        <w:t>Should actual revenue fall short of repayment within the five-year term, the Port will issue a revenue-backed bond secured by recurring lease and rail revenues. This bond will ensure full repayment without burdening taxpayers, while enhancing the Port’s long-term capital strategy.</w:t>
      </w:r>
    </w:p>
    <w:p w14:paraId="048E03C7" w14:textId="3162F96C" w:rsidR="00004675" w:rsidRPr="00004675" w:rsidRDefault="00004675" w:rsidP="00004675">
      <w:pPr>
        <w:rPr>
          <w:b/>
          <w:bCs/>
          <w:u w:val="single"/>
        </w:rPr>
      </w:pPr>
      <w:r w:rsidRPr="00004675">
        <w:rPr>
          <w:b/>
          <w:bCs/>
          <w:u w:val="single"/>
        </w:rPr>
        <w:lastRenderedPageBreak/>
        <w:t>Matching Funds Description:</w:t>
      </w:r>
    </w:p>
    <w:p w14:paraId="614D7C0A" w14:textId="77777777" w:rsidR="00004675" w:rsidRDefault="00004675" w:rsidP="00004675">
      <w:r>
        <w:t>The Port of Columbia will leverage a total of $5,500,000 in secured matching funds for the Rail Spur Construction Project (Component 1). These funds include:</w:t>
      </w:r>
    </w:p>
    <w:p w14:paraId="7A037BF0" w14:textId="77777777" w:rsidR="00004675" w:rsidRDefault="00004675" w:rsidP="00004675">
      <w:pPr>
        <w:ind w:left="720"/>
      </w:pPr>
      <w:r>
        <w:t>$4,500,000 in cash funding awarded through the Louisiana Department of Transportation and Development (</w:t>
      </w:r>
      <w:proofErr w:type="spellStart"/>
      <w:r>
        <w:t>LaDOTD</w:t>
      </w:r>
      <w:proofErr w:type="spellEnd"/>
      <w:r>
        <w:t xml:space="preserve">) Port Priority Program (PPP), and </w:t>
      </w:r>
    </w:p>
    <w:p w14:paraId="2EA5C7DD" w14:textId="72B6AC4E" w:rsidR="00004675" w:rsidRDefault="00004675" w:rsidP="00004675">
      <w:pPr>
        <w:ind w:left="720"/>
      </w:pPr>
      <w:r>
        <w:t xml:space="preserve">$1,000,000 in cash funding </w:t>
      </w:r>
      <w:proofErr w:type="gramStart"/>
      <w:r>
        <w:t>awarded</w:t>
      </w:r>
      <w:proofErr w:type="gramEnd"/>
      <w:r>
        <w:t xml:space="preserve"> through the Delta Regional Authority (DRA).</w:t>
      </w:r>
    </w:p>
    <w:p w14:paraId="48CBC9C4" w14:textId="64FD31EE" w:rsidR="00004675" w:rsidRDefault="00004675" w:rsidP="00004675">
      <w:r>
        <w:t xml:space="preserve">Both awards are dedicated exclusively to the design and construction of the Port’s rail spur and associated multimodal infrastructure. Together, this $5.5 million match demonstrates a strong financial commitment and ensures that the requested </w:t>
      </w:r>
      <w:proofErr w:type="spellStart"/>
      <w:r>
        <w:t>FastSite</w:t>
      </w:r>
      <w:proofErr w:type="spellEnd"/>
      <w:r>
        <w:t xml:space="preserve"> investment will leverage substantial state and federal resources to complete a critical infrastructure project with significant regional and statewide impact.</w:t>
      </w:r>
    </w:p>
    <w:p w14:paraId="4F388991" w14:textId="60717291" w:rsidR="00004675" w:rsidRDefault="00004675" w:rsidP="00004675">
      <w:r>
        <w:t>Official award letters verifying the commitment and availability of these funds are included in this application and available at www.portcolumbia.com /documents/</w:t>
      </w:r>
      <w:proofErr w:type="spellStart"/>
      <w:r>
        <w:t>FastSite</w:t>
      </w:r>
      <w:proofErr w:type="spellEnd"/>
      <w:r>
        <w:t>. These matching resources are fully obligated to the rail spur project and are cash funds currently available for drawdown.</w:t>
      </w:r>
    </w:p>
    <w:p w14:paraId="3F733729" w14:textId="7B450F38" w:rsidR="00004675" w:rsidRDefault="00004675" w:rsidP="00004675">
      <w:r>
        <w:t xml:space="preserve">The Port is requesting a $1,800,000 </w:t>
      </w:r>
      <w:proofErr w:type="spellStart"/>
      <w:r>
        <w:t>FastSite</w:t>
      </w:r>
      <w:proofErr w:type="spellEnd"/>
      <w:r>
        <w:t xml:space="preserve"> loan, consisting of:  $1,500,000 to complete eligible construction costs associated with the Rail Spur (Component 1), and  $300,000 to support Component 2, the purchase of the land and structure located at 3352 Highway 165, including the agreed-upon $275,000 purchase price and an estimated $25,000 for closing, legal, and related costs. The property has an appraised value of $229,500, and a letter from the seller confirming the sales price is included in the application.</w:t>
      </w:r>
    </w:p>
    <w:p w14:paraId="2D476DCC" w14:textId="2365E2CA" w:rsidR="00004675" w:rsidRDefault="00004675" w:rsidP="00004675">
      <w:r>
        <w:t xml:space="preserve">Although Component 2 is a standalone additive investment, it is programmatically eligible because the rail spur project satisfies </w:t>
      </w:r>
      <w:proofErr w:type="spellStart"/>
      <w:r>
        <w:t>FastSite’s</w:t>
      </w:r>
      <w:proofErr w:type="spellEnd"/>
      <w:r>
        <w:t xml:space="preserve"> 50% match requirement through the existing $5.5 million in secured state and federal funding. These matching funds cannot be used for the purchase of Component 2, but they enable </w:t>
      </w:r>
      <w:proofErr w:type="spellStart"/>
      <w:r>
        <w:t>FastSite</w:t>
      </w:r>
      <w:proofErr w:type="spellEnd"/>
      <w:r>
        <w:t xml:space="preserve"> to fund the full $300,000 acquisition cost, consistent with program guidelines. No additional federal or state match is being requested for this additive component.</w:t>
      </w:r>
    </w:p>
    <w:p w14:paraId="6F8B4056" w14:textId="16BA1436" w:rsidR="00004675" w:rsidRDefault="00004675" w:rsidP="00004675">
      <w:r>
        <w:t>This dual-component structure reflects the Port’s careful planning and ensures that both the rail spur and the property acquisition remain financially viable, compliant with program requirements, and beneficial to long</w:t>
      </w:r>
      <w:r>
        <w:rPr>
          <w:rFonts w:ascii="Cambria Math" w:hAnsi="Cambria Math" w:cs="Cambria Math"/>
        </w:rPr>
        <w:t>‑</w:t>
      </w:r>
      <w:r>
        <w:t xml:space="preserve">term Port operations. </w:t>
      </w:r>
      <w:proofErr w:type="gramStart"/>
      <w:r>
        <w:t>The additive</w:t>
      </w:r>
      <w:proofErr w:type="gramEnd"/>
      <w:r>
        <w:t xml:space="preserve"> land/structure acquisition enhances site control at the Port entrance, improves operational efficiency, and supports tenant accommodation</w:t>
      </w:r>
      <w:r>
        <w:rPr>
          <w:rFonts w:ascii="Aptos" w:hAnsi="Aptos" w:cs="Aptos"/>
        </w:rPr>
        <w:t>—</w:t>
      </w:r>
      <w:r>
        <w:t xml:space="preserve">while relying solely on </w:t>
      </w:r>
      <w:proofErr w:type="spellStart"/>
      <w:r>
        <w:t>FastSite</w:t>
      </w:r>
      <w:proofErr w:type="spellEnd"/>
      <w:r>
        <w:t xml:space="preserve"> loan financing and not requiring any new matching funds.</w:t>
      </w:r>
    </w:p>
    <w:sectPr w:rsidR="0000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75"/>
    <w:rsid w:val="00004675"/>
    <w:rsid w:val="00D4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AC3C"/>
  <w15:chartTrackingRefBased/>
  <w15:docId w15:val="{883FD263-15C2-4068-99BA-79CF5909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675"/>
    <w:rPr>
      <w:rFonts w:eastAsiaTheme="majorEastAsia" w:cstheme="majorBidi"/>
      <w:color w:val="272727" w:themeColor="text1" w:themeTint="D8"/>
    </w:rPr>
  </w:style>
  <w:style w:type="paragraph" w:styleId="Title">
    <w:name w:val="Title"/>
    <w:basedOn w:val="Normal"/>
    <w:next w:val="Normal"/>
    <w:link w:val="TitleChar"/>
    <w:uiPriority w:val="10"/>
    <w:qFormat/>
    <w:rsid w:val="00004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675"/>
    <w:pPr>
      <w:spacing w:before="160"/>
      <w:jc w:val="center"/>
    </w:pPr>
    <w:rPr>
      <w:i/>
      <w:iCs/>
      <w:color w:val="404040" w:themeColor="text1" w:themeTint="BF"/>
    </w:rPr>
  </w:style>
  <w:style w:type="character" w:customStyle="1" w:styleId="QuoteChar">
    <w:name w:val="Quote Char"/>
    <w:basedOn w:val="DefaultParagraphFont"/>
    <w:link w:val="Quote"/>
    <w:uiPriority w:val="29"/>
    <w:rsid w:val="00004675"/>
    <w:rPr>
      <w:i/>
      <w:iCs/>
      <w:color w:val="404040" w:themeColor="text1" w:themeTint="BF"/>
    </w:rPr>
  </w:style>
  <w:style w:type="paragraph" w:styleId="ListParagraph">
    <w:name w:val="List Paragraph"/>
    <w:basedOn w:val="Normal"/>
    <w:uiPriority w:val="34"/>
    <w:qFormat/>
    <w:rsid w:val="00004675"/>
    <w:pPr>
      <w:ind w:left="720"/>
      <w:contextualSpacing/>
    </w:pPr>
  </w:style>
  <w:style w:type="character" w:styleId="IntenseEmphasis">
    <w:name w:val="Intense Emphasis"/>
    <w:basedOn w:val="DefaultParagraphFont"/>
    <w:uiPriority w:val="21"/>
    <w:qFormat/>
    <w:rsid w:val="00004675"/>
    <w:rPr>
      <w:i/>
      <w:iCs/>
      <w:color w:val="0F4761" w:themeColor="accent1" w:themeShade="BF"/>
    </w:rPr>
  </w:style>
  <w:style w:type="paragraph" w:styleId="IntenseQuote">
    <w:name w:val="Intense Quote"/>
    <w:basedOn w:val="Normal"/>
    <w:next w:val="Normal"/>
    <w:link w:val="IntenseQuoteChar"/>
    <w:uiPriority w:val="30"/>
    <w:qFormat/>
    <w:rsid w:val="00004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675"/>
    <w:rPr>
      <w:i/>
      <w:iCs/>
      <w:color w:val="0F4761" w:themeColor="accent1" w:themeShade="BF"/>
    </w:rPr>
  </w:style>
  <w:style w:type="character" w:styleId="IntenseReference">
    <w:name w:val="Intense Reference"/>
    <w:basedOn w:val="DefaultParagraphFont"/>
    <w:uiPriority w:val="32"/>
    <w:qFormat/>
    <w:rsid w:val="00004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1852</Words>
  <Characters>10892</Characters>
  <Application>Microsoft Office Word</Application>
  <DocSecurity>0</DocSecurity>
  <Lines>155</Lines>
  <Paragraphs>42</Paragraphs>
  <ScaleCrop>false</ScaleCrop>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1</cp:revision>
  <dcterms:created xsi:type="dcterms:W3CDTF">2025-12-11T22:23:00Z</dcterms:created>
  <dcterms:modified xsi:type="dcterms:W3CDTF">2025-12-11T22:34:00Z</dcterms:modified>
</cp:coreProperties>
</file>