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30.000000000002" w:type="dxa"/>
        <w:jc w:val="left"/>
        <w:tblInd w:w="-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2352.5000000000005"/>
        <w:gridCol w:w="2352.5000000000005"/>
        <w:gridCol w:w="2352.5000000000005"/>
        <w:gridCol w:w="2352.5000000000005"/>
        <w:gridCol w:w="2352.5000000000005"/>
        <w:gridCol w:w="2352.5000000000005"/>
        <w:tblGridChange w:id="0">
          <w:tblGrid>
            <w:gridCol w:w="1515"/>
            <w:gridCol w:w="2352.5000000000005"/>
            <w:gridCol w:w="2352.5000000000005"/>
            <w:gridCol w:w="2352.5000000000005"/>
            <w:gridCol w:w="2352.5000000000005"/>
            <w:gridCol w:w="2352.5000000000005"/>
            <w:gridCol w:w="2352.500000000000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29674a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ffffff"/>
                <w:sz w:val="24"/>
                <w:szCs w:val="24"/>
                <w:rtl w:val="0"/>
              </w:rPr>
              <w:t xml:space="preserve">Year 10 History Curriculum Map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e5d4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Half Term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Autumn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Autumn 2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Spring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Spring 2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Summer 1</w:t>
            </w:r>
          </w:p>
        </w:tc>
        <w:tc>
          <w:tcPr>
            <w:shd w:fill="bfe5d4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Summer 2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dff2e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Big Themes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Medicine in Britain, c1250–present 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left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Medicine in Britain, c1250–present 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The British sector of the Western Front, 1914–18: injuries, treatment and the trenches.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Early Elizabethan England, 1558–88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Early Elizabethan England, 1558–88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Superpower relations and the Cold War, 1941–91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dff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Knowledge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covered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c1250–c1500: Medicine in medieval England </w:t>
            </w:r>
          </w:p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c1500–c1700: The Medical Renaissance in England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c1700–c1900: Medicine in eighteenth- and nineteenth-century Britain</w:t>
            </w:r>
          </w:p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c1900–present: Medicine in modern Britain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The British sector of the Western Front, 1914–18: injuries, treatment and the trenches </w:t>
            </w:r>
          </w:p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Knowledge, selection and use of sources for historical enquiries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Queen, government and religion, 1558–69</w:t>
            </w:r>
          </w:p>
          <w:p w:rsidR="00000000" w:rsidDel="00000000" w:rsidP="00000000" w:rsidRDefault="00000000" w:rsidRPr="00000000" w14:paraId="00000020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Challenges to Elizabeth at home and abroad, 1569–88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Challenges to Elizabeth at home and abroad, 1569–88</w:t>
            </w:r>
          </w:p>
          <w:p w:rsidR="00000000" w:rsidDel="00000000" w:rsidP="00000000" w:rsidRDefault="00000000" w:rsidRPr="00000000" w14:paraId="00000022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Elizabethan society in the Age of Exploration, 1558–88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12d5e"/>
                <w:rtl w:val="0"/>
              </w:rPr>
              <w:t xml:space="preserve">The origins of the Cold War, 1941–58</w:t>
            </w:r>
          </w:p>
          <w:p w:rsidR="00000000" w:rsidDel="00000000" w:rsidP="00000000" w:rsidRDefault="00000000" w:rsidRPr="00000000" w14:paraId="00000024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92968749999994" w:hRule="atLeast"/>
          <w:tblHeader w:val="0"/>
        </w:trPr>
        <w:tc>
          <w:tcPr>
            <w:shd w:fill="dff2e9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Gill Sans" w:cs="Gill Sans" w:eastAsia="Gill Sans" w:hAnsi="Gill Sans"/>
                <w:b w:val="1"/>
                <w:color w:val="012d5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color w:val="012d5e"/>
                <w:rtl w:val="0"/>
              </w:rPr>
              <w:t xml:space="preserve">Exam board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rFonts w:ascii="Gill Sans" w:cs="Gill Sans" w:eastAsia="Gill Sans" w:hAnsi="Gill Sans"/>
                <w:color w:val="012d5e"/>
              </w:rPr>
            </w:pPr>
            <w:hyperlink r:id="rId7">
              <w:r w:rsidDel="00000000" w:rsidR="00000000" w:rsidRPr="00000000">
                <w:rPr>
                  <w:rFonts w:ascii="Gill Sans" w:cs="Gill Sans" w:eastAsia="Gill Sans" w:hAnsi="Gill Sans"/>
                  <w:color w:val="1155cc"/>
                  <w:u w:val="single"/>
                  <w:rtl w:val="0"/>
                </w:rPr>
                <w:t xml:space="preserve">Edexcel History GCSE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850.3937007874016" w:right="-916.8897637795271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34895" cy="48768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4895" cy="487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00214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2FC7"/>
  </w:style>
  <w:style w:type="paragraph" w:styleId="Heading1">
    <w:name w:val="heading 1"/>
    <w:basedOn w:val="Normal"/>
    <w:next w:val="Normal"/>
    <w:link w:val="Heading1Char"/>
    <w:uiPriority w:val="9"/>
    <w:qFormat w:val="1"/>
    <w:rsid w:val="003D2FC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00214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D2FC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D2FC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D2FC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D2FC7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D2FC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D2FC7"/>
    <w:rPr>
      <w:rFonts w:asciiTheme="majorHAnsi" w:cstheme="majorBidi" w:eastAsiaTheme="majorEastAsia" w:hAnsiTheme="majorHAnsi"/>
      <w:color w:val="00214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D2FC7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D2FC7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2FC7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D2FC7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D2FC7"/>
    <w:rPr>
      <w:b w:val="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D2FC7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3D2FC7"/>
    <w:rPr>
      <w:b w:val="1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D2FC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3D2FC7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D2FC7"/>
    <w:pPr>
      <w:ind w:left="720"/>
      <w:contextualSpacing w:val="1"/>
    </w:p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D2FC7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3E25F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25F5"/>
  </w:style>
  <w:style w:type="paragraph" w:styleId="Footer">
    <w:name w:val="footer"/>
    <w:basedOn w:val="Normal"/>
    <w:link w:val="FooterChar"/>
    <w:uiPriority w:val="99"/>
    <w:unhideWhenUsed w:val="1"/>
    <w:rsid w:val="003E25F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25F5"/>
  </w:style>
  <w:style w:type="table" w:styleId="TableGrid">
    <w:name w:val="Table Grid"/>
    <w:basedOn w:val="TableNormal"/>
    <w:uiPriority w:val="39"/>
    <w:rsid w:val="003E25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37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37E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37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37E4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37E4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37E4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37E4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qualifications.pearson.com/en/qualifications/edexcel-gcses/history-2016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CSE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2D5E"/>
      </a:accent1>
      <a:accent2>
        <a:srgbClr val="61C094"/>
      </a:accent2>
      <a:accent3>
        <a:srgbClr val="26C9FF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T9667ChHxhMyz8Fu9s/IZppMw==">CgMxLjA4AHIhMXgyanVaVW5yT0ZRZXVGcXQ0Y2QxYzNjUWdJdS1qQlpO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2021-11-30T13:51:00Z</dcterms:created>
  <dc:creator>Alison Harbottle</dc:creator>
</cp:coreProperties>
</file>