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30.000000000002" w:type="dxa"/>
        <w:jc w:val="left"/>
        <w:tblInd w:w="-7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352.5000000000005"/>
        <w:gridCol w:w="2352.5000000000005"/>
        <w:gridCol w:w="2352.5000000000005"/>
        <w:gridCol w:w="2352.5000000000005"/>
        <w:gridCol w:w="2352.5000000000005"/>
        <w:gridCol w:w="2352.5000000000005"/>
        <w:tblGridChange w:id="0">
          <w:tblGrid>
            <w:gridCol w:w="1515"/>
            <w:gridCol w:w="2352.5000000000005"/>
            <w:gridCol w:w="2352.5000000000005"/>
            <w:gridCol w:w="2352.5000000000005"/>
            <w:gridCol w:w="2352.5000000000005"/>
            <w:gridCol w:w="2352.5000000000005"/>
            <w:gridCol w:w="2352.500000000000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29674a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Gill Sans" w:cs="Gill Sans" w:eastAsia="Gill Sans" w:hAnsi="Gill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ffffff"/>
                <w:sz w:val="24"/>
                <w:szCs w:val="24"/>
                <w:rtl w:val="0"/>
              </w:rPr>
              <w:t xml:space="preserve">Year 11 History Curriculum Map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e5d4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Half Term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Autumn 1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Autumn 2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Spring 1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Spring 2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Summer 1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Summer 2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dff2e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Big Themes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Superpower relations and the Cold War, 1941–91 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The USA, 1954–75: conflict at home and abroad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The USA, 1954–75: conflict at home and abroad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Revision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Revision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Public exams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dff2e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Knowledge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covered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Cold War crises, 1958–70</w:t>
            </w:r>
          </w:p>
          <w:p w:rsidR="00000000" w:rsidDel="00000000" w:rsidP="00000000" w:rsidRDefault="00000000" w:rsidRPr="00000000" w14:paraId="0000001A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The end of the Cold War, 1970–91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The development of the civil rights movement, 1954–60</w:t>
            </w:r>
          </w:p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Protest, progress and radicalism, 1960–75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US involvement in the Vietnam War, 1954–75</w:t>
            </w:r>
          </w:p>
          <w:p w:rsidR="00000000" w:rsidDel="00000000" w:rsidP="00000000" w:rsidRDefault="00000000" w:rsidRPr="00000000" w14:paraId="0000001E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Reactions to, and the end of, US involvement in Vietnam, 1964–75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Medicine in Britain, c1250–present  </w:t>
            </w:r>
          </w:p>
          <w:p w:rsidR="00000000" w:rsidDel="00000000" w:rsidP="00000000" w:rsidRDefault="00000000" w:rsidRPr="00000000" w14:paraId="00000020">
            <w:pPr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Early Elizabethan England, 1558–88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Superpower relations and the Cold War, 1941–91</w:t>
            </w:r>
          </w:p>
          <w:p w:rsidR="00000000" w:rsidDel="00000000" w:rsidP="00000000" w:rsidRDefault="00000000" w:rsidRPr="00000000" w14:paraId="00000022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The USA, 1954–75: conflict at home and abroad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-850.3937007874016" w:right="-916.8897637795271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34895" cy="48768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4895" cy="487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2FC7"/>
  </w:style>
  <w:style w:type="paragraph" w:styleId="Heading1">
    <w:name w:val="heading 1"/>
    <w:basedOn w:val="Normal"/>
    <w:next w:val="Normal"/>
    <w:link w:val="Heading1Char"/>
    <w:uiPriority w:val="9"/>
    <w:qFormat w:val="1"/>
    <w:rsid w:val="003D2FC7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00214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D2FC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D2FC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D2FC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D2FC7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D2FC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D2FC7"/>
    <w:rPr>
      <w:rFonts w:asciiTheme="majorHAnsi" w:cstheme="majorBidi" w:eastAsiaTheme="majorEastAsia" w:hAnsiTheme="majorHAnsi"/>
      <w:color w:val="00214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D2FC7"/>
    <w:rPr>
      <w:b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D2FC7"/>
    <w:rPr>
      <w:b w:val="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D2FC7"/>
    <w:rPr>
      <w:b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D2FC7"/>
    <w:rPr>
      <w:b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D2FC7"/>
    <w:rPr>
      <w:b w:val="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D2FC7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3D2FC7"/>
    <w:rPr>
      <w:b w:val="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D2FC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3D2FC7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D2FC7"/>
    <w:pPr>
      <w:ind w:left="720"/>
      <w:contextualSpacing w:val="1"/>
    </w:p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3D2FC7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3E25F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25F5"/>
  </w:style>
  <w:style w:type="paragraph" w:styleId="Footer">
    <w:name w:val="footer"/>
    <w:basedOn w:val="Normal"/>
    <w:link w:val="FooterChar"/>
    <w:uiPriority w:val="99"/>
    <w:unhideWhenUsed w:val="1"/>
    <w:rsid w:val="003E25F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25F5"/>
  </w:style>
  <w:style w:type="table" w:styleId="TableGrid">
    <w:name w:val="Table Grid"/>
    <w:basedOn w:val="TableNormal"/>
    <w:uiPriority w:val="39"/>
    <w:rsid w:val="003E25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37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37E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37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37E4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37E48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37E4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37E4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CSE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2D5E"/>
      </a:accent1>
      <a:accent2>
        <a:srgbClr val="61C094"/>
      </a:accent2>
      <a:accent3>
        <a:srgbClr val="26C9FF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WiCVWq7zHmFvzYg7xABZszdCw==">CgMxLjA4AHIhMWdNaEpwWWVFMV9FdlB3RktvYTJoT3UxeXFmUTZPSkU4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2021-11-30T13:51:00Z</dcterms:created>
  <dc:creator>Alison Harbottle</dc:creator>
</cp:coreProperties>
</file>