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B3A6B"/>
          <w:sz w:val="28"/>
          <w:szCs w:val="28"/>
        </w:rPr>
        <w:t xml:space="preserve">REGULATORY AUTHORITY OF BERMUDA</w:t>
      </w:r>
    </w:p>
    <w:p>
      <w:pPr>
        <w:pBdr>
          <w:bottom w:val="single" w:color="1B3A6B" w:sz="6" w:space="6"/>
        </w:pBdr>
        <w:spacing w:after="240"/>
      </w:pPr>
      <w:r>
        <w:rPr>
          <w:i/>
          <w:iCs/>
          <w:color w:val="5A5A5A"/>
          <w:sz w:val="20"/>
          <w:szCs w:val="20"/>
        </w:rPr>
        <w:t xml:space="preserve">Response to Public Consultation</w:t>
      </w:r>
    </w:p>
    <w:p>
      <w:pPr>
        <w:spacing w:after="160"/>
      </w:pPr>
      <w:r>
        <w:rPr>
          <w:sz w:val="22"/>
          <w:szCs w:val="22"/>
        </w:rPr>
        <w:t xml:space="preserve">14 August 2026</w:t>
      </w:r>
    </w:p>
    <w:p>
      <w:pPr>
        <w:spacing w:after="0"/>
      </w:pPr>
      <w:r>
        <w:rPr>
          <w:sz w:val="22"/>
          <w:szCs w:val="22"/>
        </w:rPr>
        <w:t xml:space="preserve">Digital Bermuda Secretariat</w:t>
      </w:r>
    </w:p>
    <w:p>
      <w:pPr>
        <w:spacing w:after="0"/>
      </w:pPr>
      <w:r>
        <w:rPr>
          <w:sz w:val="22"/>
          <w:szCs w:val="22"/>
        </w:rPr>
        <w:t xml:space="preserve">Ministry of Economy and Labour</w:t>
      </w:r>
    </w:p>
    <w:p>
      <w:pPr>
        <w:spacing w:after="160"/>
      </w:pPr>
      <w:r>
        <w:rPr>
          <w:sz w:val="22"/>
          <w:szCs w:val="22"/>
        </w:rPr>
        <w:t xml:space="preserve">Government of Bermuda</w:t>
      </w:r>
    </w:p>
    <w:p>
      <w:pPr>
        <w:spacing w:after="160"/>
      </w:pPr>
      <w:r>
        <w:rPr>
          <w:sz w:val="22"/>
          <w:szCs w:val="22"/>
        </w:rPr>
        <w:t xml:space="preserve">Attention: Director, Digital Policy</w:t>
      </w:r>
    </w:p>
    <w:p>
      <w:pPr>
        <w:spacing w:after="240"/>
      </w:pPr>
      <w:r>
        <w:rPr>
          <w:b/>
          <w:bCs/>
          <w:sz w:val="22"/>
          <w:szCs w:val="22"/>
        </w:rPr>
        <w:t xml:space="preserve">Reference: RA-EC-CONS-2026-021</w:t>
      </w:r>
    </w:p>
    <w:p>
      <w:pPr>
        <w:spacing w:after="280"/>
      </w:pPr>
      <w:r>
        <w:rPr>
          <w:b/>
          <w:bCs/>
          <w:sz w:val="22"/>
          <w:szCs w:val="22"/>
        </w:rPr>
        <w:t xml:space="preserve">Re: </w:t>
      </w:r>
      <w:r>
        <w:rPr>
          <w:b/>
          <w:bCs/>
          <w:sz w:val="22"/>
          <w:szCs w:val="22"/>
        </w:rPr>
        <w:t xml:space="preserve">Consultation on the Draft Digital and Spectrum Strategy 2026–2030</w:t>
      </w:r>
    </w:p>
    <w:p>
      <w:pPr>
        <w:pStyle w:val="Heading2"/>
        <w:spacing w:after="140" w:before="320"/>
      </w:pPr>
      <w:r>
        <w:rPr>
          <w:color w:val="1B3A6B"/>
        </w:rPr>
        <w:t xml:space="preserve">1. Introduction</w:t>
      </w:r>
    </w:p>
    <w:p>
      <w:pPr>
        <w:spacing w:after="200" w:line="288"/>
        <w:jc w:val="both"/>
      </w:pPr>
      <w:r>
        <w:rPr>
          <w:sz w:val="22"/>
          <w:szCs w:val="22"/>
        </w:rPr>
        <w:t xml:space="preserve">The Regulatory Authority of Bermuda ("the RA") regulates Bermuda's electronic communications sector under the Regulatory Authority Act 2011 and the Electronic Communications Act 2011, including spectrum management, licensing, and market competition. The RA welcomes the opportunity to comment on the Draft Digital and Spectrum Strategy 2026–2030 ("the Draft Strategy") published for public consultation.</w:t>
      </w:r>
    </w:p>
    <w:p>
      <w:pPr>
        <w:spacing w:after="200" w:line="288"/>
        <w:jc w:val="both"/>
      </w:pPr>
      <w:r>
        <w:rPr>
          <w:sz w:val="22"/>
          <w:szCs w:val="22"/>
        </w:rPr>
        <w:t xml:space="preserve">The RA's comments focus on the practical implications of the Draft Strategy for spectrum planning, licensing, and competition in the electronic communications market, drawing on its ongoing engagement with licensed operators.</w:t>
      </w:r>
    </w:p>
    <w:p>
      <w:pPr>
        <w:pStyle w:val="Heading2"/>
        <w:spacing w:after="140" w:before="320"/>
      </w:pPr>
      <w:r>
        <w:rPr>
          <w:color w:val="1B3A6B"/>
        </w:rPr>
        <w:t xml:space="preserve">2. General Comments</w:t>
      </w:r>
    </w:p>
    <w:p>
      <w:pPr>
        <w:spacing w:after="200" w:line="288"/>
        <w:jc w:val="both"/>
      </w:pPr>
      <w:r>
        <w:rPr>
          <w:sz w:val="22"/>
          <w:szCs w:val="22"/>
        </w:rPr>
        <w:t xml:space="preserve">The RA supports the Draft Strategy's ambition to position Bermuda as a connected, digitally competitive jurisdiction. Reliable, affordable, and resilient telecommunications infrastructure is essential both for residents and for Bermuda's international business sector. The RA notes that any national digital strategy must be developed with regard to Bermuda's existing licensing framework and its obligations to promote fair competition among electronic communications providers.</w:t>
      </w:r>
    </w:p>
    <w:p>
      <w:pPr>
        <w:spacing w:after="200" w:line="288"/>
        <w:jc w:val="both"/>
      </w:pPr>
      <w:r>
        <w:rPr>
          <w:sz w:val="22"/>
          <w:szCs w:val="22"/>
        </w:rPr>
        <w:t xml:space="preserve">The RA also highlights the close interdependency between terrestrial network policy and Bermuda's submarine cable landing infrastructure, which the RA separately regulates. The Draft Strategy should account for this interdependency when setting resilience and capacity objectives.</w:t>
      </w:r>
    </w:p>
    <w:p>
      <w:pPr>
        <w:pStyle w:val="Heading2"/>
        <w:spacing w:after="140" w:before="320"/>
      </w:pPr>
      <w:r>
        <w:rPr>
          <w:color w:val="1B3A6B"/>
        </w:rPr>
        <w:t xml:space="preserve">3. Responses to Consultation Questions</w:t>
      </w:r>
    </w:p>
    <w:p>
      <w:pPr>
        <w:pStyle w:val="Heading3"/>
        <w:spacing w:after="100" w:before="220"/>
      </w:pPr>
      <w:r>
        <w:t xml:space="preserve">Question 1: How should spectrum be allocated to support 5G and future mobile technologies?</w:t>
      </w:r>
    </w:p>
    <w:p>
      <w:pPr>
        <w:spacing w:after="200" w:line="288"/>
        <w:jc w:val="both"/>
      </w:pPr>
      <w:r>
        <w:rPr>
          <w:sz w:val="22"/>
          <w:szCs w:val="22"/>
        </w:rPr>
        <w:t xml:space="preserve">The RA supports a technology-neutral approach to spectrum allocation that allows licensees flexibility to deploy 5G and subsequent technologies as they mature, rather than prescribing specific technical standards in policy. The RA recommends that spectrum awards continue to be administered through the RA's existing licensing processes, with the Draft Strategy setting high-level policy objectives rather than allocation mechanics.</w:t>
      </w:r>
    </w:p>
    <w:p>
      <w:pPr>
        <w:pStyle w:val="Heading3"/>
        <w:spacing w:after="100" w:before="220"/>
      </w:pPr>
      <w:r>
        <w:t xml:space="preserve">Question 2: How can affordable, island-wide connectivity be assured for all households?</w:t>
      </w:r>
    </w:p>
    <w:p>
      <w:pPr>
        <w:spacing w:after="200" w:line="288"/>
        <w:jc w:val="both"/>
      </w:pPr>
      <w:r>
        <w:rPr>
          <w:sz w:val="22"/>
          <w:szCs w:val="22"/>
        </w:rPr>
        <w:t xml:space="preserve">The RA agrees that affordability and coverage should be tracked as explicit policy outcomes. The RA already collects coverage and quality-of-service data from licensees and proposes to make aggregated reporting available to inform the Strategy's implementation, while safeguarding commercially sensitive operator information.</w:t>
      </w:r>
    </w:p>
    <w:p>
      <w:pPr>
        <w:pStyle w:val="Heading3"/>
        <w:spacing w:after="100" w:before="220"/>
      </w:pPr>
      <w:r>
        <w:t xml:space="preserve">Question 3: Should the Draft Strategy include measures to strengthen market competition, such as expanded number portability?</w:t>
      </w:r>
    </w:p>
    <w:p>
      <w:pPr>
        <w:spacing w:after="200" w:line="288"/>
        <w:jc w:val="both"/>
      </w:pPr>
      <w:r>
        <w:rPr>
          <w:sz w:val="22"/>
          <w:szCs w:val="22"/>
        </w:rPr>
        <w:t xml:space="preserve">The RA supports measures that lower switching costs for consumers, including efficient number portability. The RA notes that portability and interconnection matters are already addressed within its regulatory framework and recommends that any new commitments in this area be implemented through RA-administered codes of practice to maintain consistency across operators.</w:t>
      </w:r>
    </w:p>
    <w:p>
      <w:pPr>
        <w:pStyle w:val="Heading3"/>
        <w:spacing w:after="100" w:before="220"/>
      </w:pPr>
      <w:r>
        <w:t xml:space="preserve">Question 4: What cybersecurity and network resilience requirements should apply to licensed operators?</w:t>
      </w:r>
    </w:p>
    <w:p>
      <w:pPr>
        <w:spacing w:after="200" w:line="288"/>
        <w:jc w:val="both"/>
      </w:pPr>
      <w:r>
        <w:rPr>
          <w:sz w:val="22"/>
          <w:szCs w:val="22"/>
        </w:rPr>
        <w:t xml:space="preserve">Given Bermuda's exposure to severe weather events, the RA considers network resilience — including backup power, redundancy, and incident-reporting obligations — to be a critical component of any digital strategy. The RA recommends that minimum resilience standards be set through licence conditions, informed by the Draft Strategy's objectives, and reviewed periodically by the RA.</w:t>
      </w:r>
    </w:p>
    <w:p>
      <w:pPr>
        <w:pStyle w:val="Heading3"/>
        <w:spacing w:after="100" w:before="220"/>
      </w:pPr>
      <w:r>
        <w:t xml:space="preserve">Question 5: Should the current telecommunications licensing framework be simplified?</w:t>
      </w:r>
    </w:p>
    <w:p>
      <w:pPr>
        <w:spacing w:after="200" w:line="288"/>
        <w:jc w:val="both"/>
      </w:pPr>
      <w:r>
        <w:rPr>
          <w:sz w:val="22"/>
          <w:szCs w:val="22"/>
        </w:rPr>
        <w:t xml:space="preserve">The RA is supportive in principle of streamlining licensing where this reduces administrative burden without weakening consumer protection or competition safeguards. The RA proposes to lead a separate technical review of the licensing framework in parallel with the Strategy's finalisation, in consultation with industry.</w:t>
      </w:r>
    </w:p>
    <w:p>
      <w:pPr>
        <w:pStyle w:val="Heading2"/>
        <w:spacing w:after="140" w:before="320"/>
      </w:pPr>
      <w:r>
        <w:rPr>
          <w:color w:val="1B3A6B"/>
        </w:rPr>
        <w:t xml:space="preserve">4. Conclusion</w:t>
      </w:r>
    </w:p>
    <w:p>
      <w:pPr>
        <w:spacing w:after="200" w:line="288"/>
        <w:jc w:val="both"/>
      </w:pPr>
      <w:r>
        <w:rPr>
          <w:sz w:val="22"/>
          <w:szCs w:val="22"/>
        </w:rPr>
        <w:t xml:space="preserve">The RA supports the goals of the Draft Digital and Spectrum Strategy 2026–2030 and is committed to working with the Ministry of Economy and Labour to ensure that spectrum management, licensing, and competition policy remain aligned with the Strategy as it is implemented.</w:t>
      </w:r>
    </w:p>
    <w:p>
      <w:pPr>
        <w:spacing w:after="400" w:before="200"/>
      </w:pPr>
      <w:r>
        <w:rPr>
          <w:sz w:val="22"/>
          <w:szCs w:val="22"/>
        </w:rPr>
        <w:t xml:space="preserve">Submitted on behalf of the Regulatory Authority of Bermuda.</w:t>
      </w:r>
    </w:p>
    <w:p>
      <w:pPr>
        <w:spacing w:after="20"/>
      </w:pPr>
      <w:r>
        <w:rPr>
          <w:b/>
          <w:bCs/>
          <w:sz w:val="22"/>
          <w:szCs w:val="22"/>
        </w:rPr>
        <w:t xml:space="preserve">Communications Department</w:t>
      </w:r>
    </w:p>
    <w:p>
      <w:r>
        <w:rPr>
          <w:sz w:val="22"/>
          <w:szCs w:val="22"/>
        </w:rPr>
        <w:t xml:space="preserve">Regulatory Authority of Bermuda</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jc w:val="center"/>
    </w:pPr>
    <w:r>
      <w:rPr>
        <w:color w:val="5A5A5A"/>
        <w:sz w:val="16"/>
        <w:szCs w:val="16"/>
      </w:rPr>
      <w:t xml:space="preserve">Regulatory Authority of Bermuda   |   www.ra.bm   |   communications@ra.bm</w:t>
    </w:r>
  </w:p>
  <w:p>
    <w:pPr>
      <w:jc w:val="center"/>
    </w:pPr>
    <w:r>
      <w:rPr>
        <w:color w:val="5A5A5A"/>
        <w:sz w:val="16"/>
        <w:szCs w:val="16"/>
      </w:rPr>
      <w:t xml:space="preserve">Page </w:t>
    </w:r>
    <w:r>
      <w:rPr>
        <w:color w:val="5A5A5A"/>
        <w:sz w:val="16"/>
        <w:szCs w:val="16"/>
      </w:rPr>
      <w:fldChar w:fldCharType="begin"/>
      <w:instrText xml:space="preserve">PAGE</w:instrText>
      <w:fldChar w:fldCharType="separate"/>
      <w:fldChar w:fldCharType="end"/>
    </w:r>
    <w:r>
      <w:rPr>
        <w:color w:val="5A5A5A"/>
        <w:sz w:val="16"/>
        <w:szCs w:val="16"/>
      </w:rPr>
      <w:t xml:space="preserve"> of </w:t>
    </w:r>
    <w:r>
      <w:rPr>
        <w:color w:val="5A5A5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2026-08-14T15:19:05.329Z</dcterms:created>
  <dcterms:modified xsi:type="dcterms:W3CDTF">2026-08-14T15:19:05.329Z</dcterms:modified>
</cp:coreProperties>
</file>

<file path=docProps/custom.xml><?xml version="1.0" encoding="utf-8"?>
<Properties xmlns="http://schemas.openxmlformats.org/officeDocument/2006/custom-properties" xmlns:vt="http://schemas.openxmlformats.org/officeDocument/2006/docPropsVTypes"/>
</file>