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9FAB" w14:textId="77777777" w:rsidR="00FC265C" w:rsidRPr="008D27BD" w:rsidRDefault="00FC265C" w:rsidP="00744E67">
      <w:pPr>
        <w:spacing w:before="1800"/>
        <w:jc w:val="both"/>
        <w:rPr>
          <w:color w:val="000000" w:themeColor="text1"/>
          <w:sz w:val="22"/>
          <w:szCs w:val="22"/>
        </w:rPr>
      </w:pPr>
    </w:p>
    <w:p w14:paraId="23103F49" w14:textId="77777777" w:rsidR="00FC265C" w:rsidRPr="008D27BD" w:rsidRDefault="00000000" w:rsidP="009F0101">
      <w:pPr>
        <w:pBdr>
          <w:bottom w:val="single" w:sz="8" w:space="0" w:color="2E75B6"/>
        </w:pBdr>
        <w:spacing w:before="240" w:after="120"/>
        <w:jc w:val="center"/>
        <w:rPr>
          <w:color w:val="000000" w:themeColor="text1"/>
          <w:sz w:val="22"/>
          <w:szCs w:val="22"/>
        </w:rPr>
      </w:pPr>
      <w:r>
        <w:rPr>
          <w:b/>
          <w:bCs/>
          <w:color w:val="000000" w:themeColor="text1"/>
          <w:sz w:val="22"/>
          <w:szCs w:val="22"/>
        </w:rPr>
        <w:t>DATA PROCESSING AGREEMENT</w:t>
      </w:r>
    </w:p>
    <w:p w14:paraId="41589708" w14:textId="77777777" w:rsidR="00FC265C" w:rsidRPr="008D27BD" w:rsidRDefault="00FC265C" w:rsidP="00744E67">
      <w:pPr>
        <w:spacing w:before="40" w:after="40"/>
        <w:jc w:val="both"/>
        <w:rPr>
          <w:color w:val="000000" w:themeColor="text1"/>
          <w:sz w:val="22"/>
          <w:szCs w:val="22"/>
        </w:rPr>
      </w:pPr>
    </w:p>
    <w:p w14:paraId="7EA6DAA1" w14:textId="77777777" w:rsidR="00FC265C" w:rsidRPr="008D27BD" w:rsidRDefault="00000000" w:rsidP="00744E67">
      <w:pPr>
        <w:spacing w:before="120" w:after="80"/>
        <w:jc w:val="both"/>
        <w:rPr>
          <w:color w:val="000000" w:themeColor="text1"/>
          <w:sz w:val="22"/>
          <w:szCs w:val="22"/>
        </w:rPr>
      </w:pPr>
      <w:r>
        <w:rPr>
          <w:i/>
          <w:iCs/>
          <w:color w:val="000000" w:themeColor="text1"/>
          <w:sz w:val="22"/>
          <w:szCs w:val="22"/>
        </w:rPr>
        <w:t>Between</w:t>
      </w:r>
    </w:p>
    <w:p w14:paraId="621E52B0" w14:textId="77777777" w:rsidR="00FC265C" w:rsidRPr="008D27BD" w:rsidRDefault="00000000" w:rsidP="00744E67">
      <w:pPr>
        <w:spacing w:before="60" w:after="40"/>
        <w:jc w:val="both"/>
        <w:rPr>
          <w:color w:val="000000" w:themeColor="text1"/>
          <w:sz w:val="22"/>
          <w:szCs w:val="22"/>
        </w:rPr>
      </w:pPr>
      <w:r>
        <w:rPr>
          <w:b/>
          <w:bCs/>
          <w:color w:val="000000" w:themeColor="text1"/>
          <w:sz w:val="22"/>
          <w:szCs w:val="22"/>
        </w:rPr>
        <w:t>[CUSTOMER FULL LEGAL NAME]</w:t>
      </w:r>
    </w:p>
    <w:p w14:paraId="4057220C" w14:textId="77777777" w:rsidR="00FC265C" w:rsidRPr="008D27BD" w:rsidRDefault="00000000" w:rsidP="00744E67">
      <w:pPr>
        <w:spacing w:before="40" w:after="200"/>
        <w:jc w:val="both"/>
        <w:rPr>
          <w:color w:val="000000" w:themeColor="text1"/>
          <w:sz w:val="22"/>
          <w:szCs w:val="22"/>
        </w:rPr>
      </w:pPr>
      <w:r>
        <w:rPr>
          <w:i/>
          <w:iCs/>
          <w:color w:val="000000" w:themeColor="text1"/>
          <w:sz w:val="22"/>
          <w:szCs w:val="22"/>
        </w:rPr>
        <w:t>("Customer" / "Controller")</w:t>
      </w:r>
    </w:p>
    <w:p w14:paraId="69C206B7" w14:textId="77777777" w:rsidR="00FC265C" w:rsidRPr="008D27BD" w:rsidRDefault="00000000" w:rsidP="00744E67">
      <w:pPr>
        <w:spacing w:before="60" w:after="200"/>
        <w:jc w:val="both"/>
        <w:rPr>
          <w:color w:val="000000" w:themeColor="text1"/>
          <w:sz w:val="22"/>
          <w:szCs w:val="22"/>
        </w:rPr>
      </w:pPr>
      <w:r>
        <w:rPr>
          <w:i/>
          <w:iCs/>
          <w:color w:val="000000" w:themeColor="text1"/>
          <w:sz w:val="22"/>
          <w:szCs w:val="22"/>
        </w:rPr>
        <w:t>and</w:t>
      </w:r>
    </w:p>
    <w:p w14:paraId="53888AF2" w14:textId="77777777" w:rsidR="00FC265C" w:rsidRPr="008D27BD" w:rsidRDefault="00000000" w:rsidP="00744E67">
      <w:pPr>
        <w:spacing w:before="60" w:after="40"/>
        <w:jc w:val="both"/>
        <w:rPr>
          <w:color w:val="000000" w:themeColor="text1"/>
          <w:sz w:val="22"/>
          <w:szCs w:val="22"/>
        </w:rPr>
      </w:pPr>
      <w:r>
        <w:rPr>
          <w:b/>
          <w:bCs/>
          <w:color w:val="000000" w:themeColor="text1"/>
          <w:sz w:val="22"/>
          <w:szCs w:val="22"/>
        </w:rPr>
        <w:t>ENSEMBLE LABS INC. d/b/a TRUEFOUNDRY</w:t>
      </w:r>
    </w:p>
    <w:p w14:paraId="38475868" w14:textId="77777777" w:rsidR="00FC265C" w:rsidRPr="008D27BD" w:rsidRDefault="00000000" w:rsidP="00744E67">
      <w:pPr>
        <w:spacing w:before="40" w:after="400"/>
        <w:jc w:val="both"/>
        <w:rPr>
          <w:color w:val="000000" w:themeColor="text1"/>
          <w:sz w:val="22"/>
          <w:szCs w:val="22"/>
        </w:rPr>
      </w:pPr>
      <w:r>
        <w:rPr>
          <w:i/>
          <w:iCs/>
          <w:color w:val="000000" w:themeColor="text1"/>
          <w:sz w:val="22"/>
          <w:szCs w:val="22"/>
        </w:rPr>
        <w:t>A Delaware Corporation  |  Processor</w:t>
      </w:r>
    </w:p>
    <w:p w14:paraId="2417563D" w14:textId="77777777" w:rsidR="00FC265C" w:rsidRPr="008D27BD" w:rsidRDefault="00000000" w:rsidP="00744E67">
      <w:pPr>
        <w:spacing w:before="120" w:after="80"/>
        <w:jc w:val="both"/>
        <w:rPr>
          <w:color w:val="000000" w:themeColor="text1"/>
          <w:sz w:val="22"/>
          <w:szCs w:val="22"/>
        </w:rPr>
      </w:pPr>
      <w:r>
        <w:rPr>
          <w:color w:val="000000" w:themeColor="text1"/>
          <w:sz w:val="22"/>
          <w:szCs w:val="22"/>
        </w:rPr>
        <w:t>Effective Date:  ___________________________</w:t>
      </w:r>
    </w:p>
    <w:p w14:paraId="2E542E70" w14:textId="77777777" w:rsidR="00FC265C" w:rsidRPr="008D27BD" w:rsidRDefault="00000000" w:rsidP="00744E67">
      <w:pPr>
        <w:spacing w:before="80" w:after="400"/>
        <w:jc w:val="both"/>
        <w:rPr>
          <w:color w:val="000000" w:themeColor="text1"/>
          <w:sz w:val="22"/>
          <w:szCs w:val="22"/>
        </w:rPr>
      </w:pPr>
      <w:r>
        <w:rPr>
          <w:color w:val="000000" w:themeColor="text1"/>
          <w:sz w:val="22"/>
          <w:szCs w:val="22"/>
        </w:rPr>
        <w:t>Underlying Agreement Date:  ___________________________</w:t>
      </w:r>
    </w:p>
    <w:p w14:paraId="327ACAAA" w14:textId="77777777" w:rsidR="00FC265C" w:rsidRPr="008D27BD" w:rsidRDefault="00000000" w:rsidP="00744E67">
      <w:pPr>
        <w:jc w:val="both"/>
        <w:rPr>
          <w:color w:val="000000" w:themeColor="text1"/>
          <w:sz w:val="22"/>
          <w:szCs w:val="22"/>
        </w:rPr>
      </w:pPr>
      <w:r>
        <w:rPr>
          <w:color w:val="000000" w:themeColor="text1"/>
          <w:sz w:val="22"/>
          <w:szCs w:val="22"/>
        </w:rPr>
        <w:br w:type="page"/>
      </w:r>
    </w:p>
    <w:p w14:paraId="0921FCDF" w14:textId="77777777" w:rsidR="008D27BD" w:rsidRPr="008D27BD" w:rsidRDefault="008D27BD" w:rsidP="009F0101">
      <w:pPr>
        <w:pBdr>
          <w:bottom w:val="single" w:sz="8" w:space="0" w:color="2E75B6"/>
        </w:pBdr>
        <w:spacing w:before="240" w:after="120"/>
        <w:jc w:val="center"/>
        <w:rPr>
          <w:color w:val="000000" w:themeColor="text1"/>
          <w:sz w:val="22"/>
          <w:szCs w:val="22"/>
        </w:rPr>
      </w:pPr>
      <w:r>
        <w:rPr>
          <w:b/>
          <w:bCs/>
          <w:color w:val="000000" w:themeColor="text1"/>
          <w:sz w:val="22"/>
          <w:szCs w:val="22"/>
        </w:rPr>
        <w:lastRenderedPageBreak/>
        <w:t>DATA PROCESSING AGREEMENT</w:t>
      </w:r>
    </w:p>
    <w:p w14:paraId="278504E9"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This Data Processing Agreement ("DPA") is entered into between:</w:t>
      </w:r>
    </w:p>
    <w:p w14:paraId="351A32F1" w14:textId="77777777" w:rsidR="00FC265C" w:rsidRPr="008D27BD" w:rsidRDefault="00FC265C" w:rsidP="00744E67">
      <w:pPr>
        <w:spacing w:before="40" w:after="40"/>
        <w:jc w:val="both"/>
        <w:rPr>
          <w:color w:val="000000" w:themeColor="text1"/>
          <w:sz w:val="22"/>
          <w:szCs w:val="22"/>
        </w:rPr>
      </w:pPr>
    </w:p>
    <w:p w14:paraId="4921084A" w14:textId="77777777" w:rsidR="00FC265C" w:rsidRPr="008D27BD" w:rsidRDefault="00000000" w:rsidP="00744E67">
      <w:pPr>
        <w:spacing w:before="60" w:after="60"/>
        <w:jc w:val="both"/>
        <w:rPr>
          <w:color w:val="000000" w:themeColor="text1"/>
          <w:sz w:val="22"/>
          <w:szCs w:val="22"/>
        </w:rPr>
      </w:pPr>
      <w:r>
        <w:rPr>
          <w:b/>
          <w:bCs/>
          <w:color w:val="000000" w:themeColor="text1"/>
          <w:sz w:val="22"/>
          <w:szCs w:val="22"/>
        </w:rPr>
        <w:t>[CUSTOMER FULL LEGAL NAME</w:t>
      </w:r>
      <w:r>
        <w:rPr>
          <w:color w:val="000000" w:themeColor="text1"/>
          <w:sz w:val="22"/>
          <w:szCs w:val="22"/>
        </w:rPr>
        <w:t>], a [entity type] organised under the laws of [jurisdiction] ("Customer" or "Controller");</w:t>
      </w:r>
    </w:p>
    <w:p w14:paraId="1347D654" w14:textId="77777777" w:rsidR="00FC265C" w:rsidRPr="008D27BD" w:rsidRDefault="00FC265C" w:rsidP="00744E67">
      <w:pPr>
        <w:spacing w:before="40" w:after="40"/>
        <w:jc w:val="both"/>
        <w:rPr>
          <w:color w:val="000000" w:themeColor="text1"/>
          <w:sz w:val="22"/>
          <w:szCs w:val="22"/>
        </w:rPr>
      </w:pPr>
    </w:p>
    <w:p w14:paraId="45F60704"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and</w:t>
      </w:r>
    </w:p>
    <w:p w14:paraId="0A780EA1" w14:textId="77777777" w:rsidR="00FC265C" w:rsidRPr="008D27BD" w:rsidRDefault="00FC265C" w:rsidP="00744E67">
      <w:pPr>
        <w:spacing w:before="40" w:after="40"/>
        <w:jc w:val="both"/>
        <w:rPr>
          <w:color w:val="000000" w:themeColor="text1"/>
          <w:sz w:val="22"/>
          <w:szCs w:val="22"/>
        </w:rPr>
      </w:pPr>
    </w:p>
    <w:p w14:paraId="3AD5F8BA" w14:textId="7B1302C4" w:rsidR="00FC265C" w:rsidRPr="008D27BD" w:rsidRDefault="00000000" w:rsidP="00744E67">
      <w:pPr>
        <w:spacing w:before="60" w:after="60"/>
        <w:jc w:val="both"/>
        <w:rPr>
          <w:color w:val="000000" w:themeColor="text1"/>
          <w:sz w:val="22"/>
          <w:szCs w:val="22"/>
        </w:rPr>
      </w:pPr>
      <w:r>
        <w:rPr>
          <w:b/>
          <w:bCs/>
          <w:color w:val="000000" w:themeColor="text1"/>
          <w:sz w:val="22"/>
          <w:szCs w:val="22"/>
        </w:rPr>
        <w:t>ENSEMBLE LABS INC.</w:t>
      </w:r>
      <w:r>
        <w:rPr>
          <w:color w:val="000000" w:themeColor="text1"/>
          <w:sz w:val="22"/>
          <w:szCs w:val="22"/>
        </w:rPr>
        <w:t xml:space="preserve"> d/b/a TRUEFOUNDRY, a corporation organised under the laws of the State of Delaware, United States, having its registered office at 355 Bryant Street,</w:t>
      </w:r>
      <w:r>
        <w:rPr>
          <w:rFonts w:ascii="MS Gothic" w:eastAsia="MS Gothic" w:hAnsi="MS Gothic" w:cs="MS Gothic" w:hint="eastAsia"/>
          <w:color w:val="000000" w:themeColor="text1"/>
          <w:sz w:val="22"/>
          <w:szCs w:val="22"/>
        </w:rPr>
        <w:t> </w:t>
      </w:r>
      <w:r>
        <w:rPr>
          <w:color w:val="000000" w:themeColor="text1"/>
          <w:sz w:val="22"/>
          <w:szCs w:val="22"/>
        </w:rPr>
        <w:t>Suite 403, San Francisco, CA 94107 ("TrueFoundry" or "Processor").</w:t>
      </w:r>
    </w:p>
    <w:p w14:paraId="3DB3C0ED" w14:textId="77777777" w:rsidR="00FC265C" w:rsidRPr="008D27BD" w:rsidRDefault="00FC265C" w:rsidP="00744E67">
      <w:pPr>
        <w:spacing w:before="40" w:after="40"/>
        <w:jc w:val="both"/>
        <w:rPr>
          <w:color w:val="000000" w:themeColor="text1"/>
          <w:sz w:val="22"/>
          <w:szCs w:val="22"/>
        </w:rPr>
      </w:pPr>
    </w:p>
    <w:p w14:paraId="33FD1745"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Each of Customer and TrueFoundry is referred to herein individually as a "Party" and collectively as the "Parties."</w:t>
      </w:r>
    </w:p>
    <w:p w14:paraId="0F727D5F" w14:textId="77777777" w:rsidR="00FC265C" w:rsidRPr="008D27BD" w:rsidRDefault="00FC265C" w:rsidP="00744E67">
      <w:pPr>
        <w:spacing w:before="40" w:after="40"/>
        <w:jc w:val="both"/>
        <w:rPr>
          <w:color w:val="000000" w:themeColor="text1"/>
          <w:sz w:val="22"/>
          <w:szCs w:val="22"/>
        </w:rPr>
      </w:pPr>
    </w:p>
    <w:p w14:paraId="36406E0B"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This DPA is effective as of the Effective Date set out on the cover page above and supplements and forms part of the Master Services Agreement / Subscription Agreement entered into between the Parties (the "Agreement").</w:t>
      </w:r>
    </w:p>
    <w:p w14:paraId="60CA6F3D" w14:textId="77777777" w:rsidR="00FC265C" w:rsidRPr="008D27BD" w:rsidRDefault="00FC265C" w:rsidP="00744E67">
      <w:pPr>
        <w:spacing w:before="40" w:after="40"/>
        <w:jc w:val="both"/>
        <w:rPr>
          <w:color w:val="000000" w:themeColor="text1"/>
          <w:sz w:val="22"/>
          <w:szCs w:val="22"/>
        </w:rPr>
      </w:pPr>
    </w:p>
    <w:p w14:paraId="511A6FCB" w14:textId="77777777" w:rsidR="00FC265C" w:rsidRPr="008D27BD" w:rsidRDefault="00000000" w:rsidP="00744E67">
      <w:pPr>
        <w:pStyle w:val="Heading2"/>
        <w:jc w:val="both"/>
        <w:rPr>
          <w:color w:val="000000" w:themeColor="text1"/>
        </w:rPr>
      </w:pPr>
      <w:r>
        <w:rPr>
          <w:color w:val="000000" w:themeColor="text1"/>
        </w:rPr>
        <w:t>RECITALS</w:t>
      </w:r>
    </w:p>
    <w:p w14:paraId="7E3FA984" w14:textId="1518D96C" w:rsidR="00FC265C" w:rsidRPr="008D27BD" w:rsidRDefault="00000000" w:rsidP="00744E67">
      <w:pPr>
        <w:pStyle w:val="ListParagraph"/>
        <w:numPr>
          <w:ilvl w:val="0"/>
          <w:numId w:val="3"/>
        </w:numPr>
        <w:spacing w:before="60" w:after="60"/>
        <w:ind w:left="567" w:hanging="567"/>
        <w:jc w:val="both"/>
        <w:rPr>
          <w:color w:val="000000" w:themeColor="text1"/>
          <w:sz w:val="22"/>
          <w:szCs w:val="22"/>
        </w:rPr>
      </w:pPr>
      <w:r>
        <w:rPr>
          <w:color w:val="000000" w:themeColor="text1"/>
          <w:sz w:val="22"/>
          <w:szCs w:val="22"/>
        </w:rPr>
        <w:t>Customer wishes to use TrueFoundry's platform and services for the deployment of applications, machine learning models, and large language models (the "Services").</w:t>
      </w:r>
    </w:p>
    <w:p w14:paraId="6B5726EF" w14:textId="6E643B63" w:rsidR="00FC265C" w:rsidRPr="008D27BD" w:rsidRDefault="00000000" w:rsidP="00744E67">
      <w:pPr>
        <w:pStyle w:val="ListParagraph"/>
        <w:numPr>
          <w:ilvl w:val="0"/>
          <w:numId w:val="3"/>
        </w:numPr>
        <w:spacing w:before="60" w:after="60"/>
        <w:ind w:left="567" w:hanging="567"/>
        <w:jc w:val="both"/>
        <w:rPr>
          <w:color w:val="000000" w:themeColor="text1"/>
          <w:sz w:val="22"/>
          <w:szCs w:val="22"/>
        </w:rPr>
      </w:pPr>
      <w:r>
        <w:rPr>
          <w:color w:val="000000" w:themeColor="text1"/>
          <w:sz w:val="22"/>
          <w:szCs w:val="22"/>
        </w:rPr>
        <w:t>In the course of providing the Services, TrueFoundry may Process Personal Data on behalf of Customer as a data processor or service provider under Applicable Data Protection Laws.</w:t>
      </w:r>
    </w:p>
    <w:p w14:paraId="097D93F1" w14:textId="60212F29" w:rsidR="00FC265C" w:rsidRPr="008D27BD" w:rsidRDefault="00000000" w:rsidP="00744E67">
      <w:pPr>
        <w:pStyle w:val="ListParagraph"/>
        <w:numPr>
          <w:ilvl w:val="0"/>
          <w:numId w:val="3"/>
        </w:numPr>
        <w:spacing w:before="60" w:after="60"/>
        <w:ind w:left="567" w:hanging="567"/>
        <w:jc w:val="both"/>
        <w:rPr>
          <w:color w:val="000000" w:themeColor="text1"/>
          <w:sz w:val="22"/>
          <w:szCs w:val="22"/>
        </w:rPr>
      </w:pPr>
      <w:r>
        <w:rPr>
          <w:color w:val="000000" w:themeColor="text1"/>
          <w:sz w:val="22"/>
          <w:szCs w:val="22"/>
        </w:rPr>
        <w:t>The Parties wish to set out their respective rights and obligations with respect to the Processing of Personal Data in accordance with Applicable Data Protection Laws.</w:t>
      </w:r>
    </w:p>
    <w:p w14:paraId="31A1346E" w14:textId="77777777" w:rsidR="00FC265C" w:rsidRPr="008D27BD" w:rsidRDefault="00FC265C" w:rsidP="00744E67">
      <w:pPr>
        <w:spacing w:before="40" w:after="40"/>
        <w:jc w:val="both"/>
        <w:rPr>
          <w:color w:val="000000" w:themeColor="text1"/>
          <w:sz w:val="22"/>
          <w:szCs w:val="22"/>
        </w:rPr>
      </w:pPr>
    </w:p>
    <w:p w14:paraId="10653C6D"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NOW, THEREFORE, in consideration of the mutual covenants and agreements set forth herein, and for good and valuable consideration, the receipt and sufficiency of which are hereby acknowledged, the Parties agree as follows:</w:t>
      </w:r>
    </w:p>
    <w:p w14:paraId="258EC202" w14:textId="7FC5D6CC" w:rsidR="00FC265C" w:rsidRPr="008D27BD" w:rsidRDefault="00000000" w:rsidP="00744E67">
      <w:pPr>
        <w:pStyle w:val="Heading1"/>
        <w:numPr>
          <w:ilvl w:val="0"/>
          <w:numId w:val="6"/>
        </w:numPr>
        <w:pBdr>
          <w:bottom w:val="none" w:sz="0" w:space="0" w:color="auto"/>
        </w:pBdr>
        <w:ind w:left="567" w:hanging="567"/>
        <w:jc w:val="both"/>
        <w:rPr>
          <w:color w:val="000000" w:themeColor="text1"/>
          <w:sz w:val="22"/>
          <w:szCs w:val="22"/>
        </w:rPr>
      </w:pPr>
      <w:r>
        <w:rPr>
          <w:color w:val="000000" w:themeColor="text1"/>
          <w:sz w:val="22"/>
          <w:szCs w:val="22"/>
        </w:rPr>
        <w:t>DEFINITIONS</w:t>
      </w:r>
    </w:p>
    <w:p w14:paraId="23A55C32" w14:textId="19CEBC70" w:rsidR="008D27BD" w:rsidRPr="008D27BD" w:rsidRDefault="00000000" w:rsidP="00744E67">
      <w:pPr>
        <w:pStyle w:val="ListParagraph"/>
        <w:numPr>
          <w:ilvl w:val="1"/>
          <w:numId w:val="5"/>
        </w:numPr>
        <w:spacing w:before="80" w:after="80"/>
        <w:jc w:val="both"/>
        <w:rPr>
          <w:color w:val="000000" w:themeColor="text1"/>
          <w:sz w:val="22"/>
          <w:szCs w:val="22"/>
        </w:rPr>
      </w:pPr>
      <w:r>
        <w:rPr>
          <w:color w:val="000000" w:themeColor="text1"/>
          <w:sz w:val="22"/>
          <w:szCs w:val="22"/>
        </w:rPr>
        <w:t>Capitalised terms used but not defined in this DPA have the meanings given in the Agreement. The following terms have the meanings set out below:</w:t>
      </w:r>
    </w:p>
    <w:p w14:paraId="1DD62985" w14:textId="0EC7D790"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"Applicable Data Protection Laws"  </w:t>
      </w:r>
      <w:r>
        <w:rPr>
          <w:color w:val="000000" w:themeColor="text1"/>
          <w:sz w:val="22"/>
          <w:szCs w:val="22"/>
        </w:rPr>
        <w:t>means all applicable laws, regulations, and governmental requirements relating to the privacy, security, confidentiality, or Processing of Personal Data that apply to either Party, including without limitation: (a) the EU General Data Protection Regulation (EU) 2016/679 ("EU GDPR"); (b) the UK General Data Protection Regulation and Data Protection Act 2018 ("UK GDPR"); (c) the California Consumer Privacy Act of 2018 as amended by the California Privacy Rights Act of 2020 ("CCPA/CPRA"); (d) the Digital Personal Data Protection Act, 2023 of India ("DPDP Act"); (e) the U.S. Gramm-Leach-Bliley Act ("GLBA"), to the extent applicable; and (f) any other applicable data protection, privacy, or security laws, as amended or updated from time to time.</w:t>
      </w:r>
    </w:p>
    <w:p w14:paraId="3C0382BF"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"Controller"  </w:t>
      </w:r>
      <w:r>
        <w:rPr>
          <w:color w:val="000000" w:themeColor="text1"/>
          <w:sz w:val="22"/>
          <w:szCs w:val="22"/>
        </w:rPr>
        <w:t>has the meaning given in Applicable Data Protection Laws and, for purposes of this DPA, refers to Customer.</w:t>
      </w:r>
    </w:p>
    <w:p w14:paraId="6DBBB266"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lastRenderedPageBreak/>
        <w:t xml:space="preserve">"Controller Affiliate"  </w:t>
      </w:r>
      <w:r>
        <w:rPr>
          <w:color w:val="000000" w:themeColor="text1"/>
          <w:sz w:val="22"/>
          <w:szCs w:val="22"/>
        </w:rPr>
        <w:t>means an Affiliate of Customer that is a beneficiary of the Agreement.</w:t>
      </w:r>
    </w:p>
    <w:p w14:paraId="54B7EB2A"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"Covered Data"  </w:t>
      </w:r>
      <w:r>
        <w:rPr>
          <w:color w:val="000000" w:themeColor="text1"/>
          <w:sz w:val="22"/>
          <w:szCs w:val="22"/>
        </w:rPr>
        <w:t>means Personal Data and other data that is: (a) provided by or on behalf of Customer to TrueFoundry in connection with the Services; or (b) obtained, developed, produced, or otherwise Processed by TrueFoundry, or its agents or Sub-processors, for the purpose of providing the Services.</w:t>
      </w:r>
    </w:p>
    <w:p w14:paraId="2EC58AB1" w14:textId="768ECBE4"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"Data Protection Authority" </w:t>
      </w:r>
      <w:r>
        <w:rPr>
          <w:color w:val="000000" w:themeColor="text1"/>
          <w:sz w:val="22"/>
          <w:szCs w:val="22"/>
        </w:rPr>
        <w:t>means any competent supervisory authority or regulatory body responsible for enforcing Applicable Data Protection Laws.</w:t>
      </w:r>
    </w:p>
    <w:p w14:paraId="6B66795F"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"Data Subject"  </w:t>
      </w:r>
      <w:r>
        <w:rPr>
          <w:color w:val="000000" w:themeColor="text1"/>
          <w:sz w:val="22"/>
          <w:szCs w:val="22"/>
        </w:rPr>
        <w:t>means a natural person whose Personal Data is Processed under this DPA.</w:t>
      </w:r>
    </w:p>
    <w:p w14:paraId="554B1FE1"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"Data Subject Request"  </w:t>
      </w:r>
      <w:r>
        <w:rPr>
          <w:color w:val="000000" w:themeColor="text1"/>
          <w:sz w:val="22"/>
          <w:szCs w:val="22"/>
        </w:rPr>
        <w:t>means a request made by a Data Subject to exercise any right available to them under Applicable Data Protection Laws.</w:t>
      </w:r>
    </w:p>
    <w:p w14:paraId="3E12EA02"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"De-identified Data"  </w:t>
      </w:r>
      <w:r>
        <w:rPr>
          <w:color w:val="000000" w:themeColor="text1"/>
          <w:sz w:val="22"/>
          <w:szCs w:val="22"/>
        </w:rPr>
        <w:t>means data derived from Covered Data that cannot reasonably be used to infer information about, or be linked to, a particular individual.</w:t>
      </w:r>
    </w:p>
    <w:p w14:paraId="76A81E72"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"EEA"  </w:t>
      </w:r>
      <w:r>
        <w:rPr>
          <w:color w:val="000000" w:themeColor="text1"/>
          <w:sz w:val="22"/>
          <w:szCs w:val="22"/>
        </w:rPr>
        <w:t>means the European Economic Area.</w:t>
      </w:r>
    </w:p>
    <w:p w14:paraId="2AA505CF" w14:textId="19578095"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"InfoSec Programme"  </w:t>
      </w:r>
      <w:r>
        <w:rPr>
          <w:color w:val="000000" w:themeColor="text1"/>
          <w:sz w:val="22"/>
          <w:szCs w:val="22"/>
        </w:rPr>
        <w:t>has the meaning given in Article 7.1 of this DPA.</w:t>
      </w:r>
    </w:p>
    <w:p w14:paraId="17DC9C8F"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"Personal Data"  </w:t>
      </w:r>
      <w:r>
        <w:rPr>
          <w:color w:val="000000" w:themeColor="text1"/>
          <w:sz w:val="22"/>
          <w:szCs w:val="22"/>
        </w:rPr>
        <w:t>means any data or information that identifies, relates to, describes, is reasonably capable of being associated with, or could reasonably be linked, directly or indirectly, to an identified or identifiable natural person, as further defined under Applicable Data Protection Laws.</w:t>
      </w:r>
    </w:p>
    <w:p w14:paraId="056EE2EF"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"Personal Data Breach" or "Security Incident"  </w:t>
      </w:r>
      <w:r>
        <w:rPr>
          <w:color w:val="000000" w:themeColor="text1"/>
          <w:sz w:val="22"/>
          <w:szCs w:val="22"/>
        </w:rPr>
        <w:t>means any breach of security leading to the accidental or unlawful destruction, loss, theft, alteration, corruption, unavailability, unauthorised disclosure of, or access to, Covered Data transmitted, stored, or otherwise Processed by TrueFoundry or its Sub-processors.</w:t>
      </w:r>
    </w:p>
    <w:p w14:paraId="0A049B28"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"Processing"  </w:t>
      </w:r>
      <w:r>
        <w:rPr>
          <w:color w:val="000000" w:themeColor="text1"/>
          <w:sz w:val="22"/>
          <w:szCs w:val="22"/>
        </w:rPr>
        <w:t>means any operation or set of operations performed on Covered Data, whether or not by automated means, including collection, recording, organisation, structuring, storage, adaptation, retrieval, consultation, use, disclosure by transmission, dissemination or otherwise making available, alignment, combination, restriction, erasure, or destruction. "Process," "Processes," and "Processed" shall be construed accordingly.</w:t>
      </w:r>
    </w:p>
    <w:p w14:paraId="6DC10713"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"Processor"  </w:t>
      </w:r>
      <w:r>
        <w:rPr>
          <w:color w:val="000000" w:themeColor="text1"/>
          <w:sz w:val="22"/>
          <w:szCs w:val="22"/>
        </w:rPr>
        <w:t>has the meaning given in Applicable Data Protection Laws and, for purposes of this DPA, refers to TrueFoundry.</w:t>
      </w:r>
    </w:p>
    <w:p w14:paraId="213950ED"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"Services"  </w:t>
      </w:r>
      <w:r>
        <w:rPr>
          <w:color w:val="000000" w:themeColor="text1"/>
          <w:sz w:val="22"/>
          <w:szCs w:val="22"/>
        </w:rPr>
        <w:t>means the platform and professional services provided by TrueFoundry to Customer under the Agreement, including the deployment of applications, machine learning models, large language models, and all related ancillary services.</w:t>
      </w:r>
    </w:p>
    <w:p w14:paraId="2EE252AA"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"Standard Contractual Clauses" or "SCCs"  </w:t>
      </w:r>
      <w:r>
        <w:rPr>
          <w:color w:val="000000" w:themeColor="text1"/>
          <w:sz w:val="22"/>
          <w:szCs w:val="22"/>
        </w:rPr>
        <w:t>means: (a) the standard contractual clauses for the transfer of personal data to third countries adopted by the European Commission pursuant to Commission Implementing Decision (EU) 2021/914 (Module 2: Controller-to-Processor), as may be amended from time to time; and (b) any equivalent approved mechanism under UK GDPR or other Applicable Data Protection Laws, as applicable.</w:t>
      </w:r>
    </w:p>
    <w:p w14:paraId="3B8A10EF" w14:textId="77777777" w:rsidR="00FC265C" w:rsidRPr="008D27BD" w:rsidRDefault="00000000" w:rsidP="00744E67">
      <w:pPr>
        <w:pStyle w:val="ListParagraph"/>
        <w:numPr>
          <w:ilvl w:val="2"/>
          <w:numId w:val="5"/>
        </w:numPr>
        <w:spacing w:before="80" w:after="80"/>
        <w:ind w:left="1134" w:hanging="567"/>
        <w:jc w:val="both"/>
        <w:rPr>
          <w:color w:val="000000" w:themeColor="text1"/>
          <w:sz w:val="22"/>
          <w:szCs w:val="22"/>
        </w:rPr>
      </w:pPr>
      <w:r>
        <w:rPr>
          <w:b/>
          <w:bCs/>
          <w:color w:val="000000" w:themeColor="text1"/>
          <w:sz w:val="22"/>
          <w:szCs w:val="22"/>
        </w:rPr>
        <w:t xml:space="preserve">"Sub-processor"  </w:t>
      </w:r>
      <w:r>
        <w:rPr>
          <w:color w:val="000000" w:themeColor="text1"/>
          <w:sz w:val="22"/>
          <w:szCs w:val="22"/>
        </w:rPr>
        <w:t>means any Processor engaged by TrueFoundry (or by any other Sub-processor of TrueFoundry) to Process Covered Data on TrueFoundry's behalf in connection with the Services.</w:t>
      </w:r>
    </w:p>
    <w:p w14:paraId="5FC49577" w14:textId="77777777" w:rsid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RELATIONSHIP TO THE AGREEMENT</w:t>
      </w:r>
    </w:p>
    <w:p w14:paraId="4AB96552" w14:textId="31D55257" w:rsidR="00FC265C" w:rsidRPr="008D27BD"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This DPA is incorporated into and forms an integral part of the Agreement. In the event of any conflict or inconsistency between this DPA and the Agreement with respect to the Processing of Covered Data, this DPA shall prevail.</w:t>
      </w:r>
    </w:p>
    <w:p w14:paraId="4570DA3F" w14:textId="53CD1475" w:rsidR="00FC265C" w:rsidRPr="008D27BD"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lastRenderedPageBreak/>
        <w:t>Any Processing operation described in the Agreement, in Article 4 (Details of Data Processing), or in Schedule 1 to this DPA shall be subject to this DPA.</w:t>
      </w:r>
    </w:p>
    <w:p w14:paraId="15718C77" w14:textId="33295E8E" w:rsidR="00FC265C" w:rsidRPr="008D27BD"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Controller Affiliates may be beneficiaries under this DPA and shall, through Customer, be entitled to enforce rights in relation to Covered Data provided by or on behalf of such Affiliate. Customer shall ensure that all obligations applicable to Customer under this DPA are communicated to and complied with by the respective Controller Affiliate.</w:t>
      </w:r>
    </w:p>
    <w:p w14:paraId="40266216" w14:textId="6595E231" w:rsidR="00FC265C" w:rsidRPr="008D27BD"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Customer warrants that it is duly mandated by any Controller Affiliates on whose behalf TrueFoundry Processes Covered Data to: (a) enforce the terms of this DPA on behalf of such Controller Affiliates; and (b) receive and respond to any notices or communications under this DPA on behalf of such Controller Affiliates.</w:t>
      </w:r>
    </w:p>
    <w:p w14:paraId="24BDC5D1" w14:textId="49353201" w:rsidR="00FC265C" w:rsidRPr="008D27BD"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Customer shall be the sole point of contact for all communications between Controller Affiliates and TrueFoundry under this DPA.</w:t>
      </w:r>
    </w:p>
    <w:p w14:paraId="1F5AA40A" w14:textId="282C0046"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ROLES OF THE PARTIES</w:t>
      </w:r>
    </w:p>
    <w:p w14:paraId="6F9AE68C" w14:textId="77777777" w:rsid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The Parties acknowledge and agree that:</w:t>
      </w:r>
    </w:p>
    <w:p w14:paraId="74E6F6D8" w14:textId="0E0BA3E3" w:rsidR="00FC265C" w:rsidRPr="00944A53" w:rsidRDefault="00000000" w:rsidP="00744E67">
      <w:pPr>
        <w:pStyle w:val="Heading1"/>
        <w:numPr>
          <w:ilvl w:val="2"/>
          <w:numId w:val="6"/>
        </w:numPr>
        <w:pBdr>
          <w:bottom w:val="none" w:sz="0" w:space="0" w:color="auto"/>
        </w:pBdr>
        <w:spacing w:before="0"/>
        <w:ind w:left="1134" w:hanging="567"/>
        <w:jc w:val="both"/>
        <w:rPr>
          <w:b w:val="0"/>
          <w:bCs w:val="0"/>
          <w:color w:val="000000" w:themeColor="text1"/>
          <w:sz w:val="22"/>
          <w:szCs w:val="22"/>
        </w:rPr>
      </w:pPr>
      <w:r>
        <w:rPr>
          <w:b w:val="0"/>
          <w:bCs w:val="0"/>
          <w:color w:val="000000" w:themeColor="text1"/>
          <w:sz w:val="22"/>
          <w:szCs w:val="22"/>
        </w:rPr>
        <w:t>for purposes of Applicable Data Protection Laws, TrueFoundry acts as a "Processor," "service provider," or the substantial equivalent thereof in connection with its performance of the Services; and</w:t>
      </w:r>
    </w:p>
    <w:p w14:paraId="5B98A897" w14:textId="1F59744E" w:rsidR="00FC265C" w:rsidRPr="00944A53" w:rsidRDefault="00000000" w:rsidP="00744E67">
      <w:pPr>
        <w:pStyle w:val="Heading1"/>
        <w:numPr>
          <w:ilvl w:val="2"/>
          <w:numId w:val="6"/>
        </w:numPr>
        <w:pBdr>
          <w:bottom w:val="none" w:sz="0" w:space="0" w:color="auto"/>
        </w:pBdr>
        <w:spacing w:before="0"/>
        <w:ind w:left="1134" w:hanging="567"/>
        <w:jc w:val="both"/>
        <w:rPr>
          <w:b w:val="0"/>
          <w:bCs w:val="0"/>
          <w:color w:val="000000" w:themeColor="text1"/>
          <w:sz w:val="22"/>
          <w:szCs w:val="22"/>
        </w:rPr>
      </w:pPr>
      <w:r>
        <w:rPr>
          <w:b w:val="0"/>
          <w:bCs w:val="0"/>
          <w:color w:val="000000" w:themeColor="text1"/>
          <w:sz w:val="22"/>
          <w:szCs w:val="22"/>
        </w:rPr>
        <w:t>for purposes of Applicable Data Protection Laws, Customer acts as a "Controller," "business," or the substantial equivalent thereof in connection with its obligations under the Agreement and this DPA.</w:t>
      </w:r>
    </w:p>
    <w:p w14:paraId="0A8886E5" w14:textId="6BABC28B"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Where TrueFoundry Processes Covered Data for its own independent business purposes (such as maintaining billing records, ensuring system security, or preventing fraud), it does so as an independent Controller for those purposes, and this DPA shall not apply to such Processing.</w:t>
      </w:r>
    </w:p>
    <w:p w14:paraId="32ABB118" w14:textId="77777777" w:rsidR="00FC265C" w:rsidRPr="008D27BD" w:rsidRDefault="00FC265C" w:rsidP="00744E67">
      <w:pPr>
        <w:spacing w:before="40" w:after="40"/>
        <w:jc w:val="both"/>
        <w:rPr>
          <w:color w:val="000000" w:themeColor="text1"/>
          <w:sz w:val="22"/>
          <w:szCs w:val="22"/>
        </w:rPr>
      </w:pPr>
    </w:p>
    <w:p w14:paraId="398B7CFA" w14:textId="77777777" w:rsidR="00944A53"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DETAILS OF DATA PROCESSING</w:t>
      </w:r>
    </w:p>
    <w:p w14:paraId="7A5A646E" w14:textId="39CE4721"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The details of the Processing of Covered Data under this DPA — including subject matter, nature, purpose, types of Personal Data, categories of Data Subjects, and duration — are set out in Schedule 1 to this DPA.</w:t>
      </w:r>
    </w:p>
    <w:p w14:paraId="78CBBCAE" w14:textId="0945016B"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TrueFoundry shall only Process Covered Data on behalf of, and in accordance with the documented instructions of, Customer, and shall comply with all Applicable Data Protection Laws. The Agreement, this DPA, and Schedule 1 constitute the primary documented instructions for the Processing of Covered Data. Customer may issue further written instructions in accordance with this DPA.</w:t>
      </w:r>
    </w:p>
    <w:p w14:paraId="3B124EA1" w14:textId="4D3EFBFA"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TrueFoundry is expressly prohibited from:</w:t>
      </w:r>
    </w:p>
    <w:p w14:paraId="485F5439" w14:textId="1F4316A6" w:rsidR="00FC265C" w:rsidRPr="00944A53" w:rsidRDefault="00000000" w:rsidP="00744E67">
      <w:pPr>
        <w:pStyle w:val="ListParagraph"/>
        <w:numPr>
          <w:ilvl w:val="1"/>
          <w:numId w:val="9"/>
        </w:numPr>
        <w:spacing w:before="60" w:after="60"/>
        <w:ind w:left="1134" w:hanging="567"/>
        <w:jc w:val="both"/>
        <w:rPr>
          <w:color w:val="000000" w:themeColor="text1"/>
          <w:sz w:val="22"/>
          <w:szCs w:val="22"/>
        </w:rPr>
      </w:pPr>
      <w:r>
        <w:rPr>
          <w:color w:val="000000" w:themeColor="text1"/>
          <w:sz w:val="22"/>
          <w:szCs w:val="22"/>
        </w:rPr>
        <w:t>selling Covered Data or otherwise making Covered Data available to any third party for monetary or other valuable consideration;</w:t>
      </w:r>
    </w:p>
    <w:p w14:paraId="0C2EF177" w14:textId="4BC08E5A" w:rsidR="00FC265C" w:rsidRPr="00944A53" w:rsidRDefault="00000000" w:rsidP="00744E67">
      <w:pPr>
        <w:pStyle w:val="ListParagraph"/>
        <w:numPr>
          <w:ilvl w:val="1"/>
          <w:numId w:val="9"/>
        </w:numPr>
        <w:spacing w:before="60" w:after="60"/>
        <w:ind w:left="1134" w:hanging="567"/>
        <w:jc w:val="both"/>
        <w:rPr>
          <w:color w:val="000000" w:themeColor="text1"/>
          <w:sz w:val="22"/>
          <w:szCs w:val="22"/>
        </w:rPr>
      </w:pPr>
      <w:r>
        <w:rPr>
          <w:color w:val="000000" w:themeColor="text1"/>
          <w:sz w:val="22"/>
          <w:szCs w:val="22"/>
        </w:rPr>
        <w:t>sharing Covered Data with any third party for cross-context behavioural advertising or targeted advertising;</w:t>
      </w:r>
    </w:p>
    <w:p w14:paraId="7FF22523" w14:textId="29174AEB" w:rsidR="00FC265C" w:rsidRPr="00944A53" w:rsidRDefault="00000000" w:rsidP="00744E67">
      <w:pPr>
        <w:pStyle w:val="ListParagraph"/>
        <w:numPr>
          <w:ilvl w:val="1"/>
          <w:numId w:val="9"/>
        </w:numPr>
        <w:spacing w:before="60" w:after="60"/>
        <w:ind w:left="1134" w:hanging="567"/>
        <w:jc w:val="both"/>
        <w:rPr>
          <w:color w:val="000000" w:themeColor="text1"/>
          <w:sz w:val="22"/>
          <w:szCs w:val="22"/>
        </w:rPr>
      </w:pPr>
      <w:r>
        <w:rPr>
          <w:color w:val="000000" w:themeColor="text1"/>
          <w:sz w:val="22"/>
          <w:szCs w:val="22"/>
        </w:rPr>
        <w:t>retaining, using, or disclosing Covered Data for any purpose other than the purposes specified in Schedule 1, or as otherwise expressly permitted by Applicable Data Protection Laws;</w:t>
      </w:r>
    </w:p>
    <w:p w14:paraId="0787B7CA" w14:textId="39428A3D" w:rsidR="00FC265C" w:rsidRPr="00944A53" w:rsidRDefault="00000000" w:rsidP="00744E67">
      <w:pPr>
        <w:pStyle w:val="ListParagraph"/>
        <w:numPr>
          <w:ilvl w:val="1"/>
          <w:numId w:val="9"/>
        </w:numPr>
        <w:spacing w:before="60" w:after="60"/>
        <w:ind w:left="1134" w:hanging="567"/>
        <w:jc w:val="both"/>
        <w:rPr>
          <w:color w:val="000000" w:themeColor="text1"/>
          <w:sz w:val="22"/>
          <w:szCs w:val="22"/>
        </w:rPr>
      </w:pPr>
      <w:r>
        <w:rPr>
          <w:color w:val="000000" w:themeColor="text1"/>
          <w:sz w:val="22"/>
          <w:szCs w:val="22"/>
        </w:rPr>
        <w:t>retaining, using, or disclosing Covered Data outside the direct business relationship between the Parties; and</w:t>
      </w:r>
    </w:p>
    <w:p w14:paraId="7CA26E76" w14:textId="551D115C" w:rsidR="00FC265C" w:rsidRPr="00944A53" w:rsidRDefault="00000000" w:rsidP="00744E67">
      <w:pPr>
        <w:pStyle w:val="ListParagraph"/>
        <w:numPr>
          <w:ilvl w:val="1"/>
          <w:numId w:val="9"/>
        </w:numPr>
        <w:spacing w:before="60" w:after="60"/>
        <w:ind w:left="1134" w:hanging="567"/>
        <w:jc w:val="both"/>
        <w:rPr>
          <w:color w:val="000000" w:themeColor="text1"/>
          <w:sz w:val="22"/>
          <w:szCs w:val="22"/>
        </w:rPr>
      </w:pPr>
      <w:r>
        <w:rPr>
          <w:color w:val="000000" w:themeColor="text1"/>
          <w:sz w:val="22"/>
          <w:szCs w:val="22"/>
        </w:rPr>
        <w:t>combining Covered Data with Personal Data received from other persons or collected from TrueFoundry's own interaction with Data Subjects, except as permitted by Applicable Data Protection Laws.</w:t>
      </w:r>
    </w:p>
    <w:p w14:paraId="00000010" w14:textId="2812A2E1" w:rsidR="00B65529" w:rsidRDefault="00000000" w:rsidP="00744E67">
      <w:pPr>
        <w:pStyle w:val="ListParagraph"/>
        <w:numPr>
          <w:ilvl w:val="1"/>
          <w:numId w:val="9"/>
        </w:numPr>
        <w:spacing w:before="60" w:after="60"/>
        <w:ind w:left="1134" w:hanging="567"/>
        <w:jc w:val="both"/>
        <w:rPr>
          <w:color w:val="000000" w:themeColor="text1"/>
          <w:sz w:val="22"/>
          <w:szCs w:val="22"/>
        </w:rPr>
      </w:pPr>
      <w:r>
        <w:rPr>
          <w:color w:val="000000" w:themeColor="text1"/>
          <w:sz w:val="22"/>
          <w:szCs w:val="22"/>
        </w:rPr>
        <w:lastRenderedPageBreak/>
        <w:t>retaining, using, or disclosing Covered Data for any commercial purpose (as that term is defined under the California Consumer Privacy Act of 2018 as amended by the California Privacy Rights Act of 2020) or for any purpose other than performing the Services on Customer's behalf. TrueFoundry hereby certifies that it understands the restrictions applicable to service providers under the CCPA/CPRA and will comply with them.</w:t>
      </w:r>
    </w:p>
    <w:p w14:paraId="7E7499E7" w14:textId="7F50C4DA"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TrueFoundry shall limit access to Covered Data to personnel with a legitimate business need, and shall ensure that all such personnel are bound by appropriate confidentiality obligations at least as protective as this DPA.</w:t>
      </w:r>
    </w:p>
    <w:p w14:paraId="5A41287B" w14:textId="29490668"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If TrueFoundry believes Customer's instructions infringe Applicable Data Protection Laws, it shall promptly notify Customer. TrueFoundry may suspend the relevant Processing until Customer provides lawful instructions and shall not be in breach of this DPA for doing so.</w:t>
      </w:r>
    </w:p>
    <w:p w14:paraId="10BAD060" w14:textId="5AEF0EA3"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TrueFoundry shall provide Customer with such information as is available to it to enable Customer to conduct any data protection impact assessments required under Applicable Data Protection Laws.</w:t>
      </w:r>
    </w:p>
    <w:p w14:paraId="39E2604E" w14:textId="3D355BF5"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A failure by TrueFoundry to comply with this Article 4 shall constitute a material breach of the Agreement.</w:t>
      </w:r>
    </w:p>
    <w:p w14:paraId="3C955DD0" w14:textId="085F0499"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TRUEFOUNDRY'S OBLIGATIONS AS PROCESSOR</w:t>
      </w:r>
    </w:p>
    <w:p w14:paraId="493CC75C" w14:textId="240229D1"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Instructions.  TrueFoundry shall Process Covered Data only in accordance with Customer's documented instructions, as set out in the Agreement, this DPA, and Schedule 1, unless required to do otherwise by Applicable Data Protection Laws (in which case TrueFoundry shall, unless prohibited, notify Customer before such Processing).</w:t>
      </w:r>
    </w:p>
    <w:p w14:paraId="3BB8E33F" w14:textId="0726F73D"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Confidentiality.  TrueFoundry shall ensure that all personnel authorised to Process Covered Data are bound by appropriate confidentiality obligations (whether by contract or statute) and are informed of the confidential nature of Covered Data.</w:t>
      </w:r>
    </w:p>
    <w:p w14:paraId="3EF2C506" w14:textId="499792AE"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Security.  TrueFoundry shall implement and maintain appropriate technical and organisational measures to protect Covered Data against Personal Data Breaches, as described in Article 7 of this DPA.</w:t>
      </w:r>
    </w:p>
    <w:p w14:paraId="027D488E" w14:textId="1BA998CA"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Sub-processors.  TrueFoundry shall comply with the Sub-processor management obligations set out in Article 8 of this DPA.</w:t>
      </w:r>
    </w:p>
    <w:p w14:paraId="1B552D1B" w14:textId="395EDFED"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Data Subject Rights Assistance.  TrueFoundry shall provide reasonable technical and organisational assistance to enable Customer to respond to Data Subject Requests within applicable statutory timeframes. TrueFoundry shall, within five (5) business days of receipt, forward to Customer any Data Subject Request received directly by TrueFoundry and advise the Data Subject to submit their request to Customer.</w:t>
      </w:r>
    </w:p>
    <w:p w14:paraId="2DB01D29" w14:textId="04A94B6E"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Impact Assessments.  Upon Customer's reasonable written request, TrueFoundry shall provide reasonable assistance to Customer in conducting data protection impact assessments and carrying out prior consultations with Data Protection Authorities.</w:t>
      </w:r>
    </w:p>
    <w:p w14:paraId="585B68C9" w14:textId="6A69B0F7"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Deletion and Return.  Upon expiry or termination of the Agreement, or earlier at Customer's written request, TrueFoundry shall delete or return all Covered Data in accordance with Article 14.</w:t>
      </w:r>
    </w:p>
    <w:p w14:paraId="45CFDE61" w14:textId="1FDE0EF3"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Audit.  TrueFoundry shall make available to Customer all information reasonably necessary to demonstrate compliance with this DPA and shall permit audits in accordance with Article 12.</w:t>
      </w:r>
    </w:p>
    <w:p w14:paraId="6FD85E87" w14:textId="676AADF5"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Inability to Comply.  TrueFoundry shall promptly notify Customer if it determines it can no longer meet its obligations under this DPA or Applicable Data Protection Laws, and shall cooperate to address such inability.</w:t>
      </w:r>
    </w:p>
    <w:p w14:paraId="5AAF4FC9" w14:textId="75BE67AA"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CUSTOMER'S OBLIGATIONS</w:t>
      </w:r>
    </w:p>
    <w:p w14:paraId="129A1804" w14:textId="77777777" w:rsid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lastRenderedPageBreak/>
        <w:t>Customer warrants that: (a) it has a valid and lawful basis for Processing Personal Data; and (b) its instructions to TrueFoundry are and shall remain lawful.</w:t>
      </w:r>
    </w:p>
    <w:p w14:paraId="6F3E09D0" w14:textId="4C73D408"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Customer is solely responsible for ensuring Data Subjects have been provided with appropriate notices regarding the Processing of their Personal Data by TrueFoundry on Customer's behalf.</w:t>
      </w:r>
    </w:p>
    <w:p w14:paraId="3A0B5A96" w14:textId="5E053D7A"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Customer shall not upload or submit special categories of Personal Data (including health data, biometric data, racial or ethnic origin, political opinions, religious beliefs, genetic data, sexual orientation, or financial account information) without prior written agreement with TrueFoundry and, where required, appropriate additional safeguards.</w:t>
      </w:r>
    </w:p>
    <w:p w14:paraId="609F073B" w14:textId="1C6DFA0F"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Customer shall promptly notify TrueFoundry of any changes to its documented instructions that may affect TrueFoundry's Processing or compliance obligations.</w:t>
      </w:r>
    </w:p>
    <w:p w14:paraId="28153D4D" w14:textId="19DE73F0"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Customer may take reasonable steps — including audits and technical testing under Article 12 — to verify that TrueFoundry uses Covered Data consistently with Customer's Applicable Data Protection Law obligations.</w:t>
      </w:r>
    </w:p>
    <w:p w14:paraId="51DD85B1" w14:textId="7616FDA2"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INFORMATION SECURITY</w:t>
      </w:r>
    </w:p>
    <w:p w14:paraId="3A5EC585" w14:textId="4159E91F"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InfoSec Programme.  TrueFoundry shall create, implement, and maintain a comprehensive information security programme ("InfoSec Programme") including appropriate administrative, technical, and physical safeguards to protect the confidentiality, integrity, and availability of Covered Data. The InfoSec Programme shall be reviewed, updated, and tested at least annually.</w:t>
      </w:r>
    </w:p>
    <w:p w14:paraId="60CC6092" w14:textId="18D323DB"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Minimum Security Measures.  Without limiting Article 7.1, TrueFoundry implements and maintains the following:</w:t>
      </w:r>
    </w:p>
    <w:p w14:paraId="1BA1B867" w14:textId="4DF76A51" w:rsidR="00FC265C" w:rsidRPr="00944A53" w:rsidRDefault="00000000" w:rsidP="00744E67">
      <w:pPr>
        <w:pStyle w:val="ListParagraph"/>
        <w:numPr>
          <w:ilvl w:val="2"/>
          <w:numId w:val="6"/>
        </w:numPr>
        <w:spacing w:before="60" w:after="60"/>
        <w:ind w:left="1134" w:hanging="567"/>
        <w:jc w:val="both"/>
        <w:rPr>
          <w:color w:val="000000" w:themeColor="text1"/>
          <w:sz w:val="22"/>
          <w:szCs w:val="22"/>
        </w:rPr>
      </w:pPr>
      <w:r>
        <w:rPr>
          <w:color w:val="000000" w:themeColor="text1"/>
          <w:sz w:val="22"/>
          <w:szCs w:val="22"/>
        </w:rPr>
        <w:t>Encryption.  Covered Data encrypted at rest (AES-256 or equivalent) and in transit (TLS 1.2+).</w:t>
      </w:r>
      <w:r>
        <w:rPr>
          <w:color w:val="000000" w:themeColor="text1"/>
          <w:sz w:val="22"/>
          <w:szCs w:val="22"/>
        </w:rPr>
        <w:t xml:space="preserve"> Encryption standards are maintained in conformance with TrueFoundry’s SOC 2 Type II certification, HIPAA Security Rule requirements (where applicable), and OWASP cryptographic guidelines.</w:t>
      </w:r>
    </w:p>
    <w:p w14:paraId="262C0875" w14:textId="46ADDD84" w:rsidR="00FC265C" w:rsidRPr="008D27BD" w:rsidRDefault="00000000" w:rsidP="00744E67">
      <w:pPr>
        <w:pStyle w:val="ListParagraph"/>
        <w:numPr>
          <w:ilvl w:val="2"/>
          <w:numId w:val="6"/>
        </w:numPr>
        <w:spacing w:before="60" w:after="60"/>
        <w:ind w:left="1134" w:hanging="567"/>
        <w:jc w:val="both"/>
        <w:rPr>
          <w:color w:val="000000" w:themeColor="text1"/>
          <w:sz w:val="22"/>
          <w:szCs w:val="22"/>
        </w:rPr>
      </w:pPr>
      <w:r>
        <w:rPr>
          <w:color w:val="000000" w:themeColor="text1"/>
          <w:sz w:val="22"/>
          <w:szCs w:val="22"/>
        </w:rPr>
        <w:t>Access Controls.  Role-based, least-privilege access controls. Access privileges reviewed and re-authorised at least twice annually and promptly revoked when no longer required.</w:t>
      </w:r>
    </w:p>
    <w:p w14:paraId="024D3D76" w14:textId="5671CC15" w:rsidR="00FC265C" w:rsidRPr="008D27BD" w:rsidRDefault="00000000" w:rsidP="00744E67">
      <w:pPr>
        <w:pStyle w:val="ListParagraph"/>
        <w:numPr>
          <w:ilvl w:val="2"/>
          <w:numId w:val="6"/>
        </w:numPr>
        <w:spacing w:before="60" w:after="60"/>
        <w:ind w:left="1134" w:hanging="567"/>
        <w:jc w:val="both"/>
        <w:rPr>
          <w:color w:val="000000" w:themeColor="text1"/>
          <w:sz w:val="22"/>
          <w:szCs w:val="22"/>
        </w:rPr>
      </w:pPr>
      <w:r>
        <w:rPr>
          <w:color w:val="000000" w:themeColor="text1"/>
          <w:sz w:val="22"/>
          <w:szCs w:val="22"/>
        </w:rPr>
        <w:t>Authentication.  Multi-factor authentication required for all access to internal and customer-facing systems. Account lockout after a reasonable number of failed attempts.</w:t>
      </w:r>
    </w:p>
    <w:p w14:paraId="683B79E2" w14:textId="38F20F63" w:rsidR="00FC265C" w:rsidRPr="008D27BD" w:rsidRDefault="00000000" w:rsidP="00744E67">
      <w:pPr>
        <w:pStyle w:val="ListParagraph"/>
        <w:numPr>
          <w:ilvl w:val="2"/>
          <w:numId w:val="6"/>
        </w:numPr>
        <w:spacing w:before="60" w:after="60"/>
        <w:ind w:left="1134" w:hanging="567"/>
        <w:jc w:val="both"/>
        <w:rPr>
          <w:color w:val="000000" w:themeColor="text1"/>
          <w:sz w:val="22"/>
          <w:szCs w:val="22"/>
        </w:rPr>
      </w:pPr>
      <w:r>
        <w:rPr>
          <w:color w:val="000000" w:themeColor="text1"/>
          <w:sz w:val="22"/>
          <w:szCs w:val="22"/>
        </w:rPr>
        <w:t>Audit Logging.  Logs recording: timestamp, IP address of actor, username/API token, event outcome, and event description. Logs cover user activity, access control events, configuration changes, and data access events.</w:t>
      </w:r>
    </w:p>
    <w:p w14:paraId="4CBFBEC7" w14:textId="7B0E2538" w:rsidR="00FC265C" w:rsidRPr="008D27BD" w:rsidRDefault="00000000" w:rsidP="00744E67">
      <w:pPr>
        <w:pStyle w:val="ListParagraph"/>
        <w:numPr>
          <w:ilvl w:val="2"/>
          <w:numId w:val="6"/>
        </w:numPr>
        <w:spacing w:before="60" w:after="60"/>
        <w:ind w:left="1134" w:hanging="567"/>
        <w:jc w:val="both"/>
        <w:rPr>
          <w:color w:val="000000" w:themeColor="text1"/>
          <w:sz w:val="22"/>
          <w:szCs w:val="22"/>
        </w:rPr>
      </w:pPr>
      <w:r>
        <w:rPr>
          <w:color w:val="000000" w:themeColor="text1"/>
          <w:sz w:val="22"/>
          <w:szCs w:val="22"/>
        </w:rPr>
        <w:t>Vulnerability Management.  Periodic penetration testing and vulnerability scanning. Critical findings remediated within thirty (30) days of discovery.</w:t>
      </w:r>
    </w:p>
    <w:p w14:paraId="7306A371" w14:textId="418B7DCF" w:rsidR="00FC265C" w:rsidRPr="008D27BD" w:rsidRDefault="00000000" w:rsidP="00744E67">
      <w:pPr>
        <w:pStyle w:val="ListParagraph"/>
        <w:numPr>
          <w:ilvl w:val="2"/>
          <w:numId w:val="6"/>
        </w:numPr>
        <w:spacing w:before="60" w:after="60"/>
        <w:ind w:left="1134" w:hanging="567"/>
        <w:jc w:val="both"/>
        <w:rPr>
          <w:color w:val="000000" w:themeColor="text1"/>
          <w:sz w:val="22"/>
          <w:szCs w:val="22"/>
        </w:rPr>
      </w:pPr>
      <w:r>
        <w:rPr>
          <w:color w:val="000000" w:themeColor="text1"/>
          <w:sz w:val="22"/>
          <w:szCs w:val="22"/>
        </w:rPr>
        <w:t>Incident Response.  Documented incident response programme with regular training, at least annual tests and exercises, and annual reviews, aligned with industry best practices.</w:t>
      </w:r>
    </w:p>
    <w:p w14:paraId="60B92D5F" w14:textId="0C670476" w:rsidR="00FC265C" w:rsidRPr="008D27BD" w:rsidRDefault="00000000" w:rsidP="00744E67">
      <w:pPr>
        <w:pStyle w:val="ListParagraph"/>
        <w:numPr>
          <w:ilvl w:val="2"/>
          <w:numId w:val="6"/>
        </w:numPr>
        <w:spacing w:before="60" w:after="60"/>
        <w:ind w:left="1134" w:hanging="567"/>
        <w:jc w:val="both"/>
        <w:rPr>
          <w:color w:val="000000" w:themeColor="text1"/>
          <w:sz w:val="22"/>
          <w:szCs w:val="22"/>
        </w:rPr>
      </w:pPr>
      <w:r>
        <w:rPr>
          <w:color w:val="000000" w:themeColor="text1"/>
          <w:sz w:val="22"/>
          <w:szCs w:val="22"/>
        </w:rPr>
        <w:t>Technical Controls.  Firewall protection, identity lifecycle and access management automation, antivirus/malware protection, security patch management, and intrusion detection/prevention systems.</w:t>
      </w:r>
    </w:p>
    <w:p w14:paraId="3B0E7100" w14:textId="3C1635EB" w:rsidR="00FC265C" w:rsidRPr="008D27BD" w:rsidRDefault="00000000" w:rsidP="00744E67">
      <w:pPr>
        <w:pStyle w:val="ListParagraph"/>
        <w:numPr>
          <w:ilvl w:val="2"/>
          <w:numId w:val="6"/>
        </w:numPr>
        <w:spacing w:before="60" w:after="60"/>
        <w:ind w:left="1134" w:hanging="567"/>
        <w:jc w:val="both"/>
        <w:rPr>
          <w:color w:val="000000" w:themeColor="text1"/>
          <w:sz w:val="22"/>
          <w:szCs w:val="22"/>
        </w:rPr>
      </w:pPr>
      <w:r>
        <w:rPr>
          <w:color w:val="000000" w:themeColor="text1"/>
          <w:sz w:val="22"/>
          <w:szCs w:val="22"/>
        </w:rPr>
        <w:t>Physical Security.  Physical access to data storage and Processing locations restricted to authorised personnel with a demonstrable need.</w:t>
      </w:r>
    </w:p>
    <w:p w14:paraId="3411DE86" w14:textId="64CADA40" w:rsidR="00FC265C" w:rsidRPr="008D27BD" w:rsidRDefault="00000000" w:rsidP="00744E67">
      <w:pPr>
        <w:pStyle w:val="ListParagraph"/>
        <w:numPr>
          <w:ilvl w:val="2"/>
          <w:numId w:val="6"/>
        </w:numPr>
        <w:spacing w:before="60" w:after="60"/>
        <w:ind w:left="1134" w:hanging="567"/>
        <w:jc w:val="both"/>
        <w:rPr>
          <w:color w:val="000000" w:themeColor="text1"/>
          <w:sz w:val="22"/>
          <w:szCs w:val="22"/>
        </w:rPr>
      </w:pPr>
      <w:r>
        <w:rPr>
          <w:color w:val="000000" w:themeColor="text1"/>
          <w:sz w:val="22"/>
          <w:szCs w:val="22"/>
        </w:rPr>
        <w:t>Personnel Security.  Background screening prior to access to Covered Data. Ongoing security training and awareness programmes for all personnel.</w:t>
      </w:r>
    </w:p>
    <w:p w14:paraId="2C928622" w14:textId="7A59C22E" w:rsidR="00FC265C" w:rsidRPr="008D27BD" w:rsidRDefault="00000000" w:rsidP="00744E67">
      <w:pPr>
        <w:pStyle w:val="ListParagraph"/>
        <w:numPr>
          <w:ilvl w:val="2"/>
          <w:numId w:val="6"/>
        </w:numPr>
        <w:spacing w:before="60" w:after="60"/>
        <w:ind w:left="1134" w:hanging="567"/>
        <w:jc w:val="both"/>
        <w:rPr>
          <w:color w:val="000000" w:themeColor="text1"/>
          <w:sz w:val="22"/>
          <w:szCs w:val="22"/>
        </w:rPr>
      </w:pPr>
      <w:r>
        <w:rPr>
          <w:color w:val="000000" w:themeColor="text1"/>
          <w:sz w:val="22"/>
          <w:szCs w:val="22"/>
        </w:rPr>
        <w:t>Business Continuity.  Documented backup and disaster recovery policies to ensure availability, integrity, and recoverability of Covered Data.</w:t>
      </w:r>
    </w:p>
    <w:p w14:paraId="0C309CD3" w14:textId="27B67EAB"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lastRenderedPageBreak/>
        <w:t>Certification.  TrueFoundry maintains a SOC 2 Type II audit programme and operates in accordance with HIPAA Security Rule requirements and OWASP security standards. Current SOC 2 Type II reports are available to Customer under NDA upon written request. Where Customer requires HIPAA compliance, execution of a Business Associate Agreement (BAA) is a condition precedent to processing Protected Health Information.</w:t>
      </w:r>
    </w:p>
    <w:p w14:paraId="3FFCEF4B" w14:textId="1F262669"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Periodic Assessment.  TrueFoundry shall conduct annual risk assessments consistent with its SOC 2 Type II audit programme and HIPAA risk analysis obligations (where applicable). TrueFoundry shall engage an independent third party to review and validate information security controls pertaining to the Processing of Covered Data, with results made available to Customer under NDA upon written request.</w:t>
      </w:r>
    </w:p>
    <w:p w14:paraId="503F8B6F" w14:textId="159C5E24"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Material Breach.  A systemic or persistent failure to implement and maintain the controls in this Article 7, which failure is not remediated within thirty (30) days of written notice from Customer specifically identifying the deficiency, shall constitute a material breach of the Agreement.</w:t>
      </w:r>
    </w:p>
    <w:p w14:paraId="030E0FE6" w14:textId="77777777" w:rsidR="00944A53"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SUB-PROCESSORS</w:t>
      </w:r>
    </w:p>
    <w:p w14:paraId="74587B93" w14:textId="08FD9371" w:rsidR="00FC265C" w:rsidRPr="00944A53" w:rsidRDefault="00000000" w:rsidP="00744E67">
      <w:pPr>
        <w:pStyle w:val="Heading1"/>
        <w:numPr>
          <w:ilvl w:val="1"/>
          <w:numId w:val="6"/>
        </w:numPr>
        <w:pBdr>
          <w:bottom w:val="none" w:sz="0" w:space="0" w:color="auto"/>
        </w:pBdr>
        <w:spacing w:before="0"/>
        <w:ind w:left="567" w:hanging="567"/>
        <w:jc w:val="both"/>
        <w:rPr>
          <w:color w:val="000000" w:themeColor="text1"/>
          <w:sz w:val="22"/>
          <w:szCs w:val="22"/>
        </w:rPr>
      </w:pPr>
      <w:r>
        <w:rPr>
          <w:b w:val="0"/>
          <w:bCs w:val="0"/>
          <w:color w:val="000000" w:themeColor="text1"/>
          <w:sz w:val="22"/>
          <w:szCs w:val="22"/>
        </w:rPr>
        <w:t>General Authorisation.  Customer grants TrueFoundry general authorisation to engage Sub-processors for the Processing of Covered Data, subject to this Article 8. TrueFoundry's current approved Sub-processors are listed in Schedule 2 and maintained at https://trust.truefoundry.com/subprocessors</w:t>
      </w:r>
      <w:r>
        <w:rPr>
          <w:color w:val="000000" w:themeColor="text1"/>
          <w:sz w:val="22"/>
          <w:szCs w:val="22"/>
        </w:rPr>
        <w:t>.</w:t>
      </w:r>
    </w:p>
    <w:p w14:paraId="0189B616" w14:textId="0F95E9DC"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 xml:space="preserve">Due Diligence.  Before engaging any Sub-processor to access Covered Data, TrueFoundry shall evaluate the Sub-processor's technical and organisational capabilities through a documented Third Party Risk Management programme. </w:t>
      </w:r>
      <w:r>
        <w:rPr>
          <w:b w:val="0"/>
          <w:bCs w:val="0"/>
          <w:color w:val="000000" w:themeColor="text1"/>
          <w:sz w:val="22"/>
          <w:szCs w:val="22"/>
        </w:rPr>
        <w:t>TrueFoundry shall be liable for any breach by a Sub-processor to the extent such breach would not have occurred had TrueFoundry complied with its due diligence obligations under Article 8.2 and its Sub-processor agreement obligations under Article 8.3.</w:t>
      </w:r>
    </w:p>
    <w:p w14:paraId="1B1B0AE3" w14:textId="66DBF65A"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Sub-processor Agreements.  TrueFoundry shall: (a) enter into a written agreement with each Sub-processor imposing data protection obligations no less protective than this DPA; and (b) remain fully liable for Sub-processor acts and omissions.</w:t>
      </w:r>
    </w:p>
    <w:p w14:paraId="777D7656" w14:textId="665B6995"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Notification of Changes.  TrueFoundry shall notify Customer at least fourteen (14) days before adding, replacing, or removing a Sub-processor that Processes Covered Data.</w:t>
      </w:r>
    </w:p>
    <w:p w14:paraId="2331BEB6" w14:textId="16C6147A"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Right to Object.  If Customer objects to a new Sub-processor on reasonable data protection grounds, Customer shall notify TrueFoundry in writing within ten (10) days of notification. The Parties shall negotiate in good faith. If unresolved within thirty (30) days, Customer may terminate the Agreement (or affected portion) on thirty (30) days' written notice without penalty.</w:t>
      </w:r>
    </w:p>
    <w:p w14:paraId="466E18C5" w14:textId="77135954"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Sub-processor Audits.  TrueFoundry shall audit Sub-processors at least annually and shall, upon Customer's written request, confirm their compliance with Applicable Data Protection Laws and their obligations under Article 8.3.</w:t>
      </w:r>
    </w:p>
    <w:p w14:paraId="08B91071" w14:textId="55F0D045" w:rsidR="00FC265C" w:rsidRPr="00944A53"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Further Sub-processing.  TrueFoundry shall not permit Sub-processors to engage further sub-processors without TrueFoundry's prior written consent, subject to equivalent data protection obligations.</w:t>
      </w:r>
    </w:p>
    <w:p w14:paraId="44733DB3" w14:textId="25083306"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Upon Customer's written request, TrueFoundry shall provide reasonable details of Sub-processor agreements relevant to Customer's Processing activities, subject to redaction of commercially sensitive terms.</w:t>
      </w:r>
    </w:p>
    <w:p w14:paraId="378B569E" w14:textId="77777777" w:rsidR="00D46DBA"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DATA SUBJECT RIGHTS</w:t>
      </w:r>
    </w:p>
    <w:p w14:paraId="306D054A" w14:textId="5AEC5525"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As between the Parties, Customer has sole discretion and responsibility for responding to Data Subject Requests under Applicable Data Protection Laws.</w:t>
      </w:r>
    </w:p>
    <w:p w14:paraId="6170B1FC" w14:textId="01BBD932"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lastRenderedPageBreak/>
        <w:t>TrueFoundry shall, within five (5) business days of receipt, forward to Customer any Data Subject Request received by TrueFoundry or any Sub-processor and advise the Data Subject to submit their request to Customer.</w:t>
      </w:r>
    </w:p>
    <w:p w14:paraId="3B69030A" w14:textId="46E317BC"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TrueFoundry shall provide Customer with reasonable technical and organisational assistance to fulfil its obligations in responding to Data Subject Requests, including requests to access, rectify, erase, restrict, object to, or port Covered Data, within applicable statutory deadlines.</w:t>
      </w:r>
    </w:p>
    <w:p w14:paraId="779AC1A1" w14:textId="68031641"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TrueFoundry shall not respond to any Data Subject Request on behalf of Customer except: (a) as required by Applicable Data Protection Laws; or (b) with Customer's prior written consent.</w:t>
      </w:r>
    </w:p>
    <w:p w14:paraId="1B4B9809" w14:textId="77777777" w:rsidR="00D46DBA"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PERSONAL DATA BREACH NOTIFICATION</w:t>
      </w:r>
    </w:p>
    <w:p w14:paraId="21DE4700" w14:textId="2EAF6F3F"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Programme.  TrueFoundry shall implement, maintain, and follow a programme for managing Personal Data Breaches, including detection, containment, assessment, notification, and remediation procedures.</w:t>
      </w:r>
    </w:p>
    <w:p w14:paraId="675682BF" w14:textId="2AD4564F"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 xml:space="preserve">Notification Timeline.  TrueFoundry shall notify Customer without undue delay, and in any event within seventy-two (72) hours of becoming aware of a Personal Data Breach affecting Covered Data. Where complete information is unavailable within 72 hours, TrueFoundry shall provide an initial notification within that period and supplement it as information becomes available — </w:t>
      </w:r>
      <w:r>
        <w:rPr>
          <w:b w:val="0"/>
          <w:bCs w:val="0"/>
          <w:color w:val="000000" w:themeColor="text1"/>
          <w:sz w:val="22"/>
          <w:szCs w:val="22"/>
        </w:rPr>
        <w:t>no less than weekly for uncontained Breaches and no less than once every two (2) weeks for contained Breaches</w:t>
      </w:r>
      <w:r>
        <w:rPr>
          <w:b w:val="0"/>
          <w:bCs w:val="0"/>
          <w:color w:val="000000" w:themeColor="text1"/>
          <w:sz w:val="22"/>
          <w:szCs w:val="22"/>
        </w:rPr>
        <w:t xml:space="preserve"> — until fully remediated.</w:t>
      </w:r>
    </w:p>
    <w:p w14:paraId="7CE2B89E" w14:textId="15C03AC4"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Notification Content.  Notifications shall include, to the extent known at the time:</w:t>
      </w:r>
    </w:p>
    <w:p w14:paraId="20D1806F" w14:textId="5E981E86" w:rsidR="00FC265C" w:rsidRPr="00D46DBA" w:rsidRDefault="00000000" w:rsidP="00744E67">
      <w:pPr>
        <w:pStyle w:val="ListParagraph"/>
        <w:numPr>
          <w:ilvl w:val="0"/>
          <w:numId w:val="10"/>
        </w:numPr>
        <w:spacing w:before="60" w:after="60"/>
        <w:ind w:left="1134" w:hanging="567"/>
        <w:jc w:val="both"/>
        <w:rPr>
          <w:color w:val="000000" w:themeColor="text1"/>
          <w:sz w:val="22"/>
          <w:szCs w:val="22"/>
        </w:rPr>
      </w:pPr>
      <w:r>
        <w:rPr>
          <w:color w:val="000000" w:themeColor="text1"/>
          <w:sz w:val="22"/>
          <w:szCs w:val="22"/>
        </w:rPr>
        <w:t>the nature of the Personal Data Breach;</w:t>
      </w:r>
    </w:p>
    <w:p w14:paraId="2038DF8B" w14:textId="48E621B4" w:rsidR="00FC265C" w:rsidRPr="00D46DBA" w:rsidRDefault="00000000" w:rsidP="00744E67">
      <w:pPr>
        <w:pStyle w:val="ListParagraph"/>
        <w:numPr>
          <w:ilvl w:val="0"/>
          <w:numId w:val="10"/>
        </w:numPr>
        <w:spacing w:before="60" w:after="60"/>
        <w:ind w:left="1134" w:hanging="567"/>
        <w:jc w:val="both"/>
        <w:rPr>
          <w:color w:val="000000" w:themeColor="text1"/>
          <w:sz w:val="22"/>
          <w:szCs w:val="22"/>
        </w:rPr>
      </w:pPr>
      <w:r>
        <w:rPr>
          <w:color w:val="000000" w:themeColor="text1"/>
          <w:sz w:val="22"/>
          <w:szCs w:val="22"/>
        </w:rPr>
        <w:t>the categories and approximate number of Data Subjects affected;</w:t>
      </w:r>
    </w:p>
    <w:p w14:paraId="40E49A55" w14:textId="602B81D1" w:rsidR="00FC265C" w:rsidRPr="00D46DBA" w:rsidRDefault="00000000" w:rsidP="00744E67">
      <w:pPr>
        <w:pStyle w:val="ListParagraph"/>
        <w:numPr>
          <w:ilvl w:val="0"/>
          <w:numId w:val="10"/>
        </w:numPr>
        <w:spacing w:before="60" w:after="60"/>
        <w:ind w:left="1134" w:hanging="567"/>
        <w:jc w:val="both"/>
        <w:rPr>
          <w:color w:val="000000" w:themeColor="text1"/>
          <w:sz w:val="22"/>
          <w:szCs w:val="22"/>
        </w:rPr>
      </w:pPr>
      <w:r>
        <w:rPr>
          <w:color w:val="000000" w:themeColor="text1"/>
          <w:sz w:val="22"/>
          <w:szCs w:val="22"/>
        </w:rPr>
        <w:t>the categories and approximate volume of Covered Data records affected;</w:t>
      </w:r>
    </w:p>
    <w:p w14:paraId="1D01899F" w14:textId="7A24DD7B" w:rsidR="00FC265C" w:rsidRPr="00D46DBA" w:rsidRDefault="00000000" w:rsidP="00744E67">
      <w:pPr>
        <w:pStyle w:val="ListParagraph"/>
        <w:numPr>
          <w:ilvl w:val="0"/>
          <w:numId w:val="10"/>
        </w:numPr>
        <w:spacing w:before="60" w:after="60"/>
        <w:ind w:left="1134" w:hanging="567"/>
        <w:jc w:val="both"/>
        <w:rPr>
          <w:color w:val="000000" w:themeColor="text1"/>
          <w:sz w:val="22"/>
          <w:szCs w:val="22"/>
        </w:rPr>
      </w:pPr>
      <w:r>
        <w:rPr>
          <w:color w:val="000000" w:themeColor="text1"/>
          <w:sz w:val="22"/>
          <w:szCs w:val="22"/>
        </w:rPr>
        <w:t>the identity and contact details of TrueFoundry's data protection contact;</w:t>
      </w:r>
    </w:p>
    <w:p w14:paraId="5F094AF6" w14:textId="2AF5C7E7" w:rsidR="00FC265C" w:rsidRPr="00D46DBA" w:rsidRDefault="00000000" w:rsidP="00744E67">
      <w:pPr>
        <w:pStyle w:val="ListParagraph"/>
        <w:numPr>
          <w:ilvl w:val="0"/>
          <w:numId w:val="10"/>
        </w:numPr>
        <w:spacing w:before="60" w:after="60"/>
        <w:ind w:left="1134" w:hanging="567"/>
        <w:jc w:val="both"/>
        <w:rPr>
          <w:color w:val="000000" w:themeColor="text1"/>
          <w:sz w:val="22"/>
          <w:szCs w:val="22"/>
        </w:rPr>
      </w:pPr>
      <w:r>
        <w:rPr>
          <w:color w:val="000000" w:themeColor="text1"/>
          <w:sz w:val="22"/>
          <w:szCs w:val="22"/>
        </w:rPr>
        <w:t>the likely consequences of the Breach; and</w:t>
      </w:r>
    </w:p>
    <w:p w14:paraId="028DB409" w14:textId="7AFB140B" w:rsidR="00FC265C" w:rsidRPr="00D46DBA" w:rsidRDefault="00000000" w:rsidP="00744E67">
      <w:pPr>
        <w:pStyle w:val="ListParagraph"/>
        <w:numPr>
          <w:ilvl w:val="0"/>
          <w:numId w:val="10"/>
        </w:numPr>
        <w:spacing w:before="60" w:after="60"/>
        <w:ind w:left="1134" w:hanging="567"/>
        <w:jc w:val="both"/>
        <w:rPr>
          <w:color w:val="000000" w:themeColor="text1"/>
          <w:sz w:val="22"/>
          <w:szCs w:val="22"/>
        </w:rPr>
      </w:pPr>
      <w:r>
        <w:rPr>
          <w:color w:val="000000" w:themeColor="text1"/>
          <w:sz w:val="22"/>
          <w:szCs w:val="22"/>
        </w:rPr>
        <w:t>the measures taken or proposed to address the Breach and mitigate its effects.</w:t>
      </w:r>
    </w:p>
    <w:p w14:paraId="114069A1" w14:textId="3DB59A7C"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Cooperation.  TrueFoundry shall: (a) act immediately, at its own expense, to investigate, contain, and remediate the Breach; (b) cooperate fully with Customer's investigation; (c) provide all assistance required for Customer to fulfil its notification obligations under Applicable Data Protection Laws; and (d) promptly respond to any status requests from Customer or law enforcement.</w:t>
      </w:r>
    </w:p>
    <w:p w14:paraId="6209E13A" w14:textId="755D90C3"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No Admission.  Notification of a Personal Data Breach shall not constitute an admission of fault or liability by TrueFoundry.</w:t>
      </w:r>
    </w:p>
    <w:p w14:paraId="30125C71" w14:textId="165B1296"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RECORDS</w:t>
      </w:r>
    </w:p>
    <w:p w14:paraId="4B7123E1" w14:textId="089AF89E"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TrueFoundry shall maintain complete, accurate, and up-to-date records of its data processing activities carried out on behalf of Customer, including: (a) categories of Processing activities performed; (b) security measures implemented; (c) backup, disaster recovery, and business continuity policies; (d) Sub-processor agreements and due diligence documentation; and (e) any other information relevant to compliance with this DPA.</w:t>
      </w:r>
    </w:p>
    <w:p w14:paraId="476F82B5" w14:textId="5C6DE162"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Such records shall be maintained in accordance with applicable statutory requirements and made available to Customer or relevant Data Protection Authorities upon reasonable written request.</w:t>
      </w:r>
    </w:p>
    <w:p w14:paraId="1BF64607" w14:textId="3EE4B233"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AUDITS AND INSPECTIONS</w:t>
      </w:r>
    </w:p>
    <w:p w14:paraId="51E94013" w14:textId="4829F24D" w:rsidR="00FC265C" w:rsidRPr="008D27BD" w:rsidRDefault="00000000" w:rsidP="00744E67">
      <w:pPr>
        <w:pStyle w:val="Heading1"/>
        <w:numPr>
          <w:ilvl w:val="1"/>
          <w:numId w:val="6"/>
        </w:numPr>
        <w:pBdr>
          <w:bottom w:val="none" w:sz="0" w:space="0" w:color="auto"/>
        </w:pBdr>
        <w:spacing w:before="0"/>
        <w:ind w:left="567" w:hanging="567"/>
        <w:jc w:val="both"/>
        <w:rPr>
          <w:color w:val="000000" w:themeColor="text1"/>
          <w:sz w:val="22"/>
          <w:szCs w:val="22"/>
        </w:rPr>
      </w:pPr>
      <w:r>
        <w:rPr>
          <w:b w:val="0"/>
          <w:bCs w:val="0"/>
          <w:color w:val="000000" w:themeColor="text1"/>
          <w:sz w:val="22"/>
          <w:szCs w:val="22"/>
        </w:rPr>
        <w:t xml:space="preserve">Third-Party Reports.  TrueFoundry shall, upon written request, provide Customer with its most recent third-party audit report (SOC 2 Type II or equivalent) under NDA. Where such </w:t>
      </w:r>
      <w:r>
        <w:rPr>
          <w:b w:val="0"/>
          <w:bCs w:val="0"/>
          <w:color w:val="000000" w:themeColor="text1"/>
          <w:sz w:val="22"/>
          <w:szCs w:val="22"/>
        </w:rPr>
        <w:lastRenderedPageBreak/>
        <w:t>report covers the relevant controls and TrueFoundry confirms no material changes since the report date, Customer shall accept it in lieu of an on-site audit for those controls</w:t>
      </w:r>
      <w:r>
        <w:rPr>
          <w:color w:val="000000" w:themeColor="text1"/>
          <w:sz w:val="22"/>
          <w:szCs w:val="22"/>
        </w:rPr>
        <w:t>.</w:t>
      </w:r>
    </w:p>
    <w:p w14:paraId="7C4C0851" w14:textId="35B34873"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On-Site Audits.  Customer (or a qualified, independent third-party auditor appointed by Customer, not being a competitor of TrueFoundry) may conduct an on-site audit of TrueFoundry's operations, facilities, books, and records to confirm compliance with this DPA, subject to:</w:t>
      </w:r>
    </w:p>
    <w:p w14:paraId="0BE80F74" w14:textId="716FB2A3" w:rsidR="00FC265C" w:rsidRPr="00D46DBA" w:rsidRDefault="00000000" w:rsidP="00744E67">
      <w:pPr>
        <w:pStyle w:val="ListParagraph"/>
        <w:numPr>
          <w:ilvl w:val="0"/>
          <w:numId w:val="11"/>
        </w:numPr>
        <w:spacing w:before="60" w:after="60"/>
        <w:ind w:left="1134" w:hanging="567"/>
        <w:jc w:val="both"/>
        <w:rPr>
          <w:color w:val="000000" w:themeColor="text1"/>
          <w:sz w:val="22"/>
          <w:szCs w:val="22"/>
        </w:rPr>
      </w:pPr>
      <w:r>
        <w:rPr>
          <w:color w:val="000000" w:themeColor="text1"/>
          <w:sz w:val="22"/>
          <w:szCs w:val="22"/>
        </w:rPr>
        <w:t>at least twenty-one (21) days' prior written notice including a detailed proposed audit plan;</w:t>
      </w:r>
    </w:p>
    <w:p w14:paraId="60A58A90" w14:textId="70773ABA" w:rsidR="00FC265C" w:rsidRPr="00D46DBA" w:rsidRDefault="00000000" w:rsidP="00744E67">
      <w:pPr>
        <w:pStyle w:val="ListParagraph"/>
        <w:numPr>
          <w:ilvl w:val="0"/>
          <w:numId w:val="11"/>
        </w:numPr>
        <w:spacing w:before="60" w:after="60"/>
        <w:ind w:left="1134" w:hanging="567"/>
        <w:jc w:val="both"/>
        <w:rPr>
          <w:color w:val="000000" w:themeColor="text1"/>
          <w:sz w:val="22"/>
          <w:szCs w:val="22"/>
        </w:rPr>
      </w:pPr>
      <w:r>
        <w:rPr>
          <w:color w:val="000000" w:themeColor="text1"/>
          <w:sz w:val="22"/>
          <w:szCs w:val="22"/>
        </w:rPr>
        <w:t>no more than once per calendar year, except where: (i) a prior audit revealed a material breach; or (ii) required by a Data Protection Authority;</w:t>
      </w:r>
    </w:p>
    <w:p w14:paraId="49C1A3B5" w14:textId="0EA9AC40" w:rsidR="00FC265C" w:rsidRPr="00D46DBA" w:rsidRDefault="00000000" w:rsidP="00744E67">
      <w:pPr>
        <w:pStyle w:val="ListParagraph"/>
        <w:numPr>
          <w:ilvl w:val="0"/>
          <w:numId w:val="11"/>
        </w:numPr>
        <w:spacing w:before="60" w:after="60"/>
        <w:ind w:left="1134" w:hanging="567"/>
        <w:jc w:val="both"/>
        <w:rPr>
          <w:color w:val="000000" w:themeColor="text1"/>
          <w:sz w:val="22"/>
          <w:szCs w:val="22"/>
        </w:rPr>
      </w:pPr>
      <w:r>
        <w:rPr>
          <w:color w:val="000000" w:themeColor="text1"/>
          <w:sz w:val="22"/>
          <w:szCs w:val="22"/>
        </w:rPr>
        <w:t>conducted during normal business hours with minimal disruption to TrueFoundry's operations; and</w:t>
      </w:r>
    </w:p>
    <w:p w14:paraId="24B23816" w14:textId="16418C52" w:rsidR="00FC265C" w:rsidRPr="00D46DBA" w:rsidRDefault="00000000" w:rsidP="00744E67">
      <w:pPr>
        <w:pStyle w:val="ListParagraph"/>
        <w:numPr>
          <w:ilvl w:val="0"/>
          <w:numId w:val="11"/>
        </w:numPr>
        <w:spacing w:before="60" w:after="60"/>
        <w:ind w:left="1134" w:hanging="567"/>
        <w:jc w:val="both"/>
        <w:rPr>
          <w:color w:val="000000" w:themeColor="text1"/>
          <w:sz w:val="22"/>
          <w:szCs w:val="22"/>
        </w:rPr>
      </w:pPr>
      <w:r>
        <w:rPr>
          <w:color w:val="000000" w:themeColor="text1"/>
          <w:sz w:val="22"/>
          <w:szCs w:val="22"/>
        </w:rPr>
        <w:t>Customer bearing the cost of the audit, unless the audit reveals a material breach by TrueFoundry, in which case TrueFoundry bears its reasonable direct costs of facilitating the audit.</w:t>
      </w:r>
    </w:p>
    <w:p w14:paraId="641E7BF5" w14:textId="3EB05F24"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Remediation.  Customer shall promptly notify TrueFoundry of any non-compliance discovered during an audit. TrueFoundry shall remedy such non-compliance within thirty (30) days at its own cost. Failure to do so entitles Customer to terminate the Agreement (or affected portion) on written notice.</w:t>
      </w:r>
    </w:p>
    <w:p w14:paraId="7D2F43B0" w14:textId="7374EF8E"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INTERNATIONAL DATA TRANSFERS</w:t>
      </w:r>
    </w:p>
    <w:p w14:paraId="1944BFD6" w14:textId="1BBC832C"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TrueFoundry shall not transfer Covered Data outside the EEA, UK, Switzerland, or any jurisdiction with an adequate level of protection, without an appropriate transfer mechanism in place, which may include: (a) an adequacy decision; (b) Standard Contractual Clauses; or (c) binding corporate rules.</w:t>
      </w:r>
    </w:p>
    <w:p w14:paraId="7D8022D2" w14:textId="5C3E20C2"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SCCs.  Where SCCs are used: (a) the SCCs (Module 2: Controller-to-Processor, EU Decision 2021/914) are incorporated into this DPA by reference; (b) the Annexes shall be completed by reference to Schedule 1 and Article 7 of this DPA; and (c) in the event of conflict, the SCCs prevail to the extent necessary.</w:t>
      </w:r>
    </w:p>
    <w:p w14:paraId="37C4C754" w14:textId="3C5B490E"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UK Transfers.  For transfers under UK GDPR, the UK International Data Transfer Addendum to the EU SCCs (as issued by the UK ICO) applies and is incorporated by reference.</w:t>
      </w:r>
    </w:p>
    <w:p w14:paraId="131FB0B8" w14:textId="5542A254"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Indian Transfers.  Transfers of Covered Data subject to the DPDP Act shall be conducted in accordance with the DPDP Act and any rules, regulations, or orders issued thereunder by the Government of India.</w:t>
      </w:r>
    </w:p>
    <w:p w14:paraId="2BE719DA" w14:textId="660DDE7C"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TrueFoundry shall promptly notify Customer of any legal or regulatory requirement that prevents compliance with this Article 13.</w:t>
      </w:r>
    </w:p>
    <w:p w14:paraId="5BD77F95" w14:textId="671471B5"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DATA RETENTION AND DELETION</w:t>
      </w:r>
    </w:p>
    <w:p w14:paraId="75466A97" w14:textId="731FE4CF"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Retention During Term.  During the Agreement term, TrueFoundry shall retain Covered Data only as necessary to provide the Services or as required by Applicable Data Protection Laws.</w:t>
      </w:r>
    </w:p>
    <w:p w14:paraId="29741F8A" w14:textId="2EFFD643"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 xml:space="preserve">Return or Deletion.  Upon expiry or termination of the Agreement, or earlier at Customer's written request, </w:t>
      </w:r>
      <w:proofErr w:type="spellStart"/>
      <w:r>
        <w:rPr>
          <w:b w:val="0"/>
          <w:bCs w:val="0"/>
          <w:color w:val="000000" w:themeColor="text1"/>
          <w:sz w:val="22"/>
          <w:szCs w:val="22"/>
        </w:rPr>
        <w:t>TrueFoundry</w:t>
      </w:r>
      <w:proofErr w:type="spellEnd"/>
      <w:r>
        <w:rPr>
          <w:b w:val="0"/>
          <w:bCs w:val="0"/>
          <w:color w:val="000000" w:themeColor="text1"/>
          <w:sz w:val="22"/>
          <w:szCs w:val="22"/>
        </w:rPr>
        <w:t xml:space="preserve"> shall, </w:t>
      </w:r>
      <w:r>
        <w:rPr>
          <w:b w:val="0"/>
          <w:bCs w:val="0"/>
          <w:color w:val="000000" w:themeColor="text1"/>
          <w:sz w:val="22"/>
          <w:szCs w:val="22"/>
        </w:rPr>
        <w:t>within ninety (90) days</w:t>
      </w:r>
      <w:r>
        <w:rPr>
          <w:b w:val="0"/>
          <w:bCs w:val="0"/>
          <w:color w:val="000000" w:themeColor="text1"/>
          <w:sz w:val="22"/>
          <w:szCs w:val="22"/>
        </w:rPr>
        <w:t>, at Customer's election: (a) return all Covered Data in a commonly used, machine-readable format; or (b) securely delete all Covered Data from TrueFoundry's systems and those of its Sub-processors. TrueFoundry shall provide written certification of deletion upon request.</w:t>
      </w:r>
    </w:p>
    <w:p w14:paraId="66EAAE33" w14:textId="021205D5"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Destruction Standard.  Covered Data shall be destroyed through cryptographic erasure or media sanitisation in accordance with NIST Special Publication 800-88 Rev. 1 (or equivalent). The secure method of return shall be determined by Customer.</w:t>
      </w:r>
    </w:p>
    <w:p w14:paraId="5429B5CA" w14:textId="3C56E460"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lastRenderedPageBreak/>
        <w:t>Legal Retention.  TrueFoundry may retain Covered Data beyond Article 14.2 only as required by law. Such data shall be: (a) isolated from active Processing; (b) used only for the applicable legal obligation; and (c) subject to the security measures in Article 7.</w:t>
      </w:r>
    </w:p>
    <w:p w14:paraId="4C186C9A" w14:textId="0F3E2731"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Sub-processors.  TrueFoundry shall cause all Sub-processors to comply with this Article 14.</w:t>
      </w:r>
    </w:p>
    <w:p w14:paraId="600B2549" w14:textId="4D6787C7"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DE-IDENTIFIED DATA</w:t>
      </w:r>
    </w:p>
    <w:p w14:paraId="26A25D74" w14:textId="405B8927"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If TrueFoundry receives or creates De-identified Data from Covered Data, TrueFoundry shall:</w:t>
      </w:r>
    </w:p>
    <w:p w14:paraId="3DE7EF40" w14:textId="715A0AD6" w:rsidR="00FC265C" w:rsidRPr="00D46DBA" w:rsidRDefault="00000000" w:rsidP="00744E67">
      <w:pPr>
        <w:pStyle w:val="ListParagraph"/>
        <w:numPr>
          <w:ilvl w:val="0"/>
          <w:numId w:val="12"/>
        </w:numPr>
        <w:spacing w:before="60" w:after="60"/>
        <w:ind w:left="1134" w:hanging="567"/>
        <w:jc w:val="both"/>
        <w:rPr>
          <w:color w:val="000000" w:themeColor="text1"/>
          <w:sz w:val="22"/>
          <w:szCs w:val="22"/>
        </w:rPr>
      </w:pPr>
      <w:r>
        <w:rPr>
          <w:color w:val="000000" w:themeColor="text1"/>
          <w:sz w:val="22"/>
          <w:szCs w:val="22"/>
        </w:rPr>
        <w:t>take reasonable measures to ensure the De-identified Data cannot be associated with or re-linked to a Data Subject;</w:t>
      </w:r>
    </w:p>
    <w:p w14:paraId="05D2485D" w14:textId="4EBAE911" w:rsidR="00FC265C" w:rsidRPr="00D46DBA" w:rsidRDefault="00000000" w:rsidP="00744E67">
      <w:pPr>
        <w:pStyle w:val="ListParagraph"/>
        <w:numPr>
          <w:ilvl w:val="0"/>
          <w:numId w:val="12"/>
        </w:numPr>
        <w:spacing w:before="60" w:after="60"/>
        <w:ind w:left="1134" w:hanging="567"/>
        <w:jc w:val="both"/>
        <w:rPr>
          <w:color w:val="000000" w:themeColor="text1"/>
          <w:sz w:val="22"/>
          <w:szCs w:val="22"/>
        </w:rPr>
      </w:pPr>
      <w:r>
        <w:rPr>
          <w:color w:val="000000" w:themeColor="text1"/>
          <w:sz w:val="22"/>
          <w:szCs w:val="22"/>
        </w:rPr>
        <w:t>Process De-identified Data solely in de-identified form and not attempt to re-identify such data; and</w:t>
      </w:r>
    </w:p>
    <w:p w14:paraId="6F2ED0A7" w14:textId="751472DB" w:rsidR="00FC265C" w:rsidRPr="00D46DBA" w:rsidRDefault="00000000" w:rsidP="00744E67">
      <w:pPr>
        <w:pStyle w:val="ListParagraph"/>
        <w:numPr>
          <w:ilvl w:val="0"/>
          <w:numId w:val="12"/>
        </w:numPr>
        <w:spacing w:before="60" w:after="60"/>
        <w:ind w:left="1134" w:hanging="567"/>
        <w:jc w:val="both"/>
        <w:rPr>
          <w:color w:val="000000" w:themeColor="text1"/>
          <w:sz w:val="22"/>
          <w:szCs w:val="22"/>
        </w:rPr>
      </w:pPr>
      <w:r>
        <w:rPr>
          <w:color w:val="000000" w:themeColor="text1"/>
          <w:sz w:val="22"/>
          <w:szCs w:val="22"/>
        </w:rPr>
        <w:t>contractually obligate any recipients of De-identified Data to comply with this Article 15 and Applicable Data Protection Laws.</w:t>
      </w:r>
    </w:p>
    <w:p w14:paraId="720791B3" w14:textId="77777777" w:rsidR="00FC265C" w:rsidRPr="008D27BD" w:rsidRDefault="00FC265C" w:rsidP="00744E67">
      <w:pPr>
        <w:spacing w:before="40" w:after="40"/>
        <w:jc w:val="both"/>
        <w:rPr>
          <w:color w:val="000000" w:themeColor="text1"/>
          <w:sz w:val="22"/>
          <w:szCs w:val="22"/>
        </w:rPr>
      </w:pPr>
    </w:p>
    <w:p w14:paraId="276D639C" w14:textId="669520B9"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TERM</w:t>
      </w:r>
    </w:p>
    <w:p w14:paraId="2A931A96" w14:textId="633AF829"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This DPA commences on the Effective Date and continues for the duration of the Agreement and thereafter until TrueFoundry completes the return or deletion of all Covered Data under Article 14, upon which it automatically expires.</w:t>
      </w:r>
    </w:p>
    <w:p w14:paraId="1E869130" w14:textId="5077A5B2"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Obligations that by their nature survive expiry or termination (including those in Articles 7, 10, 11, 14, and 17) shall continue in full force and effect.</w:t>
      </w:r>
    </w:p>
    <w:p w14:paraId="2B7CAD1D" w14:textId="02153D04" w:rsidR="00FC265C" w:rsidRPr="008D27BD" w:rsidRDefault="00000000" w:rsidP="00744E67">
      <w:pPr>
        <w:pStyle w:val="Heading1"/>
        <w:numPr>
          <w:ilvl w:val="0"/>
          <w:numId w:val="6"/>
        </w:numPr>
        <w:pBdr>
          <w:bottom w:val="none" w:sz="0" w:space="0" w:color="auto"/>
        </w:pBdr>
        <w:spacing w:before="0"/>
        <w:ind w:left="567" w:hanging="567"/>
        <w:jc w:val="both"/>
        <w:rPr>
          <w:color w:val="000000" w:themeColor="text1"/>
          <w:sz w:val="22"/>
          <w:szCs w:val="22"/>
        </w:rPr>
      </w:pPr>
      <w:r>
        <w:rPr>
          <w:color w:val="000000" w:themeColor="text1"/>
          <w:sz w:val="22"/>
          <w:szCs w:val="22"/>
        </w:rPr>
        <w:t>GENERAL PROVISIONS</w:t>
      </w:r>
    </w:p>
    <w:p w14:paraId="690A00BB" w14:textId="15B054D1" w:rsidR="00FC265C" w:rsidRPr="00744E67"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Governing Law.  This DPA is governed by and construed in accordance with the governing law specified in the Agreement. Disputes shall be subject to the dispute resolution mechanism and jurisdiction in the Agreement. Notwithstanding the foregoing, to the extent the Standard Contractual Clauses apply to any transfer of Covered Data, the governing law and choice of courts applicable to the SCCs shall be as specified in Schedule 3 of this DPA.</w:t>
      </w:r>
    </w:p>
    <w:p w14:paraId="3FCB05E9" w14:textId="46A3180E" w:rsidR="00FC265C" w:rsidRPr="00744E67"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Entire Agreement.  This DPA, together with its Schedules and the Agreement, constitutes the entire agreement between the Parties with respect to the Processing of Covered Data and supersedes all prior agreements on that subject.</w:t>
      </w:r>
    </w:p>
    <w:p w14:paraId="00000030" w14:textId="77777777" w:rsidR="00B65529" w:rsidRPr="00744E67"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Liability and Remedies.  The liability, indemnification, and remedies framework applicable to any breach of this DPA, including any claims arising out of or in connection with the Processing of Covered Data, shall be governed by and subject to the terms of the Agreement, including any limitations of liability, exclusions, caps, and indemnification provisions set out therein.</w:t>
      </w:r>
    </w:p>
    <w:p w14:paraId="00000031" w14:textId="49BAB4A6" w:rsidR="00B65529" w:rsidRPr="00744E67"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 xml:space="preserve">Change of Control.  </w:t>
      </w:r>
      <w:proofErr w:type="spellStart"/>
      <w:r>
        <w:rPr>
          <w:b w:val="0"/>
          <w:bCs w:val="0"/>
          <w:color w:val="000000" w:themeColor="text1"/>
          <w:sz w:val="22"/>
          <w:szCs w:val="22"/>
        </w:rPr>
        <w:t>TrueFoundry</w:t>
      </w:r>
      <w:proofErr w:type="spellEnd"/>
      <w:r>
        <w:rPr>
          <w:b w:val="0"/>
          <w:bCs w:val="0"/>
          <w:color w:val="000000" w:themeColor="text1"/>
          <w:sz w:val="22"/>
          <w:szCs w:val="22"/>
        </w:rPr>
        <w:t xml:space="preserve"> shall provide Customer with written notice as soon as reasonably practicable (and in any event within five (5) Business Days of public announcement or consummation, whichever is earlier) of</w:t>
      </w:r>
      <w:r>
        <w:rPr>
          <w:b w:val="0"/>
          <w:bCs w:val="0"/>
          <w:color w:val="000000" w:themeColor="text1"/>
          <w:sz w:val="22"/>
          <w:szCs w:val="22"/>
        </w:rPr>
        <w:t xml:space="preserve"> </w:t>
      </w:r>
      <w:r>
        <w:rPr>
          <w:b w:val="0"/>
          <w:bCs w:val="0"/>
          <w:color w:val="000000" w:themeColor="text1"/>
          <w:sz w:val="22"/>
          <w:szCs w:val="22"/>
        </w:rPr>
        <w:t>any publicly announced or consummated change of control of TrueFoundry</w:t>
      </w:r>
      <w:r>
        <w:rPr>
          <w:b w:val="0"/>
          <w:bCs w:val="0"/>
          <w:color w:val="000000" w:themeColor="text1"/>
          <w:sz w:val="22"/>
          <w:szCs w:val="22"/>
        </w:rPr>
        <w:t xml:space="preserve"> (including any merger, acquisition, consolidation, sale of all or substantially all assets, or change in majority ownership). Upon receipt of such notice, Customer shall have the right to terminate this DPA and the Agreement on thirty (30) days’ written notice given within sixty (60) days of TrueFoundry’s notification, without penalty. TrueFoundry shall not assign this DPA or its obligations hereunder without Customer’s prior written consent (not to be unreasonably withheld), except to a successor entity in connection with a change of control where Customer does not elect to terminate pursuant to this Article 17.10.</w:t>
      </w:r>
    </w:p>
    <w:p w14:paraId="6AAE9EC6" w14:textId="44AD64C3" w:rsidR="00FC265C" w:rsidRPr="00744E67"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lastRenderedPageBreak/>
        <w:t>Amendments.  No amendment to this DPA is valid unless in writing and signed by duly authorised representatives of both Parties, except that TrueFoundry may update Schedule 2 in accordance with Article 8.4.</w:t>
      </w:r>
    </w:p>
    <w:p w14:paraId="480DF7AF" w14:textId="56EBB14D" w:rsidR="00FC265C" w:rsidRPr="00744E67"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Severability.  If any provision is held invalid or unenforceable, the remaining provisions continue in full force.</w:t>
      </w:r>
    </w:p>
    <w:p w14:paraId="5AE3C1AD" w14:textId="0C2DF9A0"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Notices.  All notices shall be in writing to the contact details in the Agreement, unless otherwise agreed.</w:t>
      </w:r>
    </w:p>
    <w:p w14:paraId="6E89E02A" w14:textId="711B3B88"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Precedence.  This DPA prevails over any inconsistent term in the Agreement with respect to the Processing of Covered Data.</w:t>
      </w:r>
    </w:p>
    <w:p w14:paraId="3A698EB0" w14:textId="3AE28BCB" w:rsidR="00FC265C" w:rsidRPr="00D46DBA"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Counterparts.  This DPA may be executed in counterparts, each an original. Electronic or digital signatures are valid and binding.</w:t>
      </w:r>
    </w:p>
    <w:p w14:paraId="7E93D146" w14:textId="3D202D18" w:rsidR="00FC265C" w:rsidRPr="008D27BD" w:rsidRDefault="00000000" w:rsidP="00744E67">
      <w:pPr>
        <w:pStyle w:val="Heading1"/>
        <w:numPr>
          <w:ilvl w:val="1"/>
          <w:numId w:val="6"/>
        </w:numPr>
        <w:pBdr>
          <w:bottom w:val="none" w:sz="0" w:space="0" w:color="auto"/>
        </w:pBdr>
        <w:spacing w:before="0"/>
        <w:ind w:left="567" w:hanging="567"/>
        <w:jc w:val="both"/>
        <w:rPr>
          <w:color w:val="000000" w:themeColor="text1"/>
          <w:sz w:val="22"/>
          <w:szCs w:val="22"/>
        </w:rPr>
      </w:pPr>
      <w:r>
        <w:rPr>
          <w:b w:val="0"/>
          <w:bCs w:val="0"/>
          <w:color w:val="000000" w:themeColor="text1"/>
          <w:sz w:val="22"/>
          <w:szCs w:val="22"/>
        </w:rPr>
        <w:t>No Waiver.  No failure or delay by either Party in exercising any right under this DPA operates as a waiver</w:t>
      </w:r>
      <w:r>
        <w:rPr>
          <w:color w:val="000000" w:themeColor="text1"/>
          <w:sz w:val="22"/>
          <w:szCs w:val="22"/>
        </w:rPr>
        <w:t>.</w:t>
      </w:r>
    </w:p>
    <w:p w14:paraId="788AD48A" w14:textId="77777777" w:rsidR="00FC265C" w:rsidRPr="008D27BD" w:rsidRDefault="00FC265C" w:rsidP="00744E67">
      <w:pPr>
        <w:spacing w:before="40" w:after="40"/>
        <w:jc w:val="both"/>
        <w:rPr>
          <w:color w:val="000000" w:themeColor="text1"/>
          <w:sz w:val="22"/>
          <w:szCs w:val="22"/>
        </w:rPr>
      </w:pPr>
    </w:p>
    <w:p w14:paraId="00000041" w14:textId="09E32897" w:rsidR="00B65529" w:rsidRPr="00744E67" w:rsidRDefault="00000000" w:rsidP="00744E67">
      <w:pPr>
        <w:pStyle w:val="Heading1"/>
        <w:numPr>
          <w:ilvl w:val="1"/>
          <w:numId w:val="6"/>
        </w:numPr>
        <w:pBdr>
          <w:bottom w:val="none" w:sz="0" w:space="0" w:color="auto"/>
        </w:pBdr>
        <w:spacing w:before="0"/>
        <w:ind w:left="567" w:hanging="567"/>
        <w:jc w:val="both"/>
        <w:rPr>
          <w:b w:val="0"/>
          <w:bCs w:val="0"/>
          <w:color w:val="000000" w:themeColor="text1"/>
          <w:sz w:val="22"/>
          <w:szCs w:val="22"/>
        </w:rPr>
      </w:pPr>
      <w:r>
        <w:rPr>
          <w:b w:val="0"/>
          <w:bCs w:val="0"/>
          <w:color w:val="000000" w:themeColor="text1"/>
          <w:sz w:val="22"/>
          <w:szCs w:val="22"/>
        </w:rPr>
        <w:t>Government Access Requests.  If TrueFoundry receives a request, demand, order, subpoena, or other legal process from any law enforcement authority, government agency, regulatory body, or court requiring the disclosure of, or access to, Covered Data (each, a “Government Request”), TrueFoundry shall:</w:t>
      </w:r>
    </w:p>
    <w:p w14:paraId="0DEBD302" w14:textId="2B0A9B11" w:rsidR="00744E67" w:rsidRPr="00744E67" w:rsidRDefault="00000000" w:rsidP="00744E67">
      <w:pPr>
        <w:pStyle w:val="Heading1"/>
        <w:numPr>
          <w:ilvl w:val="2"/>
          <w:numId w:val="6"/>
        </w:numPr>
        <w:pBdr>
          <w:bottom w:val="none" w:sz="0" w:space="0" w:color="auto"/>
        </w:pBdr>
        <w:spacing w:before="0"/>
        <w:jc w:val="both"/>
        <w:rPr>
          <w:b w:val="0"/>
          <w:bCs w:val="0"/>
          <w:color w:val="000000" w:themeColor="text1"/>
          <w:sz w:val="22"/>
          <w:szCs w:val="22"/>
        </w:rPr>
      </w:pPr>
      <w:r>
        <w:rPr>
          <w:b w:val="0"/>
          <w:bCs w:val="0"/>
          <w:color w:val="000000" w:themeColor="text1"/>
          <w:sz w:val="22"/>
          <w:szCs w:val="22"/>
        </w:rPr>
        <w:t>notify Customer of the Government Request promptly and in any event within five (5) business days of receipt, to the extent permitted by applicable law;</w:t>
      </w:r>
    </w:p>
    <w:p w14:paraId="447A092F" w14:textId="77777777" w:rsidR="00744E67" w:rsidRPr="00744E67" w:rsidRDefault="00000000" w:rsidP="00744E67">
      <w:pPr>
        <w:pStyle w:val="Heading1"/>
        <w:numPr>
          <w:ilvl w:val="2"/>
          <w:numId w:val="6"/>
        </w:numPr>
        <w:pBdr>
          <w:bottom w:val="none" w:sz="0" w:space="0" w:color="auto"/>
        </w:pBdr>
        <w:spacing w:before="0"/>
        <w:jc w:val="both"/>
        <w:rPr>
          <w:b w:val="0"/>
          <w:bCs w:val="0"/>
          <w:color w:val="000000" w:themeColor="text1"/>
          <w:sz w:val="22"/>
          <w:szCs w:val="22"/>
        </w:rPr>
      </w:pPr>
      <w:r>
        <w:rPr>
          <w:b w:val="0"/>
          <w:bCs w:val="0"/>
          <w:color w:val="000000" w:themeColor="text1"/>
          <w:sz w:val="22"/>
          <w:szCs w:val="22"/>
        </w:rPr>
        <w:t>disclose only the minimum Covered Data strictly required to comply with a legally binding Government Request;</w:t>
      </w:r>
    </w:p>
    <w:p w14:paraId="32515A04" w14:textId="77777777" w:rsidR="00744E67" w:rsidRPr="00744E67" w:rsidRDefault="00000000" w:rsidP="00744E67">
      <w:pPr>
        <w:pStyle w:val="Heading1"/>
        <w:numPr>
          <w:ilvl w:val="2"/>
          <w:numId w:val="6"/>
        </w:numPr>
        <w:pBdr>
          <w:bottom w:val="none" w:sz="0" w:space="0" w:color="auto"/>
        </w:pBdr>
        <w:spacing w:before="0"/>
        <w:jc w:val="both"/>
        <w:rPr>
          <w:b w:val="0"/>
          <w:bCs w:val="0"/>
          <w:color w:val="000000" w:themeColor="text1"/>
          <w:sz w:val="22"/>
          <w:szCs w:val="22"/>
        </w:rPr>
      </w:pPr>
      <w:r>
        <w:rPr>
          <w:b w:val="0"/>
          <w:bCs w:val="0"/>
          <w:color w:val="000000" w:themeColor="text1"/>
          <w:sz w:val="22"/>
          <w:szCs w:val="22"/>
        </w:rPr>
        <w:t>use reasonable legal means, at Customer’s reasonable request and expense, to challenge or seek to limit any Government Request that TrueFoundry reasonably believes to be overbroad, unlawful, or inconsistent with Applicable Data Protection Laws;</w:t>
      </w:r>
    </w:p>
    <w:p w14:paraId="0FDC48CC" w14:textId="77777777" w:rsidR="00744E67" w:rsidRPr="00744E67" w:rsidRDefault="00000000" w:rsidP="00744E67">
      <w:pPr>
        <w:pStyle w:val="Heading1"/>
        <w:numPr>
          <w:ilvl w:val="2"/>
          <w:numId w:val="6"/>
        </w:numPr>
        <w:pBdr>
          <w:bottom w:val="none" w:sz="0" w:space="0" w:color="auto"/>
        </w:pBdr>
        <w:spacing w:before="0"/>
        <w:jc w:val="both"/>
        <w:rPr>
          <w:b w:val="0"/>
          <w:bCs w:val="0"/>
          <w:color w:val="000000" w:themeColor="text1"/>
          <w:sz w:val="22"/>
          <w:szCs w:val="22"/>
        </w:rPr>
      </w:pPr>
      <w:r>
        <w:rPr>
          <w:b w:val="0"/>
          <w:bCs w:val="0"/>
          <w:color w:val="000000" w:themeColor="text1"/>
          <w:sz w:val="22"/>
          <w:szCs w:val="22"/>
        </w:rPr>
        <w:t>treat any Covered Data disclosed pursuant to a Government Request as subject to the confidentiality obligations applicable to Covered Data under this DPA; and</w:t>
      </w:r>
    </w:p>
    <w:p w14:paraId="00000046" w14:textId="6FA7B51F" w:rsidR="00B65529" w:rsidRPr="00744E67" w:rsidRDefault="00000000" w:rsidP="00744E67">
      <w:pPr>
        <w:pStyle w:val="Heading1"/>
        <w:numPr>
          <w:ilvl w:val="2"/>
          <w:numId w:val="6"/>
        </w:numPr>
        <w:pBdr>
          <w:bottom w:val="none" w:sz="0" w:space="0" w:color="auto"/>
        </w:pBdr>
        <w:spacing w:before="0"/>
        <w:jc w:val="both"/>
        <w:rPr>
          <w:b w:val="0"/>
          <w:bCs w:val="0"/>
          <w:color w:val="000000" w:themeColor="text1"/>
          <w:sz w:val="22"/>
          <w:szCs w:val="22"/>
        </w:rPr>
      </w:pPr>
      <w:r>
        <w:rPr>
          <w:b w:val="0"/>
          <w:bCs w:val="0"/>
          <w:color w:val="000000" w:themeColor="text1"/>
          <w:sz w:val="22"/>
          <w:szCs w:val="22"/>
        </w:rPr>
        <w:t>keep a record of all Government Requests received and make such record available to Customer upon reasonable written request.</w:t>
      </w:r>
    </w:p>
    <w:p w14:paraId="00000047" w14:textId="3FB9BF9C" w:rsidR="00B65529" w:rsidRPr="00744E67" w:rsidRDefault="00000000" w:rsidP="00744E67">
      <w:pPr>
        <w:pStyle w:val="Heading1"/>
        <w:pBdr>
          <w:bottom w:val="none" w:sz="0" w:space="0" w:color="auto"/>
        </w:pBdr>
        <w:spacing w:before="0"/>
        <w:ind w:left="567"/>
        <w:jc w:val="both"/>
        <w:rPr>
          <w:b w:val="0"/>
          <w:bCs w:val="0"/>
          <w:color w:val="000000" w:themeColor="text1"/>
          <w:sz w:val="22"/>
          <w:szCs w:val="22"/>
        </w:rPr>
      </w:pPr>
      <w:r>
        <w:rPr>
          <w:b w:val="0"/>
          <w:bCs w:val="0"/>
          <w:color w:val="000000" w:themeColor="text1"/>
          <w:sz w:val="22"/>
          <w:szCs w:val="22"/>
        </w:rPr>
        <w:t>Where TrueFoundry is legally prohibited from notifying Customer of a Government Request, TrueFoundry shall use reasonable legal means to seek to have such prohibition lifted or varied, and shall notify Customer of the existence of a Government Request (without disclosing its content) as soon as it is legally permitted to do so.</w:t>
      </w:r>
    </w:p>
    <w:p w14:paraId="0000004F" w14:textId="77777777" w:rsidR="00B65529" w:rsidRDefault="00B65529" w:rsidP="00744E67">
      <w:pPr>
        <w:spacing w:before="40" w:after="40"/>
        <w:jc w:val="both"/>
        <w:rPr>
          <w:color w:val="000000" w:themeColor="text1"/>
          <w:sz w:val="22"/>
          <w:szCs w:val="22"/>
        </w:rPr>
      </w:pPr>
    </w:p>
    <w:p w14:paraId="0108AE5E"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IN WITNESS WHEREOF, the Parties have caused this Data Processing Agreement to be executed by their duly authorised representatives as of the Effective Date.</w:t>
      </w:r>
    </w:p>
    <w:p w14:paraId="451605C5" w14:textId="77777777" w:rsidR="00FC265C" w:rsidRPr="008D27BD" w:rsidRDefault="00FC265C" w:rsidP="00744E67">
      <w:pPr>
        <w:spacing w:before="40" w:after="40"/>
        <w:jc w:val="both"/>
        <w:rPr>
          <w:color w:val="000000" w:themeColor="text1"/>
          <w:sz w:val="22"/>
          <w:szCs w:val="22"/>
        </w:rPr>
      </w:pPr>
    </w:p>
    <w:p w14:paraId="78E82431" w14:textId="77777777" w:rsidR="00FC265C" w:rsidRPr="008D27BD" w:rsidRDefault="00FC265C" w:rsidP="00744E67">
      <w:pPr>
        <w:spacing w:before="40" w:after="40"/>
        <w:jc w:val="both"/>
        <w:rPr>
          <w:color w:val="000000" w:themeColor="text1"/>
          <w:sz w:val="22"/>
          <w:szCs w:val="22"/>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400"/>
      </w:tblGrid>
      <w:tr w:rsidR="00FC265C" w:rsidRPr="008D27BD" w14:paraId="65CCEB89" w14:textId="77777777">
        <w:tc>
          <w:tcPr>
            <w:tcW w:w="4400" w:type="dxa"/>
            <w:tcBorders>
              <w:top w:val="none" w:sz="0" w:space="0" w:color="FFFFFF"/>
              <w:left w:val="none" w:sz="0" w:space="0" w:color="FFFFFF"/>
              <w:bottom w:val="none" w:sz="0" w:space="0" w:color="FFFFFF"/>
              <w:right w:val="none" w:sz="0" w:space="0" w:color="FFFFFF"/>
            </w:tcBorders>
            <w:tcMar>
              <w:top w:w="80" w:type="dxa"/>
              <w:left w:w="0" w:type="dxa"/>
              <w:bottom w:w="80" w:type="dxa"/>
              <w:right w:w="300" w:type="dxa"/>
            </w:tcMar>
          </w:tcPr>
          <w:p w14:paraId="7CC157FE" w14:textId="77777777" w:rsidR="00FC265C" w:rsidRPr="008D27BD" w:rsidRDefault="00000000" w:rsidP="00744E67">
            <w:pPr>
              <w:spacing w:after="200"/>
              <w:rPr>
                <w:color w:val="000000" w:themeColor="text1"/>
                <w:sz w:val="22"/>
                <w:szCs w:val="22"/>
              </w:rPr>
            </w:pPr>
            <w:r>
              <w:rPr>
                <w:b/>
                <w:bCs/>
                <w:color w:val="000000" w:themeColor="text1"/>
                <w:sz w:val="22"/>
                <w:szCs w:val="22"/>
              </w:rPr>
              <w:t>CUSTOMER (CONTROLLER)</w:t>
            </w:r>
          </w:p>
          <w:p w14:paraId="2059B691" w14:textId="77777777" w:rsidR="00FC265C" w:rsidRPr="008D27BD" w:rsidRDefault="00000000" w:rsidP="00744E67">
            <w:pPr>
              <w:spacing w:before="140" w:after="80"/>
              <w:rPr>
                <w:color w:val="000000" w:themeColor="text1"/>
                <w:sz w:val="22"/>
                <w:szCs w:val="22"/>
              </w:rPr>
            </w:pPr>
            <w:r>
              <w:rPr>
                <w:color w:val="000000" w:themeColor="text1"/>
                <w:sz w:val="22"/>
                <w:szCs w:val="22"/>
              </w:rPr>
              <w:t>Authorised Signature:  _____________________________</w:t>
            </w:r>
          </w:p>
          <w:p w14:paraId="2CBDA5EE" w14:textId="77777777" w:rsidR="00FC265C" w:rsidRPr="008D27BD" w:rsidRDefault="00000000" w:rsidP="00744E67">
            <w:pPr>
              <w:spacing w:before="140" w:after="80"/>
              <w:rPr>
                <w:color w:val="000000" w:themeColor="text1"/>
                <w:sz w:val="22"/>
                <w:szCs w:val="22"/>
              </w:rPr>
            </w:pPr>
            <w:r>
              <w:rPr>
                <w:color w:val="000000" w:themeColor="text1"/>
                <w:sz w:val="22"/>
                <w:szCs w:val="22"/>
              </w:rPr>
              <w:t>Print Name:  _____________________________</w:t>
            </w:r>
          </w:p>
          <w:p w14:paraId="0293595B" w14:textId="77777777" w:rsidR="00FC265C" w:rsidRPr="008D27BD" w:rsidRDefault="00000000" w:rsidP="00744E67">
            <w:pPr>
              <w:spacing w:before="140" w:after="80"/>
              <w:rPr>
                <w:color w:val="000000" w:themeColor="text1"/>
                <w:sz w:val="22"/>
                <w:szCs w:val="22"/>
              </w:rPr>
            </w:pPr>
            <w:r>
              <w:rPr>
                <w:color w:val="000000" w:themeColor="text1"/>
                <w:sz w:val="22"/>
                <w:szCs w:val="22"/>
              </w:rPr>
              <w:lastRenderedPageBreak/>
              <w:t>Title:  _____________________________</w:t>
            </w:r>
          </w:p>
          <w:p w14:paraId="69D7ACE1" w14:textId="77777777" w:rsidR="00FC265C" w:rsidRPr="008D27BD" w:rsidRDefault="00000000" w:rsidP="00744E67">
            <w:pPr>
              <w:spacing w:before="140" w:after="80"/>
              <w:rPr>
                <w:color w:val="000000" w:themeColor="text1"/>
                <w:sz w:val="22"/>
                <w:szCs w:val="22"/>
              </w:rPr>
            </w:pPr>
            <w:r>
              <w:rPr>
                <w:color w:val="000000" w:themeColor="text1"/>
                <w:sz w:val="22"/>
                <w:szCs w:val="22"/>
              </w:rPr>
              <w:t>Date:  _____________________________</w:t>
            </w:r>
          </w:p>
          <w:p w14:paraId="1210361E" w14:textId="77777777" w:rsidR="00FC265C" w:rsidRPr="008D27BD" w:rsidRDefault="00000000" w:rsidP="00744E67">
            <w:pPr>
              <w:spacing w:before="140" w:after="80"/>
              <w:rPr>
                <w:color w:val="000000" w:themeColor="text1"/>
                <w:sz w:val="22"/>
                <w:szCs w:val="22"/>
              </w:rPr>
            </w:pPr>
            <w:r>
              <w:rPr>
                <w:color w:val="000000" w:themeColor="text1"/>
                <w:sz w:val="22"/>
                <w:szCs w:val="22"/>
              </w:rPr>
              <w:t>Legal Entity Name:  _____________________________</w:t>
            </w:r>
          </w:p>
        </w:tc>
        <w:tc>
          <w:tcPr>
            <w:tcW w:w="4400" w:type="dxa"/>
            <w:tcBorders>
              <w:top w:val="none" w:sz="0" w:space="0" w:color="FFFFFF"/>
              <w:left w:val="none" w:sz="0" w:space="0" w:color="FFFFFF"/>
              <w:bottom w:val="none" w:sz="0" w:space="0" w:color="FFFFFF"/>
              <w:right w:val="none" w:sz="0" w:space="0" w:color="FFFFFF"/>
            </w:tcBorders>
            <w:tcMar>
              <w:top w:w="80" w:type="dxa"/>
              <w:left w:w="300" w:type="dxa"/>
              <w:bottom w:w="80" w:type="dxa"/>
              <w:right w:w="0" w:type="dxa"/>
            </w:tcMar>
          </w:tcPr>
          <w:p w14:paraId="12F8E97A" w14:textId="77777777" w:rsidR="00FC265C" w:rsidRPr="008D27BD" w:rsidRDefault="00000000" w:rsidP="00744E67">
            <w:pPr>
              <w:spacing w:after="200"/>
              <w:rPr>
                <w:color w:val="000000" w:themeColor="text1"/>
                <w:sz w:val="22"/>
                <w:szCs w:val="22"/>
              </w:rPr>
            </w:pPr>
            <w:r>
              <w:rPr>
                <w:b/>
                <w:bCs/>
                <w:color w:val="000000" w:themeColor="text1"/>
                <w:sz w:val="22"/>
                <w:szCs w:val="22"/>
              </w:rPr>
              <w:lastRenderedPageBreak/>
              <w:t>ENSEMBLE LABS INC. d/b/a TRUEFOUNDRY (PROCESSOR)</w:t>
            </w:r>
          </w:p>
          <w:p w14:paraId="7221B938" w14:textId="77777777" w:rsidR="00FC265C" w:rsidRPr="008D27BD" w:rsidRDefault="00000000" w:rsidP="00744E67">
            <w:pPr>
              <w:spacing w:before="140" w:after="80"/>
              <w:rPr>
                <w:color w:val="000000" w:themeColor="text1"/>
                <w:sz w:val="22"/>
                <w:szCs w:val="22"/>
              </w:rPr>
            </w:pPr>
            <w:r>
              <w:rPr>
                <w:color w:val="000000" w:themeColor="text1"/>
                <w:sz w:val="22"/>
                <w:szCs w:val="22"/>
              </w:rPr>
              <w:t>Authorised Signature:  _____________________________</w:t>
            </w:r>
          </w:p>
          <w:p w14:paraId="12CB99A0" w14:textId="77777777" w:rsidR="00FC265C" w:rsidRPr="008D27BD" w:rsidRDefault="00000000" w:rsidP="00744E67">
            <w:pPr>
              <w:spacing w:before="140" w:after="80"/>
              <w:rPr>
                <w:color w:val="000000" w:themeColor="text1"/>
                <w:sz w:val="22"/>
                <w:szCs w:val="22"/>
              </w:rPr>
            </w:pPr>
            <w:r>
              <w:rPr>
                <w:color w:val="000000" w:themeColor="text1"/>
                <w:sz w:val="22"/>
                <w:szCs w:val="22"/>
              </w:rPr>
              <w:t>Print Name:  _____________________________</w:t>
            </w:r>
          </w:p>
          <w:p w14:paraId="27D14167" w14:textId="77777777" w:rsidR="00FC265C" w:rsidRPr="008D27BD" w:rsidRDefault="00000000" w:rsidP="00744E67">
            <w:pPr>
              <w:spacing w:before="140" w:after="80"/>
              <w:rPr>
                <w:color w:val="000000" w:themeColor="text1"/>
                <w:sz w:val="22"/>
                <w:szCs w:val="22"/>
              </w:rPr>
            </w:pPr>
            <w:r>
              <w:rPr>
                <w:color w:val="000000" w:themeColor="text1"/>
                <w:sz w:val="22"/>
                <w:szCs w:val="22"/>
              </w:rPr>
              <w:lastRenderedPageBreak/>
              <w:t>Title:  _____________________________</w:t>
            </w:r>
          </w:p>
          <w:p w14:paraId="21C6E1B0" w14:textId="77777777" w:rsidR="00FC265C" w:rsidRPr="008D27BD" w:rsidRDefault="00000000" w:rsidP="00744E67">
            <w:pPr>
              <w:spacing w:before="140" w:after="80"/>
              <w:rPr>
                <w:color w:val="000000" w:themeColor="text1"/>
                <w:sz w:val="22"/>
                <w:szCs w:val="22"/>
              </w:rPr>
            </w:pPr>
            <w:r>
              <w:rPr>
                <w:color w:val="000000" w:themeColor="text1"/>
                <w:sz w:val="22"/>
                <w:szCs w:val="22"/>
              </w:rPr>
              <w:t>Date:  _____________________________</w:t>
            </w:r>
          </w:p>
        </w:tc>
      </w:tr>
    </w:tbl>
    <w:p w14:paraId="0174D55E" w14:textId="77777777" w:rsidR="00FC265C" w:rsidRPr="008D27BD" w:rsidRDefault="00000000" w:rsidP="00744E67">
      <w:pPr>
        <w:rPr>
          <w:color w:val="000000" w:themeColor="text1"/>
          <w:sz w:val="22"/>
          <w:szCs w:val="22"/>
        </w:rPr>
      </w:pPr>
      <w:r>
        <w:rPr>
          <w:color w:val="000000" w:themeColor="text1"/>
          <w:sz w:val="22"/>
          <w:szCs w:val="22"/>
        </w:rPr>
        <w:lastRenderedPageBreak/>
        <w:br w:type="page"/>
      </w:r>
    </w:p>
    <w:p w14:paraId="7A2A2E84" w14:textId="77777777" w:rsidR="00FC265C" w:rsidRPr="008D27BD" w:rsidRDefault="00000000" w:rsidP="00744E67">
      <w:pPr>
        <w:shd w:val="clear" w:color="auto" w:fill="A5C9EB" w:themeFill="text2" w:themeFillTint="40"/>
        <w:spacing w:before="240" w:after="240"/>
        <w:ind w:left="120" w:right="120"/>
        <w:jc w:val="both"/>
        <w:rPr>
          <w:color w:val="000000" w:themeColor="text1"/>
          <w:sz w:val="22"/>
          <w:szCs w:val="22"/>
        </w:rPr>
      </w:pPr>
      <w:r>
        <w:rPr>
          <w:b/>
          <w:bCs/>
          <w:color w:val="000000" w:themeColor="text1"/>
          <w:sz w:val="22"/>
          <w:szCs w:val="22"/>
        </w:rPr>
        <w:lastRenderedPageBreak/>
        <w:t>SCHEDULE 1 — DETAILS OF PROCESSING</w:t>
      </w:r>
    </w:p>
    <w:p w14:paraId="3F478713" w14:textId="77777777" w:rsidR="00FC265C" w:rsidRPr="008D27BD" w:rsidRDefault="00FC265C" w:rsidP="00744E67">
      <w:pPr>
        <w:spacing w:before="40" w:after="40"/>
        <w:jc w:val="both"/>
        <w:rPr>
          <w:color w:val="000000" w:themeColor="text1"/>
          <w:sz w:val="22"/>
          <w:szCs w:val="22"/>
        </w:rPr>
      </w:pPr>
    </w:p>
    <w:p w14:paraId="3615B25A" w14:textId="77777777" w:rsidR="00FC265C" w:rsidRPr="008D27BD" w:rsidRDefault="00000000" w:rsidP="00744E67">
      <w:pPr>
        <w:pStyle w:val="Heading2"/>
        <w:jc w:val="both"/>
        <w:rPr>
          <w:color w:val="000000" w:themeColor="text1"/>
        </w:rPr>
      </w:pPr>
      <w:r>
        <w:rPr>
          <w:color w:val="000000" w:themeColor="text1"/>
        </w:rPr>
        <w:t>A.  List of Parties</w:t>
      </w:r>
    </w:p>
    <w:p w14:paraId="7968075A"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Controller:  As set forth in the preamble to this DPA.</w:t>
      </w:r>
    </w:p>
    <w:p w14:paraId="26EEEDAD"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Processor:  Ensemble Labs Inc. d/b/a TrueFoundry, a corporation organised under the laws of the State of Delaware, United States.</w:t>
      </w:r>
    </w:p>
    <w:p w14:paraId="3720C191" w14:textId="77777777" w:rsidR="00FC265C" w:rsidRPr="008D27BD" w:rsidRDefault="00FC265C" w:rsidP="00744E67">
      <w:pPr>
        <w:spacing w:before="40" w:after="40"/>
        <w:jc w:val="both"/>
        <w:rPr>
          <w:color w:val="000000" w:themeColor="text1"/>
          <w:sz w:val="22"/>
          <w:szCs w:val="22"/>
        </w:rPr>
      </w:pPr>
    </w:p>
    <w:p w14:paraId="7EAEA898" w14:textId="77777777" w:rsidR="00FC265C" w:rsidRPr="008D27BD" w:rsidRDefault="00000000" w:rsidP="00744E67">
      <w:pPr>
        <w:pStyle w:val="Heading2"/>
        <w:jc w:val="both"/>
        <w:rPr>
          <w:color w:val="000000" w:themeColor="text1"/>
        </w:rPr>
      </w:pPr>
      <w:r>
        <w:rPr>
          <w:color w:val="000000" w:themeColor="text1"/>
        </w:rPr>
        <w:t>B.  Description of Processing</w:t>
      </w:r>
    </w:p>
    <w:p w14:paraId="0D86D605" w14:textId="77777777" w:rsidR="00FC265C" w:rsidRPr="008D27BD" w:rsidRDefault="00FC265C" w:rsidP="00744E67">
      <w:pPr>
        <w:spacing w:before="40" w:after="40"/>
        <w:jc w:val="both"/>
        <w:rPr>
          <w:color w:val="000000" w:themeColor="text1"/>
          <w:sz w:val="22"/>
          <w:szCs w:val="22"/>
        </w:rPr>
      </w:pPr>
    </w:p>
    <w:p w14:paraId="08CD289B" w14:textId="77777777" w:rsidR="00FC265C" w:rsidRPr="008D27BD" w:rsidRDefault="00000000" w:rsidP="00744E67">
      <w:pPr>
        <w:pStyle w:val="Heading3"/>
        <w:spacing w:before="200"/>
        <w:jc w:val="both"/>
        <w:rPr>
          <w:color w:val="000000" w:themeColor="text1"/>
          <w:sz w:val="22"/>
          <w:szCs w:val="22"/>
        </w:rPr>
      </w:pPr>
      <w:r>
        <w:rPr>
          <w:color w:val="000000" w:themeColor="text1"/>
          <w:sz w:val="22"/>
          <w:szCs w:val="22"/>
        </w:rPr>
        <w:t>1.  Subject Matter and Nature of Processing</w:t>
      </w:r>
    </w:p>
    <w:p w14:paraId="419B6AEC"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The subject matter is the provision of TrueFoundry's platform and professional services, including deployment of applications, machine learning models, and large language models. The nature of Processing includes: collection, storage, retrieval, organisation, use, disclosure by transmission, and erasure of Personal Data.</w:t>
      </w:r>
    </w:p>
    <w:p w14:paraId="0261A473" w14:textId="77777777" w:rsidR="00FC265C" w:rsidRPr="008D27BD" w:rsidRDefault="00FC265C" w:rsidP="00744E67">
      <w:pPr>
        <w:spacing w:before="40" w:after="40"/>
        <w:jc w:val="both"/>
        <w:rPr>
          <w:color w:val="000000" w:themeColor="text1"/>
          <w:sz w:val="22"/>
          <w:szCs w:val="22"/>
        </w:rPr>
      </w:pPr>
    </w:p>
    <w:p w14:paraId="76EE728B" w14:textId="77777777" w:rsidR="00FC265C" w:rsidRPr="008D27BD" w:rsidRDefault="00000000" w:rsidP="00744E67">
      <w:pPr>
        <w:pStyle w:val="Heading3"/>
        <w:spacing w:before="200"/>
        <w:jc w:val="both"/>
        <w:rPr>
          <w:color w:val="000000" w:themeColor="text1"/>
          <w:sz w:val="22"/>
          <w:szCs w:val="22"/>
        </w:rPr>
      </w:pPr>
      <w:r>
        <w:rPr>
          <w:color w:val="000000" w:themeColor="text1"/>
          <w:sz w:val="22"/>
          <w:szCs w:val="22"/>
        </w:rPr>
        <w:t>2.  Purpose(s) of Processing</w:t>
      </w:r>
    </w:p>
    <w:p w14:paraId="34AD2321"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TrueFoundry Processes Covered Data for the following purposes:</w:t>
      </w:r>
    </w:p>
    <w:p w14:paraId="7129714B" w14:textId="77777777" w:rsidR="00FC265C" w:rsidRPr="008D27BD" w:rsidRDefault="00000000" w:rsidP="00744E67">
      <w:pPr>
        <w:pStyle w:val="ListParagraph"/>
        <w:numPr>
          <w:ilvl w:val="0"/>
          <w:numId w:val="2"/>
        </w:numPr>
        <w:spacing w:before="40" w:after="40"/>
        <w:ind w:left="426" w:hanging="426"/>
        <w:jc w:val="both"/>
        <w:rPr>
          <w:color w:val="000000" w:themeColor="text1"/>
          <w:sz w:val="22"/>
          <w:szCs w:val="22"/>
        </w:rPr>
      </w:pPr>
      <w:r>
        <w:rPr>
          <w:color w:val="000000" w:themeColor="text1"/>
          <w:sz w:val="22"/>
          <w:szCs w:val="22"/>
        </w:rPr>
        <w:t>to provide, maintain, and improve the Services under the Agreement;</w:t>
      </w:r>
    </w:p>
    <w:p w14:paraId="5DEC2EF3" w14:textId="77777777" w:rsidR="00FC265C" w:rsidRPr="008D27BD" w:rsidRDefault="00000000" w:rsidP="00744E67">
      <w:pPr>
        <w:pStyle w:val="ListParagraph"/>
        <w:numPr>
          <w:ilvl w:val="0"/>
          <w:numId w:val="2"/>
        </w:numPr>
        <w:spacing w:before="40" w:after="40"/>
        <w:ind w:left="426" w:hanging="426"/>
        <w:jc w:val="both"/>
        <w:rPr>
          <w:color w:val="000000" w:themeColor="text1"/>
          <w:sz w:val="22"/>
          <w:szCs w:val="22"/>
        </w:rPr>
      </w:pPr>
      <w:r>
        <w:rPr>
          <w:color w:val="000000" w:themeColor="text1"/>
          <w:sz w:val="22"/>
          <w:szCs w:val="22"/>
        </w:rPr>
        <w:t>to provide customer support and respond to Customer enquiries;</w:t>
      </w:r>
    </w:p>
    <w:p w14:paraId="48D1FEE9" w14:textId="77777777" w:rsidR="00FC265C" w:rsidRPr="008D27BD" w:rsidRDefault="00000000" w:rsidP="00744E67">
      <w:pPr>
        <w:pStyle w:val="ListParagraph"/>
        <w:numPr>
          <w:ilvl w:val="0"/>
          <w:numId w:val="2"/>
        </w:numPr>
        <w:spacing w:before="40" w:after="40"/>
        <w:ind w:left="426" w:hanging="426"/>
        <w:jc w:val="both"/>
        <w:rPr>
          <w:color w:val="000000" w:themeColor="text1"/>
          <w:sz w:val="22"/>
          <w:szCs w:val="22"/>
        </w:rPr>
      </w:pPr>
      <w:r>
        <w:rPr>
          <w:color w:val="000000" w:themeColor="text1"/>
          <w:sz w:val="22"/>
          <w:szCs w:val="22"/>
        </w:rPr>
        <w:t>to comply with TrueFoundry's legal and regulatory obligations; and</w:t>
      </w:r>
    </w:p>
    <w:p w14:paraId="3B2D1A4B" w14:textId="77777777" w:rsidR="00FC265C" w:rsidRPr="008D27BD" w:rsidRDefault="00000000" w:rsidP="00744E67">
      <w:pPr>
        <w:pStyle w:val="ListParagraph"/>
        <w:numPr>
          <w:ilvl w:val="0"/>
          <w:numId w:val="2"/>
        </w:numPr>
        <w:spacing w:before="40" w:after="40"/>
        <w:ind w:left="426" w:hanging="426"/>
        <w:jc w:val="both"/>
        <w:rPr>
          <w:color w:val="000000" w:themeColor="text1"/>
          <w:sz w:val="22"/>
          <w:szCs w:val="22"/>
        </w:rPr>
      </w:pPr>
      <w:r>
        <w:rPr>
          <w:color w:val="000000" w:themeColor="text1"/>
          <w:sz w:val="22"/>
          <w:szCs w:val="22"/>
        </w:rPr>
        <w:t>as otherwise expressly agreed in writing between the Parties.</w:t>
      </w:r>
    </w:p>
    <w:p w14:paraId="4C568D6E" w14:textId="77777777" w:rsidR="00FC265C" w:rsidRPr="008D27BD" w:rsidRDefault="00FC265C" w:rsidP="00744E67">
      <w:pPr>
        <w:spacing w:before="40" w:after="40"/>
        <w:jc w:val="both"/>
        <w:rPr>
          <w:color w:val="000000" w:themeColor="text1"/>
          <w:sz w:val="22"/>
          <w:szCs w:val="22"/>
        </w:rPr>
      </w:pPr>
    </w:p>
    <w:p w14:paraId="2F7C9B2A" w14:textId="77777777" w:rsidR="00FC265C" w:rsidRPr="008D27BD" w:rsidRDefault="00000000" w:rsidP="00744E67">
      <w:pPr>
        <w:pStyle w:val="Heading3"/>
        <w:spacing w:before="200"/>
        <w:jc w:val="both"/>
        <w:rPr>
          <w:color w:val="000000" w:themeColor="text1"/>
          <w:sz w:val="22"/>
          <w:szCs w:val="22"/>
        </w:rPr>
      </w:pPr>
      <w:r>
        <w:rPr>
          <w:color w:val="000000" w:themeColor="text1"/>
          <w:sz w:val="22"/>
          <w:szCs w:val="22"/>
        </w:rPr>
        <w:t>3.  Categories of Data Subjects</w:t>
      </w:r>
    </w:p>
    <w:p w14:paraId="5A596ACE"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Covered Data may relate to:</w:t>
      </w:r>
    </w:p>
    <w:p w14:paraId="336344CB" w14:textId="77777777" w:rsidR="00FC265C" w:rsidRPr="008D27BD" w:rsidRDefault="00000000" w:rsidP="00744E67">
      <w:pPr>
        <w:pStyle w:val="ListParagraph"/>
        <w:numPr>
          <w:ilvl w:val="0"/>
          <w:numId w:val="14"/>
        </w:numPr>
        <w:spacing w:before="40" w:after="40"/>
        <w:ind w:left="426" w:hanging="426"/>
        <w:jc w:val="both"/>
        <w:rPr>
          <w:color w:val="000000" w:themeColor="text1"/>
          <w:sz w:val="22"/>
          <w:szCs w:val="22"/>
        </w:rPr>
      </w:pPr>
      <w:r>
        <w:rPr>
          <w:color w:val="000000" w:themeColor="text1"/>
          <w:sz w:val="22"/>
          <w:szCs w:val="22"/>
        </w:rPr>
        <w:t>Customer's employees, contractors, and agents who access or use the Services;</w:t>
      </w:r>
    </w:p>
    <w:p w14:paraId="0252DF11" w14:textId="77777777" w:rsidR="00FC265C" w:rsidRPr="008D27BD" w:rsidRDefault="00000000" w:rsidP="00744E67">
      <w:pPr>
        <w:pStyle w:val="ListParagraph"/>
        <w:numPr>
          <w:ilvl w:val="0"/>
          <w:numId w:val="14"/>
        </w:numPr>
        <w:spacing w:before="40" w:after="40"/>
        <w:ind w:left="426" w:hanging="426"/>
        <w:jc w:val="both"/>
        <w:rPr>
          <w:color w:val="000000" w:themeColor="text1"/>
          <w:sz w:val="22"/>
          <w:szCs w:val="22"/>
        </w:rPr>
      </w:pPr>
      <w:r>
        <w:rPr>
          <w:color w:val="000000" w:themeColor="text1"/>
          <w:sz w:val="22"/>
          <w:szCs w:val="22"/>
        </w:rPr>
        <w:t>Customer's customers and end users whose data is uploaded to or Processed via the Services; and</w:t>
      </w:r>
    </w:p>
    <w:p w14:paraId="40442EF2" w14:textId="77777777" w:rsidR="00FC265C" w:rsidRPr="008D27BD" w:rsidRDefault="00000000" w:rsidP="00744E67">
      <w:pPr>
        <w:pStyle w:val="ListParagraph"/>
        <w:numPr>
          <w:ilvl w:val="0"/>
          <w:numId w:val="14"/>
        </w:numPr>
        <w:spacing w:before="40" w:after="40"/>
        <w:ind w:left="426" w:hanging="426"/>
        <w:jc w:val="both"/>
        <w:rPr>
          <w:color w:val="000000" w:themeColor="text1"/>
          <w:sz w:val="22"/>
          <w:szCs w:val="22"/>
        </w:rPr>
      </w:pPr>
      <w:r>
        <w:rPr>
          <w:color w:val="000000" w:themeColor="text1"/>
          <w:sz w:val="22"/>
          <w:szCs w:val="22"/>
        </w:rPr>
        <w:t>other individuals whose Personal Data is Processed by Customer through the Services.</w:t>
      </w:r>
    </w:p>
    <w:p w14:paraId="12C9D45C" w14:textId="77777777" w:rsidR="00FC265C" w:rsidRPr="008D27BD" w:rsidRDefault="00FC265C" w:rsidP="00744E67">
      <w:pPr>
        <w:spacing w:before="40" w:after="40"/>
        <w:jc w:val="both"/>
        <w:rPr>
          <w:color w:val="000000" w:themeColor="text1"/>
          <w:sz w:val="22"/>
          <w:szCs w:val="22"/>
        </w:rPr>
      </w:pPr>
    </w:p>
    <w:p w14:paraId="63E47AC0" w14:textId="77777777" w:rsidR="00FC265C" w:rsidRPr="008D27BD" w:rsidRDefault="00000000" w:rsidP="00744E67">
      <w:pPr>
        <w:pStyle w:val="Heading3"/>
        <w:spacing w:before="200"/>
        <w:jc w:val="both"/>
        <w:rPr>
          <w:color w:val="000000" w:themeColor="text1"/>
          <w:sz w:val="22"/>
          <w:szCs w:val="22"/>
        </w:rPr>
      </w:pPr>
      <w:r>
        <w:rPr>
          <w:color w:val="000000" w:themeColor="text1"/>
          <w:sz w:val="22"/>
          <w:szCs w:val="22"/>
        </w:rPr>
        <w:t>4.  Categories of Personal Data</w:t>
      </w:r>
    </w:p>
    <w:p w14:paraId="4F4613D5"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Covered Data may include:</w:t>
      </w:r>
    </w:p>
    <w:p w14:paraId="4E73A46D" w14:textId="77777777" w:rsidR="00FC265C" w:rsidRPr="008D27BD" w:rsidRDefault="00000000" w:rsidP="00744E67">
      <w:pPr>
        <w:pStyle w:val="ListParagraph"/>
        <w:numPr>
          <w:ilvl w:val="0"/>
          <w:numId w:val="15"/>
        </w:numPr>
        <w:spacing w:before="40" w:after="40"/>
        <w:ind w:left="426" w:hanging="426"/>
        <w:jc w:val="both"/>
        <w:rPr>
          <w:color w:val="000000" w:themeColor="text1"/>
          <w:sz w:val="22"/>
          <w:szCs w:val="22"/>
        </w:rPr>
      </w:pPr>
      <w:r>
        <w:rPr>
          <w:color w:val="000000" w:themeColor="text1"/>
          <w:sz w:val="22"/>
          <w:szCs w:val="22"/>
        </w:rPr>
        <w:t>Identification data: name, username, employee or user ID;</w:t>
      </w:r>
    </w:p>
    <w:p w14:paraId="4577BF77" w14:textId="77777777" w:rsidR="00FC265C" w:rsidRPr="008D27BD" w:rsidRDefault="00000000" w:rsidP="00744E67">
      <w:pPr>
        <w:pStyle w:val="ListParagraph"/>
        <w:numPr>
          <w:ilvl w:val="0"/>
          <w:numId w:val="15"/>
        </w:numPr>
        <w:spacing w:before="40" w:after="40"/>
        <w:ind w:left="426" w:hanging="426"/>
        <w:jc w:val="both"/>
        <w:rPr>
          <w:color w:val="000000" w:themeColor="text1"/>
          <w:sz w:val="22"/>
          <w:szCs w:val="22"/>
        </w:rPr>
      </w:pPr>
      <w:r>
        <w:rPr>
          <w:color w:val="000000" w:themeColor="text1"/>
          <w:sz w:val="22"/>
          <w:szCs w:val="22"/>
        </w:rPr>
        <w:t>Contact data: email address, telephone number, business address;</w:t>
      </w:r>
    </w:p>
    <w:p w14:paraId="1DF91837" w14:textId="77777777" w:rsidR="00FC265C" w:rsidRPr="008D27BD" w:rsidRDefault="00000000" w:rsidP="00744E67">
      <w:pPr>
        <w:pStyle w:val="ListParagraph"/>
        <w:numPr>
          <w:ilvl w:val="0"/>
          <w:numId w:val="15"/>
        </w:numPr>
        <w:spacing w:before="40" w:after="40"/>
        <w:ind w:left="426" w:hanging="426"/>
        <w:jc w:val="both"/>
        <w:rPr>
          <w:color w:val="000000" w:themeColor="text1"/>
          <w:sz w:val="22"/>
          <w:szCs w:val="22"/>
        </w:rPr>
      </w:pPr>
      <w:r>
        <w:rPr>
          <w:color w:val="000000" w:themeColor="text1"/>
          <w:sz w:val="22"/>
          <w:szCs w:val="22"/>
        </w:rPr>
        <w:t>Authentication and access data: login credentials, access logs, IP addresses;</w:t>
      </w:r>
    </w:p>
    <w:p w14:paraId="7822C39A" w14:textId="77777777" w:rsidR="00FC265C" w:rsidRPr="008D27BD" w:rsidRDefault="00000000" w:rsidP="00744E67">
      <w:pPr>
        <w:pStyle w:val="ListParagraph"/>
        <w:numPr>
          <w:ilvl w:val="0"/>
          <w:numId w:val="15"/>
        </w:numPr>
        <w:spacing w:before="40" w:after="40"/>
        <w:ind w:left="426" w:hanging="426"/>
        <w:jc w:val="both"/>
        <w:rPr>
          <w:color w:val="000000" w:themeColor="text1"/>
          <w:sz w:val="22"/>
          <w:szCs w:val="22"/>
        </w:rPr>
      </w:pPr>
      <w:r>
        <w:rPr>
          <w:color w:val="000000" w:themeColor="text1"/>
          <w:sz w:val="22"/>
          <w:szCs w:val="22"/>
        </w:rPr>
        <w:t>Technical and usage data: device identifiers, system logs, API call logs; and</w:t>
      </w:r>
    </w:p>
    <w:p w14:paraId="69B92985" w14:textId="77777777" w:rsidR="00FC265C" w:rsidRPr="008D27BD" w:rsidRDefault="00000000" w:rsidP="00744E67">
      <w:pPr>
        <w:pStyle w:val="Heading3"/>
        <w:spacing w:before="200"/>
        <w:jc w:val="both"/>
        <w:rPr>
          <w:color w:val="000000" w:themeColor="text1"/>
          <w:sz w:val="22"/>
          <w:szCs w:val="22"/>
        </w:rPr>
      </w:pPr>
      <w:r>
        <w:rPr>
          <w:color w:val="000000" w:themeColor="text1"/>
          <w:sz w:val="22"/>
          <w:szCs w:val="22"/>
        </w:rPr>
        <w:t>5.  Special Categories of Personal Data</w:t>
      </w:r>
    </w:p>
    <w:p w14:paraId="7F7ABFE2"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Unless otherwise agreed in writing, TrueFoundry shall not Process special categories of Personal Data (including health data, biometric data, racial or ethnic origin, political opinions, religious beliefs, or financial account data).</w:t>
      </w:r>
    </w:p>
    <w:p w14:paraId="232048E0" w14:textId="77777777" w:rsidR="00FC265C" w:rsidRPr="008D27BD" w:rsidRDefault="00FC265C" w:rsidP="00744E67">
      <w:pPr>
        <w:spacing w:before="40" w:after="40"/>
        <w:jc w:val="both"/>
        <w:rPr>
          <w:color w:val="000000" w:themeColor="text1"/>
          <w:sz w:val="22"/>
          <w:szCs w:val="22"/>
        </w:rPr>
      </w:pPr>
    </w:p>
    <w:p w14:paraId="289871F3" w14:textId="77777777" w:rsidR="00FC265C" w:rsidRPr="008D27BD" w:rsidRDefault="00000000" w:rsidP="00744E67">
      <w:pPr>
        <w:pStyle w:val="Heading3"/>
        <w:spacing w:before="200"/>
        <w:jc w:val="both"/>
        <w:rPr>
          <w:color w:val="000000" w:themeColor="text1"/>
          <w:sz w:val="22"/>
          <w:szCs w:val="22"/>
        </w:rPr>
      </w:pPr>
      <w:r>
        <w:rPr>
          <w:color w:val="000000" w:themeColor="text1"/>
          <w:sz w:val="22"/>
          <w:szCs w:val="22"/>
        </w:rPr>
        <w:t>6.  Frequency of Processing</w:t>
      </w:r>
    </w:p>
    <w:p w14:paraId="7B583012"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lastRenderedPageBreak/>
        <w:t>Processing shall occur on a continuous basis throughout the term of the Agreement, as required for the provision of the Services.</w:t>
      </w:r>
    </w:p>
    <w:p w14:paraId="0139169B" w14:textId="77777777" w:rsidR="00FC265C" w:rsidRPr="008D27BD" w:rsidRDefault="00FC265C" w:rsidP="00744E67">
      <w:pPr>
        <w:spacing w:before="40" w:after="40"/>
        <w:jc w:val="both"/>
        <w:rPr>
          <w:color w:val="000000" w:themeColor="text1"/>
          <w:sz w:val="22"/>
          <w:szCs w:val="22"/>
        </w:rPr>
      </w:pPr>
    </w:p>
    <w:p w14:paraId="0624F9BA" w14:textId="77777777" w:rsidR="00FC265C" w:rsidRPr="008D27BD" w:rsidRDefault="00000000" w:rsidP="00744E67">
      <w:pPr>
        <w:pStyle w:val="Heading3"/>
        <w:spacing w:before="200"/>
        <w:jc w:val="both"/>
        <w:rPr>
          <w:color w:val="000000" w:themeColor="text1"/>
          <w:sz w:val="22"/>
          <w:szCs w:val="22"/>
        </w:rPr>
      </w:pPr>
      <w:r>
        <w:rPr>
          <w:color w:val="000000" w:themeColor="text1"/>
          <w:sz w:val="22"/>
          <w:szCs w:val="22"/>
        </w:rPr>
        <w:t>7.  Duration of Processing</w:t>
      </w:r>
    </w:p>
    <w:p w14:paraId="538CF7A3"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Processing shall continue for the duration of the Agreement. Upon expiry or termination, Article 14 governs retention, return, and deletion.</w:t>
      </w:r>
    </w:p>
    <w:p w14:paraId="62050DDA" w14:textId="77777777" w:rsidR="00FC265C" w:rsidRPr="008D27BD" w:rsidRDefault="00FC265C" w:rsidP="00744E67">
      <w:pPr>
        <w:spacing w:before="40" w:after="40"/>
        <w:jc w:val="both"/>
        <w:rPr>
          <w:color w:val="000000" w:themeColor="text1"/>
          <w:sz w:val="22"/>
          <w:szCs w:val="22"/>
        </w:rPr>
      </w:pPr>
    </w:p>
    <w:p w14:paraId="76F1606C" w14:textId="77777777" w:rsidR="00FC265C" w:rsidRPr="008D27BD" w:rsidRDefault="00000000" w:rsidP="00744E67">
      <w:pPr>
        <w:pStyle w:val="Heading3"/>
        <w:spacing w:before="200"/>
        <w:jc w:val="both"/>
        <w:rPr>
          <w:color w:val="000000" w:themeColor="text1"/>
          <w:sz w:val="22"/>
          <w:szCs w:val="22"/>
        </w:rPr>
      </w:pPr>
      <w:r>
        <w:rPr>
          <w:color w:val="000000" w:themeColor="text1"/>
          <w:sz w:val="22"/>
          <w:szCs w:val="22"/>
        </w:rPr>
        <w:t>8.  Competent Supervisory Authority (EEA/UK Transfers)</w:t>
      </w:r>
    </w:p>
    <w:p w14:paraId="250D1595"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To be determined by reference to the Controller's primary place of establishment within the EEA or UK, as applicable.</w:t>
      </w:r>
    </w:p>
    <w:p w14:paraId="0201C2D5" w14:textId="77777777" w:rsidR="00FC265C" w:rsidRPr="008D27BD" w:rsidRDefault="00000000" w:rsidP="00744E67">
      <w:pPr>
        <w:jc w:val="both"/>
        <w:rPr>
          <w:color w:val="000000" w:themeColor="text1"/>
          <w:sz w:val="22"/>
          <w:szCs w:val="22"/>
        </w:rPr>
      </w:pPr>
      <w:r>
        <w:rPr>
          <w:color w:val="000000" w:themeColor="text1"/>
          <w:sz w:val="22"/>
          <w:szCs w:val="22"/>
        </w:rPr>
        <w:br w:type="page"/>
      </w:r>
    </w:p>
    <w:p w14:paraId="189C26B8" w14:textId="77777777" w:rsidR="00FC265C" w:rsidRPr="008D27BD" w:rsidRDefault="00000000" w:rsidP="00744E67">
      <w:pPr>
        <w:shd w:val="clear" w:color="auto" w:fill="A5C9EB" w:themeFill="text2" w:themeFillTint="40"/>
        <w:spacing w:before="240" w:after="240"/>
        <w:ind w:left="120" w:right="120"/>
        <w:jc w:val="both"/>
        <w:rPr>
          <w:color w:val="000000" w:themeColor="text1"/>
          <w:sz w:val="22"/>
          <w:szCs w:val="22"/>
        </w:rPr>
      </w:pPr>
      <w:r>
        <w:rPr>
          <w:b/>
          <w:bCs/>
          <w:color w:val="000000" w:themeColor="text1"/>
          <w:sz w:val="22"/>
          <w:szCs w:val="22"/>
        </w:rPr>
        <w:lastRenderedPageBreak/>
        <w:t>SCHEDULE 2 — APPROVED SUB-PROCESSORS</w:t>
      </w:r>
    </w:p>
    <w:p w14:paraId="3986234F" w14:textId="77777777" w:rsidR="00FC265C" w:rsidRPr="008D27BD" w:rsidRDefault="00FC265C" w:rsidP="00744E67">
      <w:pPr>
        <w:spacing w:before="40" w:after="40"/>
        <w:jc w:val="both"/>
        <w:rPr>
          <w:color w:val="000000" w:themeColor="text1"/>
          <w:sz w:val="22"/>
          <w:szCs w:val="22"/>
        </w:rPr>
      </w:pPr>
    </w:p>
    <w:p w14:paraId="6A055C99" w14:textId="66B180E5" w:rsidR="00FC265C" w:rsidRPr="008D27BD" w:rsidRDefault="00000000" w:rsidP="00744E67">
      <w:pPr>
        <w:spacing w:before="60" w:after="60"/>
        <w:jc w:val="both"/>
        <w:rPr>
          <w:color w:val="000000" w:themeColor="text1"/>
          <w:sz w:val="22"/>
          <w:szCs w:val="22"/>
        </w:rPr>
      </w:pPr>
      <w:r>
        <w:rPr>
          <w:color w:val="000000" w:themeColor="text1"/>
          <w:sz w:val="22"/>
          <w:szCs w:val="22"/>
        </w:rPr>
        <w:t>The following Sub-processors are authorised to Process Covered Data on TrueFoundry's behalf. An up-to-date list is maintained at https://trust.truefoundry.com/subprocessors. TrueFoundry shall notify Customer of any additions or changes in accordance with Article 8.4.</w:t>
      </w:r>
    </w:p>
    <w:p w14:paraId="6ABE3DAF" w14:textId="77777777" w:rsidR="00FC265C" w:rsidRPr="008D27BD" w:rsidRDefault="00FC265C" w:rsidP="00744E67">
      <w:pPr>
        <w:spacing w:before="40" w:after="40"/>
        <w:jc w:val="both"/>
        <w:rPr>
          <w:color w:val="000000" w:themeColor="text1"/>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000"/>
        <w:gridCol w:w="2600"/>
        <w:gridCol w:w="2560"/>
      </w:tblGrid>
      <w:tr w:rsidR="00FC265C" w:rsidRPr="008D27BD" w14:paraId="7B56AE2B" w14:textId="77777777" w:rsidTr="00D46DBA">
        <w:trPr>
          <w:tblHeader/>
        </w:trPr>
        <w:tc>
          <w:tcPr>
            <w:tcW w:w="2200" w:type="dxa"/>
            <w:tcBorders>
              <w:top w:val="single" w:sz="4" w:space="0" w:color="AAAAAA"/>
              <w:left w:val="single" w:sz="4" w:space="0" w:color="AAAAAA"/>
              <w:bottom w:val="single" w:sz="4" w:space="0" w:color="AAAAAA"/>
              <w:right w:val="single" w:sz="4" w:space="0" w:color="AAAAAA"/>
            </w:tcBorders>
            <w:shd w:val="clear" w:color="auto" w:fill="A5C9EB" w:themeFill="text2" w:themeFillTint="40"/>
            <w:tcMar>
              <w:top w:w="100" w:type="dxa"/>
              <w:left w:w="150" w:type="dxa"/>
              <w:bottom w:w="100" w:type="dxa"/>
              <w:right w:w="150" w:type="dxa"/>
            </w:tcMar>
            <w:vAlign w:val="center"/>
          </w:tcPr>
          <w:p w14:paraId="1F515631" w14:textId="77777777" w:rsidR="00FC265C" w:rsidRPr="008D27BD" w:rsidRDefault="00000000" w:rsidP="00744E67">
            <w:pPr>
              <w:jc w:val="both"/>
              <w:rPr>
                <w:color w:val="000000" w:themeColor="text1"/>
                <w:sz w:val="22"/>
                <w:szCs w:val="22"/>
              </w:rPr>
            </w:pPr>
            <w:r>
              <w:rPr>
                <w:b/>
                <w:bCs/>
                <w:color w:val="000000" w:themeColor="text1"/>
                <w:sz w:val="22"/>
                <w:szCs w:val="22"/>
              </w:rPr>
              <w:t>Sub-processor</w:t>
            </w:r>
          </w:p>
        </w:tc>
        <w:tc>
          <w:tcPr>
            <w:tcW w:w="2000" w:type="dxa"/>
            <w:tcBorders>
              <w:top w:val="single" w:sz="4" w:space="0" w:color="AAAAAA"/>
              <w:left w:val="single" w:sz="4" w:space="0" w:color="AAAAAA"/>
              <w:bottom w:val="single" w:sz="4" w:space="0" w:color="AAAAAA"/>
              <w:right w:val="single" w:sz="4" w:space="0" w:color="AAAAAA"/>
            </w:tcBorders>
            <w:shd w:val="clear" w:color="auto" w:fill="A5C9EB" w:themeFill="text2" w:themeFillTint="40"/>
            <w:tcMar>
              <w:top w:w="100" w:type="dxa"/>
              <w:left w:w="150" w:type="dxa"/>
              <w:bottom w:w="100" w:type="dxa"/>
              <w:right w:w="150" w:type="dxa"/>
            </w:tcMar>
            <w:vAlign w:val="center"/>
          </w:tcPr>
          <w:p w14:paraId="0E6453B2" w14:textId="77777777" w:rsidR="00FC265C" w:rsidRPr="008D27BD" w:rsidRDefault="00000000" w:rsidP="00744E67">
            <w:pPr>
              <w:jc w:val="both"/>
              <w:rPr>
                <w:color w:val="000000" w:themeColor="text1"/>
                <w:sz w:val="22"/>
                <w:szCs w:val="22"/>
              </w:rPr>
            </w:pPr>
            <w:r>
              <w:rPr>
                <w:b/>
                <w:bCs/>
                <w:color w:val="000000" w:themeColor="text1"/>
                <w:sz w:val="22"/>
                <w:szCs w:val="22"/>
              </w:rPr>
              <w:t>Country / Region</w:t>
            </w:r>
          </w:p>
        </w:tc>
        <w:tc>
          <w:tcPr>
            <w:tcW w:w="2600" w:type="dxa"/>
            <w:tcBorders>
              <w:top w:val="single" w:sz="4" w:space="0" w:color="AAAAAA"/>
              <w:left w:val="single" w:sz="4" w:space="0" w:color="AAAAAA"/>
              <w:bottom w:val="single" w:sz="4" w:space="0" w:color="AAAAAA"/>
              <w:right w:val="single" w:sz="4" w:space="0" w:color="AAAAAA"/>
            </w:tcBorders>
            <w:shd w:val="clear" w:color="auto" w:fill="A5C9EB" w:themeFill="text2" w:themeFillTint="40"/>
            <w:tcMar>
              <w:top w:w="100" w:type="dxa"/>
              <w:left w:w="150" w:type="dxa"/>
              <w:bottom w:w="100" w:type="dxa"/>
              <w:right w:w="150" w:type="dxa"/>
            </w:tcMar>
            <w:vAlign w:val="center"/>
          </w:tcPr>
          <w:p w14:paraId="39EB887D" w14:textId="77777777" w:rsidR="00FC265C" w:rsidRPr="008D27BD" w:rsidRDefault="00000000" w:rsidP="00744E67">
            <w:pPr>
              <w:jc w:val="both"/>
              <w:rPr>
                <w:color w:val="000000" w:themeColor="text1"/>
                <w:sz w:val="22"/>
                <w:szCs w:val="22"/>
              </w:rPr>
            </w:pPr>
            <w:r>
              <w:rPr>
                <w:b/>
                <w:bCs/>
                <w:color w:val="000000" w:themeColor="text1"/>
                <w:sz w:val="22"/>
                <w:szCs w:val="22"/>
              </w:rPr>
              <w:t>Processing Activity</w:t>
            </w:r>
          </w:p>
        </w:tc>
        <w:tc>
          <w:tcPr>
            <w:tcW w:w="2560" w:type="dxa"/>
            <w:tcBorders>
              <w:top w:val="single" w:sz="4" w:space="0" w:color="AAAAAA"/>
              <w:left w:val="single" w:sz="4" w:space="0" w:color="AAAAAA"/>
              <w:bottom w:val="single" w:sz="4" w:space="0" w:color="AAAAAA"/>
              <w:right w:val="single" w:sz="4" w:space="0" w:color="AAAAAA"/>
            </w:tcBorders>
            <w:shd w:val="clear" w:color="auto" w:fill="A5C9EB" w:themeFill="text2" w:themeFillTint="40"/>
            <w:tcMar>
              <w:top w:w="100" w:type="dxa"/>
              <w:left w:w="150" w:type="dxa"/>
              <w:bottom w:w="100" w:type="dxa"/>
              <w:right w:w="150" w:type="dxa"/>
            </w:tcMar>
            <w:vAlign w:val="center"/>
          </w:tcPr>
          <w:p w14:paraId="1BDFFF6D" w14:textId="77777777" w:rsidR="00FC265C" w:rsidRPr="008D27BD" w:rsidRDefault="00000000" w:rsidP="00744E67">
            <w:pPr>
              <w:jc w:val="both"/>
              <w:rPr>
                <w:color w:val="000000" w:themeColor="text1"/>
                <w:sz w:val="22"/>
                <w:szCs w:val="22"/>
              </w:rPr>
            </w:pPr>
            <w:r>
              <w:rPr>
                <w:b/>
                <w:bCs/>
                <w:color w:val="000000" w:themeColor="text1"/>
                <w:sz w:val="22"/>
                <w:szCs w:val="22"/>
              </w:rPr>
              <w:t>Data Transferred</w:t>
            </w:r>
          </w:p>
        </w:tc>
      </w:tr>
      <w:tr w:rsidR="00FC265C" w:rsidRPr="008D27BD" w14:paraId="661087F9" w14:textId="77777777" w:rsidTr="00D46DBA">
        <w:tc>
          <w:tcPr>
            <w:tcW w:w="22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4764A2F4" w14:textId="77777777" w:rsidR="00FC265C" w:rsidRPr="008D27BD" w:rsidRDefault="00000000" w:rsidP="00744E67">
            <w:pPr>
              <w:jc w:val="both"/>
              <w:rPr>
                <w:color w:val="000000" w:themeColor="text1"/>
                <w:sz w:val="22"/>
                <w:szCs w:val="22"/>
              </w:rPr>
            </w:pPr>
            <w:r>
              <w:rPr>
                <w:color w:val="000000" w:themeColor="text1"/>
                <w:sz w:val="22"/>
                <w:szCs w:val="22"/>
              </w:rPr>
              <w:t>Amazon Web Services, Inc.</w:t>
            </w:r>
          </w:p>
        </w:tc>
        <w:tc>
          <w:tcPr>
            <w:tcW w:w="20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7ACC43BA" w14:textId="77777777" w:rsidR="00FC265C" w:rsidRPr="008D27BD" w:rsidRDefault="00000000" w:rsidP="00744E67">
            <w:pPr>
              <w:jc w:val="both"/>
              <w:rPr>
                <w:color w:val="000000" w:themeColor="text1"/>
                <w:sz w:val="22"/>
                <w:szCs w:val="22"/>
              </w:rPr>
            </w:pPr>
            <w:r>
              <w:rPr>
                <w:color w:val="000000" w:themeColor="text1"/>
                <w:sz w:val="22"/>
                <w:szCs w:val="22"/>
              </w:rPr>
              <w:t>United States (global AWS regions as applicable)</w:t>
            </w:r>
          </w:p>
        </w:tc>
        <w:tc>
          <w:tcPr>
            <w:tcW w:w="26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094F35A7" w14:textId="77777777" w:rsidR="00FC265C" w:rsidRPr="008D27BD" w:rsidRDefault="00000000" w:rsidP="00744E67">
            <w:pPr>
              <w:jc w:val="both"/>
              <w:rPr>
                <w:color w:val="000000" w:themeColor="text1"/>
                <w:sz w:val="22"/>
                <w:szCs w:val="22"/>
              </w:rPr>
            </w:pPr>
            <w:r>
              <w:rPr>
                <w:color w:val="000000" w:themeColor="text1"/>
                <w:sz w:val="22"/>
                <w:szCs w:val="22"/>
              </w:rPr>
              <w:t>Cloud infrastructure, hosting, data storage, and compute</w:t>
            </w:r>
          </w:p>
        </w:tc>
        <w:tc>
          <w:tcPr>
            <w:tcW w:w="256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3EC9FD8B" w14:textId="77777777" w:rsidR="00FC265C" w:rsidRPr="008D27BD" w:rsidRDefault="00000000" w:rsidP="00744E67">
            <w:pPr>
              <w:jc w:val="both"/>
              <w:rPr>
                <w:color w:val="000000" w:themeColor="text1"/>
                <w:sz w:val="22"/>
                <w:szCs w:val="22"/>
              </w:rPr>
            </w:pPr>
            <w:r>
              <w:rPr>
                <w:color w:val="000000" w:themeColor="text1"/>
                <w:sz w:val="22"/>
                <w:szCs w:val="22"/>
              </w:rPr>
              <w:t>Covered Data as required for the Services</w:t>
            </w:r>
          </w:p>
        </w:tc>
      </w:tr>
      <w:tr w:rsidR="00FC265C" w:rsidRPr="008D27BD" w14:paraId="426BAF44" w14:textId="77777777" w:rsidTr="00D46DBA">
        <w:tc>
          <w:tcPr>
            <w:tcW w:w="22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233D4A6E" w14:textId="77777777" w:rsidR="00FC265C" w:rsidRPr="008D27BD" w:rsidRDefault="00000000" w:rsidP="00744E67">
            <w:pPr>
              <w:jc w:val="both"/>
              <w:rPr>
                <w:color w:val="000000" w:themeColor="text1"/>
                <w:sz w:val="22"/>
                <w:szCs w:val="22"/>
              </w:rPr>
            </w:pPr>
            <w:r>
              <w:rPr>
                <w:color w:val="000000" w:themeColor="text1"/>
                <w:sz w:val="22"/>
                <w:szCs w:val="22"/>
              </w:rPr>
              <w:t>FusionAuth, Inc.</w:t>
            </w:r>
          </w:p>
        </w:tc>
        <w:tc>
          <w:tcPr>
            <w:tcW w:w="20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015D11D1" w14:textId="77777777" w:rsidR="00FC265C" w:rsidRPr="008D27BD" w:rsidRDefault="00000000" w:rsidP="00744E67">
            <w:pPr>
              <w:jc w:val="both"/>
              <w:rPr>
                <w:color w:val="000000" w:themeColor="text1"/>
                <w:sz w:val="22"/>
                <w:szCs w:val="22"/>
              </w:rPr>
            </w:pPr>
            <w:r>
              <w:rPr>
                <w:color w:val="000000" w:themeColor="text1"/>
                <w:sz w:val="22"/>
                <w:szCs w:val="22"/>
              </w:rPr>
              <w:t>United States</w:t>
            </w:r>
          </w:p>
        </w:tc>
        <w:tc>
          <w:tcPr>
            <w:tcW w:w="26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6A8126B6" w14:textId="77777777" w:rsidR="00FC265C" w:rsidRPr="008D27BD" w:rsidRDefault="00000000" w:rsidP="00744E67">
            <w:pPr>
              <w:jc w:val="both"/>
              <w:rPr>
                <w:color w:val="000000" w:themeColor="text1"/>
                <w:sz w:val="22"/>
                <w:szCs w:val="22"/>
              </w:rPr>
            </w:pPr>
            <w:r>
              <w:rPr>
                <w:color w:val="000000" w:themeColor="text1"/>
                <w:sz w:val="22"/>
                <w:szCs w:val="22"/>
              </w:rPr>
              <w:t>Authentication and identity management for the Services</w:t>
            </w:r>
          </w:p>
        </w:tc>
        <w:tc>
          <w:tcPr>
            <w:tcW w:w="256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77B6FF43" w14:textId="77777777" w:rsidR="00FC265C" w:rsidRPr="008D27BD" w:rsidRDefault="00000000" w:rsidP="00744E67">
            <w:pPr>
              <w:jc w:val="both"/>
              <w:rPr>
                <w:color w:val="000000" w:themeColor="text1"/>
                <w:sz w:val="22"/>
                <w:szCs w:val="22"/>
              </w:rPr>
            </w:pPr>
            <w:r>
              <w:rPr>
                <w:color w:val="000000" w:themeColor="text1"/>
                <w:sz w:val="22"/>
                <w:szCs w:val="22"/>
              </w:rPr>
              <w:t>Authentication credentials, user identifiers, session tokens</w:t>
            </w:r>
          </w:p>
        </w:tc>
      </w:tr>
      <w:tr w:rsidR="00FC265C" w:rsidRPr="008D27BD" w14:paraId="2F27B58A" w14:textId="77777777" w:rsidTr="00D46DBA">
        <w:tc>
          <w:tcPr>
            <w:tcW w:w="22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382F9C32" w14:textId="77777777" w:rsidR="00FC265C" w:rsidRPr="008D27BD" w:rsidRDefault="00000000" w:rsidP="00744E67">
            <w:pPr>
              <w:jc w:val="both"/>
              <w:rPr>
                <w:color w:val="000000" w:themeColor="text1"/>
                <w:sz w:val="22"/>
                <w:szCs w:val="22"/>
              </w:rPr>
            </w:pPr>
            <w:r>
              <w:rPr>
                <w:color w:val="000000" w:themeColor="text1"/>
                <w:sz w:val="22"/>
                <w:szCs w:val="22"/>
              </w:rPr>
              <w:t>PostHog, Inc.</w:t>
            </w:r>
          </w:p>
        </w:tc>
        <w:tc>
          <w:tcPr>
            <w:tcW w:w="20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1587F180" w14:textId="77777777" w:rsidR="00FC265C" w:rsidRPr="008D27BD" w:rsidRDefault="00000000" w:rsidP="00744E67">
            <w:pPr>
              <w:jc w:val="both"/>
              <w:rPr>
                <w:color w:val="000000" w:themeColor="text1"/>
                <w:sz w:val="22"/>
                <w:szCs w:val="22"/>
              </w:rPr>
            </w:pPr>
            <w:r>
              <w:rPr>
                <w:color w:val="000000" w:themeColor="text1"/>
                <w:sz w:val="22"/>
                <w:szCs w:val="22"/>
              </w:rPr>
              <w:t>United States</w:t>
            </w:r>
          </w:p>
        </w:tc>
        <w:tc>
          <w:tcPr>
            <w:tcW w:w="26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1B486BFB" w14:textId="77777777" w:rsidR="00FC265C" w:rsidRPr="008D27BD" w:rsidRDefault="00000000" w:rsidP="00744E67">
            <w:pPr>
              <w:jc w:val="both"/>
              <w:rPr>
                <w:color w:val="000000" w:themeColor="text1"/>
                <w:sz w:val="22"/>
                <w:szCs w:val="22"/>
              </w:rPr>
            </w:pPr>
            <w:r>
              <w:rPr>
                <w:color w:val="000000" w:themeColor="text1"/>
                <w:sz w:val="22"/>
                <w:szCs w:val="22"/>
              </w:rPr>
              <w:t>Product analytics, usage analytics, and data analysis</w:t>
            </w:r>
          </w:p>
        </w:tc>
        <w:tc>
          <w:tcPr>
            <w:tcW w:w="256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446343AA" w14:textId="77777777" w:rsidR="00FC265C" w:rsidRPr="008D27BD" w:rsidRDefault="00000000" w:rsidP="00744E67">
            <w:pPr>
              <w:jc w:val="both"/>
              <w:rPr>
                <w:color w:val="000000" w:themeColor="text1"/>
                <w:sz w:val="22"/>
                <w:szCs w:val="22"/>
              </w:rPr>
            </w:pPr>
            <w:r>
              <w:rPr>
                <w:color w:val="000000" w:themeColor="text1"/>
                <w:sz w:val="22"/>
                <w:szCs w:val="22"/>
              </w:rPr>
              <w:t>Usage logs, anonymised product telemetry, IP addresses</w:t>
            </w:r>
          </w:p>
        </w:tc>
      </w:tr>
    </w:tbl>
    <w:p w14:paraId="216C2E60" w14:textId="77777777" w:rsidR="00FC265C" w:rsidRPr="008D27BD" w:rsidRDefault="00FC265C" w:rsidP="00744E67">
      <w:pPr>
        <w:spacing w:before="40" w:after="40"/>
        <w:jc w:val="both"/>
        <w:rPr>
          <w:color w:val="000000" w:themeColor="text1"/>
          <w:sz w:val="22"/>
          <w:szCs w:val="22"/>
        </w:rPr>
      </w:pPr>
    </w:p>
    <w:p w14:paraId="4E3BD80A" w14:textId="2BBEB2C9" w:rsidR="00FC265C" w:rsidRPr="008D27BD" w:rsidRDefault="00FC265C" w:rsidP="00744E67">
      <w:pPr>
        <w:spacing w:before="60" w:after="60"/>
        <w:jc w:val="both"/>
        <w:rPr>
          <w:color w:val="000000" w:themeColor="text1"/>
          <w:sz w:val="22"/>
          <w:szCs w:val="22"/>
        </w:rPr>
      </w:pPr>
    </w:p>
    <w:p w14:paraId="68DBD631" w14:textId="77777777" w:rsidR="00FC265C" w:rsidRPr="008D27BD" w:rsidRDefault="00000000" w:rsidP="00744E67">
      <w:pPr>
        <w:jc w:val="both"/>
        <w:rPr>
          <w:color w:val="000000" w:themeColor="text1"/>
          <w:sz w:val="22"/>
          <w:szCs w:val="22"/>
        </w:rPr>
      </w:pPr>
      <w:r>
        <w:rPr>
          <w:color w:val="000000" w:themeColor="text1"/>
          <w:sz w:val="22"/>
          <w:szCs w:val="22"/>
        </w:rPr>
        <w:br w:type="page"/>
      </w:r>
    </w:p>
    <w:p w14:paraId="54B4F87B" w14:textId="77777777" w:rsidR="00FC265C" w:rsidRPr="008D27BD" w:rsidRDefault="00000000" w:rsidP="00744E67">
      <w:pPr>
        <w:shd w:val="clear" w:color="auto" w:fill="A5C9EB" w:themeFill="text2" w:themeFillTint="40"/>
        <w:spacing w:before="240" w:after="240"/>
        <w:ind w:left="120" w:right="120"/>
        <w:jc w:val="both"/>
        <w:rPr>
          <w:color w:val="000000" w:themeColor="text1"/>
          <w:sz w:val="22"/>
          <w:szCs w:val="22"/>
        </w:rPr>
      </w:pPr>
      <w:r>
        <w:rPr>
          <w:b/>
          <w:bCs/>
          <w:color w:val="000000" w:themeColor="text1"/>
          <w:sz w:val="22"/>
          <w:szCs w:val="22"/>
        </w:rPr>
        <w:lastRenderedPageBreak/>
        <w:t>SCHEDULE 3 — STANDARD CONTRACTUAL CLAUSES</w:t>
      </w:r>
    </w:p>
    <w:p w14:paraId="3DAD68FD" w14:textId="77777777" w:rsidR="00FC265C" w:rsidRPr="008D27BD" w:rsidRDefault="00FC265C" w:rsidP="00744E67">
      <w:pPr>
        <w:spacing w:before="40" w:after="40"/>
        <w:jc w:val="both"/>
        <w:rPr>
          <w:color w:val="000000" w:themeColor="text1"/>
          <w:sz w:val="22"/>
          <w:szCs w:val="22"/>
        </w:rPr>
      </w:pPr>
    </w:p>
    <w:p w14:paraId="40A197BD" w14:textId="77777777" w:rsidR="00FC265C" w:rsidRPr="008D27BD" w:rsidRDefault="00000000" w:rsidP="00744E67">
      <w:pPr>
        <w:pStyle w:val="Heading2"/>
        <w:jc w:val="both"/>
        <w:rPr>
          <w:color w:val="000000" w:themeColor="text1"/>
        </w:rPr>
      </w:pPr>
      <w:r>
        <w:rPr>
          <w:color w:val="000000" w:themeColor="text1"/>
        </w:rPr>
        <w:t>A.  Incorporation of SCCs</w:t>
      </w:r>
    </w:p>
    <w:p w14:paraId="124701BC"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Where required by Applicable Data Protection Laws for international data transfers from the EEA or Switzerland, the Standard Contractual Clauses (Module 2: Controller-to-Processor), as adopted by the European Commission pursuant to Commission Implementing Decision (EU) 2021/914 of 4 June 2021, are incorporated into this DPA by reference and apply between Customer (as data exporter) and TrueFoundry (as data importer). The Parties make the following elections for the purposes of the SCCs: (a) Clause 7 (Docking Clause): the optional Clause 7 is not incorporated. (b) Clause 9(a) (Sub-processors — General Written Authorisation): Option 2 is selected; the prior notice period for Sub-processor changes is fourteen (14) days as set out in Article 8.4 of this DPA. (c) Clause 11 (Redress): the optional redress language in Clause 11 is not incorporated. (d) Clause 17 (Governing Law): the SCCs shall be governed by the law of the Republic of Ireland. (e) Clause 18 (Choice of Courts): disputes under the SCCs shall be submitted to the courts of the Republic of Ireland.</w:t>
      </w:r>
    </w:p>
    <w:p w14:paraId="491A3521" w14:textId="77777777" w:rsidR="00FC265C" w:rsidRPr="008D27BD" w:rsidRDefault="00FC265C" w:rsidP="00744E67">
      <w:pPr>
        <w:spacing w:before="40" w:after="40"/>
        <w:jc w:val="both"/>
        <w:rPr>
          <w:color w:val="000000" w:themeColor="text1"/>
          <w:sz w:val="22"/>
          <w:szCs w:val="22"/>
        </w:rPr>
      </w:pPr>
    </w:p>
    <w:p w14:paraId="0D7516CC" w14:textId="77777777" w:rsidR="00FC265C" w:rsidRPr="008D27BD" w:rsidRDefault="00000000" w:rsidP="00744E67">
      <w:pPr>
        <w:pStyle w:val="Heading2"/>
        <w:jc w:val="both"/>
        <w:rPr>
          <w:color w:val="000000" w:themeColor="text1"/>
        </w:rPr>
      </w:pPr>
      <w:r>
        <w:rPr>
          <w:color w:val="000000" w:themeColor="text1"/>
        </w:rPr>
        <w:t>B.  SCC Annex Cross-Reference</w:t>
      </w:r>
    </w:p>
    <w:p w14:paraId="5FF8417C" w14:textId="77777777" w:rsidR="00FC265C" w:rsidRPr="008D27BD" w:rsidRDefault="00FC265C" w:rsidP="00744E67">
      <w:pPr>
        <w:spacing w:before="40" w:after="40"/>
        <w:jc w:val="both"/>
        <w:rPr>
          <w:color w:val="000000" w:themeColor="text1"/>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FC265C" w:rsidRPr="008D27BD" w14:paraId="0B1CF7DB" w14:textId="77777777" w:rsidTr="00D46DBA">
        <w:trPr>
          <w:tblHeader/>
        </w:trPr>
        <w:tc>
          <w:tcPr>
            <w:tcW w:w="2800" w:type="dxa"/>
            <w:tcBorders>
              <w:top w:val="single" w:sz="4" w:space="0" w:color="AAAAAA"/>
              <w:left w:val="single" w:sz="4" w:space="0" w:color="AAAAAA"/>
              <w:bottom w:val="single" w:sz="4" w:space="0" w:color="AAAAAA"/>
              <w:right w:val="single" w:sz="4" w:space="0" w:color="AAAAAA"/>
            </w:tcBorders>
            <w:shd w:val="clear" w:color="auto" w:fill="A5C9EB" w:themeFill="text2" w:themeFillTint="40"/>
            <w:tcMar>
              <w:top w:w="100" w:type="dxa"/>
              <w:left w:w="150" w:type="dxa"/>
              <w:bottom w:w="100" w:type="dxa"/>
              <w:right w:w="150" w:type="dxa"/>
            </w:tcMar>
            <w:vAlign w:val="center"/>
          </w:tcPr>
          <w:p w14:paraId="51F526C9" w14:textId="77777777" w:rsidR="00FC265C" w:rsidRPr="008D27BD" w:rsidRDefault="00000000" w:rsidP="00744E67">
            <w:pPr>
              <w:jc w:val="both"/>
              <w:rPr>
                <w:color w:val="000000" w:themeColor="text1"/>
                <w:sz w:val="22"/>
                <w:szCs w:val="22"/>
              </w:rPr>
            </w:pPr>
            <w:r>
              <w:rPr>
                <w:b/>
                <w:bCs/>
                <w:color w:val="000000" w:themeColor="text1"/>
                <w:sz w:val="22"/>
                <w:szCs w:val="22"/>
              </w:rPr>
              <w:t>SCC Annex</w:t>
            </w:r>
          </w:p>
        </w:tc>
        <w:tc>
          <w:tcPr>
            <w:tcW w:w="6560" w:type="dxa"/>
            <w:tcBorders>
              <w:top w:val="single" w:sz="4" w:space="0" w:color="AAAAAA"/>
              <w:left w:val="single" w:sz="4" w:space="0" w:color="AAAAAA"/>
              <w:bottom w:val="single" w:sz="4" w:space="0" w:color="AAAAAA"/>
              <w:right w:val="single" w:sz="4" w:space="0" w:color="AAAAAA"/>
            </w:tcBorders>
            <w:shd w:val="clear" w:color="auto" w:fill="A5C9EB" w:themeFill="text2" w:themeFillTint="40"/>
            <w:tcMar>
              <w:top w:w="100" w:type="dxa"/>
              <w:left w:w="150" w:type="dxa"/>
              <w:bottom w:w="100" w:type="dxa"/>
              <w:right w:w="150" w:type="dxa"/>
            </w:tcMar>
            <w:vAlign w:val="center"/>
          </w:tcPr>
          <w:p w14:paraId="44DDC6B5" w14:textId="77777777" w:rsidR="00FC265C" w:rsidRPr="008D27BD" w:rsidRDefault="00000000" w:rsidP="00744E67">
            <w:pPr>
              <w:jc w:val="both"/>
              <w:rPr>
                <w:color w:val="000000" w:themeColor="text1"/>
                <w:sz w:val="22"/>
                <w:szCs w:val="22"/>
              </w:rPr>
            </w:pPr>
            <w:r>
              <w:rPr>
                <w:b/>
                <w:bCs/>
                <w:color w:val="000000" w:themeColor="text1"/>
                <w:sz w:val="22"/>
                <w:szCs w:val="22"/>
              </w:rPr>
              <w:t>Cross-Reference in this DPA</w:t>
            </w:r>
          </w:p>
        </w:tc>
      </w:tr>
      <w:tr w:rsidR="00FC265C" w:rsidRPr="008D27BD" w14:paraId="70A47D91" w14:textId="77777777" w:rsidTr="00D46DBA">
        <w:tc>
          <w:tcPr>
            <w:tcW w:w="28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715D47D3" w14:textId="77777777" w:rsidR="00FC265C" w:rsidRPr="008D27BD" w:rsidRDefault="00000000" w:rsidP="00744E67">
            <w:pPr>
              <w:jc w:val="both"/>
              <w:rPr>
                <w:color w:val="000000" w:themeColor="text1"/>
                <w:sz w:val="22"/>
                <w:szCs w:val="22"/>
              </w:rPr>
            </w:pPr>
            <w:r>
              <w:rPr>
                <w:color w:val="000000" w:themeColor="text1"/>
                <w:sz w:val="22"/>
                <w:szCs w:val="22"/>
              </w:rPr>
              <w:t>Annex I-A  (List of Parties)</w:t>
            </w:r>
          </w:p>
        </w:tc>
        <w:tc>
          <w:tcPr>
            <w:tcW w:w="656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22995D7E" w14:textId="77777777" w:rsidR="00FC265C" w:rsidRPr="008D27BD" w:rsidRDefault="00000000" w:rsidP="00744E67">
            <w:pPr>
              <w:jc w:val="both"/>
              <w:rPr>
                <w:color w:val="000000" w:themeColor="text1"/>
                <w:sz w:val="22"/>
                <w:szCs w:val="22"/>
              </w:rPr>
            </w:pPr>
            <w:r>
              <w:rPr>
                <w:color w:val="000000" w:themeColor="text1"/>
                <w:sz w:val="22"/>
                <w:szCs w:val="22"/>
              </w:rPr>
              <w:t>Preamble and Schedule 1, Section A of this DPA</w:t>
            </w:r>
          </w:p>
        </w:tc>
      </w:tr>
      <w:tr w:rsidR="00FC265C" w:rsidRPr="008D27BD" w14:paraId="046007AF" w14:textId="77777777" w:rsidTr="00D46DBA">
        <w:tc>
          <w:tcPr>
            <w:tcW w:w="28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717218DC" w14:textId="77777777" w:rsidR="00FC265C" w:rsidRPr="008D27BD" w:rsidRDefault="00000000" w:rsidP="00744E67">
            <w:pPr>
              <w:jc w:val="both"/>
              <w:rPr>
                <w:color w:val="000000" w:themeColor="text1"/>
                <w:sz w:val="22"/>
                <w:szCs w:val="22"/>
              </w:rPr>
            </w:pPr>
            <w:r>
              <w:rPr>
                <w:color w:val="000000" w:themeColor="text1"/>
                <w:sz w:val="22"/>
                <w:szCs w:val="22"/>
              </w:rPr>
              <w:t>Annex I-B  (Description of Transfer)</w:t>
            </w:r>
          </w:p>
        </w:tc>
        <w:tc>
          <w:tcPr>
            <w:tcW w:w="656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4130B36C" w14:textId="77777777" w:rsidR="00FC265C" w:rsidRPr="008D27BD" w:rsidRDefault="00000000" w:rsidP="00744E67">
            <w:pPr>
              <w:jc w:val="both"/>
              <w:rPr>
                <w:color w:val="000000" w:themeColor="text1"/>
                <w:sz w:val="22"/>
                <w:szCs w:val="22"/>
              </w:rPr>
            </w:pPr>
            <w:r>
              <w:rPr>
                <w:color w:val="000000" w:themeColor="text1"/>
                <w:sz w:val="22"/>
                <w:szCs w:val="22"/>
              </w:rPr>
              <w:t>Schedule 1, Sections B.1–B.8 of this DPA</w:t>
            </w:r>
          </w:p>
        </w:tc>
      </w:tr>
      <w:tr w:rsidR="00FC265C" w:rsidRPr="008D27BD" w14:paraId="2AE24D57" w14:textId="77777777" w:rsidTr="00D46DBA">
        <w:tc>
          <w:tcPr>
            <w:tcW w:w="28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7313890E" w14:textId="77777777" w:rsidR="00FC265C" w:rsidRPr="008D27BD" w:rsidRDefault="00000000" w:rsidP="00744E67">
            <w:pPr>
              <w:jc w:val="both"/>
              <w:rPr>
                <w:color w:val="000000" w:themeColor="text1"/>
                <w:sz w:val="22"/>
                <w:szCs w:val="22"/>
              </w:rPr>
            </w:pPr>
            <w:r>
              <w:rPr>
                <w:color w:val="000000" w:themeColor="text1"/>
                <w:sz w:val="22"/>
                <w:szCs w:val="22"/>
              </w:rPr>
              <w:t>Annex I-C  (Competent Supervisory Authority)</w:t>
            </w:r>
          </w:p>
        </w:tc>
        <w:tc>
          <w:tcPr>
            <w:tcW w:w="656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4F7DDF09" w14:textId="77777777" w:rsidR="00FC265C" w:rsidRPr="008D27BD" w:rsidRDefault="00000000" w:rsidP="00744E67">
            <w:pPr>
              <w:jc w:val="both"/>
              <w:rPr>
                <w:color w:val="000000" w:themeColor="text1"/>
                <w:sz w:val="22"/>
                <w:szCs w:val="22"/>
              </w:rPr>
            </w:pPr>
            <w:r>
              <w:rPr>
                <w:color w:val="000000" w:themeColor="text1"/>
                <w:sz w:val="22"/>
                <w:szCs w:val="22"/>
              </w:rPr>
              <w:t>Schedule 1, Section B.8 (determined by Controller's place of establishment in EEA/UK)</w:t>
            </w:r>
          </w:p>
        </w:tc>
      </w:tr>
      <w:tr w:rsidR="00FC265C" w:rsidRPr="008D27BD" w14:paraId="4E5B4901" w14:textId="77777777" w:rsidTr="00D46DBA">
        <w:tc>
          <w:tcPr>
            <w:tcW w:w="280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46BDB9C1" w14:textId="77777777" w:rsidR="00FC265C" w:rsidRPr="008D27BD" w:rsidRDefault="00000000" w:rsidP="00744E67">
            <w:pPr>
              <w:jc w:val="both"/>
              <w:rPr>
                <w:color w:val="000000" w:themeColor="text1"/>
                <w:sz w:val="22"/>
                <w:szCs w:val="22"/>
              </w:rPr>
            </w:pPr>
            <w:r>
              <w:rPr>
                <w:color w:val="000000" w:themeColor="text1"/>
                <w:sz w:val="22"/>
                <w:szCs w:val="22"/>
              </w:rPr>
              <w:t>Annex II  (Technical &amp; Organisational Measures)</w:t>
            </w:r>
          </w:p>
        </w:tc>
        <w:tc>
          <w:tcPr>
            <w:tcW w:w="6560" w:type="dxa"/>
            <w:tcBorders>
              <w:top w:val="single" w:sz="4" w:space="0" w:color="AAAAAA"/>
              <w:left w:val="single" w:sz="4" w:space="0" w:color="AAAAAA"/>
              <w:bottom w:val="single" w:sz="4" w:space="0" w:color="AAAAAA"/>
              <w:right w:val="single" w:sz="4" w:space="0" w:color="AAAAAA"/>
            </w:tcBorders>
            <w:tcMar>
              <w:top w:w="80" w:type="dxa"/>
              <w:left w:w="150" w:type="dxa"/>
              <w:bottom w:w="80" w:type="dxa"/>
              <w:right w:w="150" w:type="dxa"/>
            </w:tcMar>
          </w:tcPr>
          <w:p w14:paraId="778BEEF6" w14:textId="77777777" w:rsidR="00FC265C" w:rsidRPr="008D27BD" w:rsidRDefault="00000000" w:rsidP="00744E67">
            <w:pPr>
              <w:jc w:val="both"/>
              <w:rPr>
                <w:color w:val="000000" w:themeColor="text1"/>
                <w:sz w:val="22"/>
                <w:szCs w:val="22"/>
              </w:rPr>
            </w:pPr>
            <w:r>
              <w:rPr>
                <w:color w:val="000000" w:themeColor="text1"/>
                <w:sz w:val="22"/>
                <w:szCs w:val="22"/>
              </w:rPr>
              <w:t>Article 7 of this DPA</w:t>
            </w:r>
          </w:p>
        </w:tc>
      </w:tr>
    </w:tbl>
    <w:p w14:paraId="1F0C8BF3" w14:textId="77777777" w:rsidR="00FC265C" w:rsidRPr="008D27BD" w:rsidRDefault="00FC265C" w:rsidP="00744E67">
      <w:pPr>
        <w:spacing w:before="40" w:after="40"/>
        <w:jc w:val="both"/>
        <w:rPr>
          <w:color w:val="000000" w:themeColor="text1"/>
          <w:sz w:val="22"/>
          <w:szCs w:val="22"/>
        </w:rPr>
      </w:pPr>
    </w:p>
    <w:p w14:paraId="3F61A1EC" w14:textId="77777777" w:rsidR="00FC265C" w:rsidRPr="008D27BD" w:rsidRDefault="00000000" w:rsidP="00744E67">
      <w:pPr>
        <w:pStyle w:val="Heading2"/>
        <w:jc w:val="both"/>
        <w:rPr>
          <w:color w:val="000000" w:themeColor="text1"/>
        </w:rPr>
      </w:pPr>
      <w:r>
        <w:rPr>
          <w:color w:val="000000" w:themeColor="text1"/>
        </w:rPr>
        <w:t>C.  UK Addendum</w:t>
      </w:r>
    </w:p>
    <w:p w14:paraId="1F8DC0DD"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For transfers governed by UK GDPR, the UK International Data Transfer Addendum to the EU SCCs (as issued by the UK Information Commissioner's Office) applies and is incorporated by reference. The Parties are deemed to have completed the Addendum consistently with the information in this DPA.</w:t>
      </w:r>
    </w:p>
    <w:p w14:paraId="1C2CA7DE" w14:textId="77777777" w:rsidR="00FC265C" w:rsidRPr="008D27BD" w:rsidRDefault="00FC265C" w:rsidP="00744E67">
      <w:pPr>
        <w:spacing w:before="40" w:after="40"/>
        <w:jc w:val="both"/>
        <w:rPr>
          <w:color w:val="000000" w:themeColor="text1"/>
          <w:sz w:val="22"/>
          <w:szCs w:val="22"/>
        </w:rPr>
      </w:pPr>
    </w:p>
    <w:p w14:paraId="7830B15C" w14:textId="77777777" w:rsidR="00FC265C" w:rsidRPr="008D27BD" w:rsidRDefault="00000000" w:rsidP="00744E67">
      <w:pPr>
        <w:pStyle w:val="Heading2"/>
        <w:jc w:val="both"/>
        <w:rPr>
          <w:color w:val="000000" w:themeColor="text1"/>
        </w:rPr>
      </w:pPr>
      <w:r>
        <w:rPr>
          <w:color w:val="000000" w:themeColor="text1"/>
        </w:rPr>
        <w:t>D.  Indian Cross-Border Transfers</w:t>
      </w:r>
    </w:p>
    <w:p w14:paraId="7F10FBB9" w14:textId="77777777" w:rsidR="00FC265C" w:rsidRPr="008D27BD" w:rsidRDefault="00000000" w:rsidP="00744E67">
      <w:pPr>
        <w:spacing w:before="60" w:after="60"/>
        <w:jc w:val="both"/>
        <w:rPr>
          <w:color w:val="000000" w:themeColor="text1"/>
          <w:sz w:val="22"/>
          <w:szCs w:val="22"/>
        </w:rPr>
      </w:pPr>
      <w:r>
        <w:rPr>
          <w:color w:val="000000" w:themeColor="text1"/>
          <w:sz w:val="22"/>
          <w:szCs w:val="22"/>
        </w:rPr>
        <w:t>For transfers subject to the DPDP Act, any cross-border transfer shall be conducted in accordance with the DPDP Act and rules or orders issued thereunder, including any restrictions on transfers to countries notified by the Government of India.</w:t>
      </w:r>
    </w:p>
    <w:p w14:paraId="4995D839" w14:textId="77777777" w:rsidR="00FC265C" w:rsidRPr="008D27BD" w:rsidRDefault="00FC265C" w:rsidP="00744E67">
      <w:pPr>
        <w:spacing w:before="40" w:after="40"/>
        <w:jc w:val="both"/>
        <w:rPr>
          <w:color w:val="000000" w:themeColor="text1"/>
          <w:sz w:val="22"/>
          <w:szCs w:val="22"/>
        </w:rPr>
      </w:pPr>
    </w:p>
    <w:sectPr w:rsidR="00FC265C" w:rsidRPr="008D27BD">
      <w:headerReference w:type="default" r:id="rId7"/>
      <w:footerReference w:type="default" r:id="rId8"/>
      <w:pgSz w:w="11906" w:h="16838"/>
      <w:pgMar w:top="1440" w:right="1296" w:bottom="1440"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19F7" w14:textId="77777777" w:rsidR="00D90491" w:rsidRDefault="00D90491">
      <w:r>
        <w:separator/>
      </w:r>
    </w:p>
  </w:endnote>
  <w:endnote w:type="continuationSeparator" w:id="0">
    <w:p w14:paraId="35395544" w14:textId="77777777" w:rsidR="00D90491" w:rsidRDefault="00D9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BF0" w14:textId="77777777" w:rsidR="00FC265C" w:rsidRDefault="00000000">
    <w:pPr>
      <w:pBdr>
        <w:top w:val="single" w:sz="4" w:space="0" w:color="CCCCCC"/>
      </w:pBdr>
      <w:spacing w:before="80"/>
    </w:pPr>
    <w:r>
      <w:rPr>
        <w:color w:val="595959"/>
        <w:sz w:val="16"/>
        <w:szCs w:val="16"/>
      </w:rPr>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8D27BD">
      <w:rPr>
        <w:noProof/>
        <w:color w:val="595959"/>
        <w:sz w:val="16"/>
        <w:szCs w:val="16"/>
      </w:rPr>
      <w:t>1</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8D27BD">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1B89" w14:textId="77777777" w:rsidR="00D90491" w:rsidRDefault="00D90491">
      <w:r>
        <w:separator/>
      </w:r>
    </w:p>
  </w:footnote>
  <w:footnote w:type="continuationSeparator" w:id="0">
    <w:p w14:paraId="02D26F8A" w14:textId="77777777" w:rsidR="00D90491" w:rsidRDefault="00D90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7458" w14:textId="77777777" w:rsidR="00FC265C" w:rsidRDefault="00000000">
    <w:pPr>
      <w:pBdr>
        <w:bottom w:val="single" w:sz="4" w:space="0" w:color="CCCCCC"/>
      </w:pBdr>
      <w:spacing w:after="80"/>
    </w:pPr>
    <w:r>
      <w:rPr>
        <w:color w:val="595959"/>
        <w:sz w:val="16"/>
        <w:szCs w:val="16"/>
      </w:rPr>
      <w:t xml:space="preserve">Ensemble Labs Inc. d/b/a </w:t>
    </w:r>
    <w:proofErr w:type="spellStart"/>
    <w:r>
      <w:rPr>
        <w:color w:val="595959"/>
        <w:sz w:val="16"/>
        <w:szCs w:val="16"/>
      </w:rPr>
      <w:t>TrueFoundry</w:t>
    </w:r>
    <w:proofErr w:type="spellEnd"/>
    <w:r>
      <w:rPr>
        <w:color w:val="595959"/>
        <w:sz w:val="16"/>
        <w:szCs w:val="16"/>
      </w:rPr>
      <w:t xml:space="preserve">  –  Data Processing Agreement</w:t>
    </w:r>
    <w:r>
      <w:rPr>
        <w:b/>
        <w:bCs/>
        <w:color w:val="AA0000"/>
        <w:sz w:val="16"/>
        <w:szCs w:val="16"/>
      </w:rPr>
      <w:t xml:space="preserve">  •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21F9"/>
    <w:multiLevelType w:val="multilevel"/>
    <w:tmpl w:val="0F78AA0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884EB2"/>
    <w:multiLevelType w:val="hybridMultilevel"/>
    <w:tmpl w:val="40A2EA62"/>
    <w:lvl w:ilvl="0" w:tplc="FFFFFFFF">
      <w:start w:val="1"/>
      <w:numFmt w:val="lowerLetter"/>
      <w:lvlText w:val="(%1)"/>
      <w:lvlJc w:val="left"/>
      <w:pPr>
        <w:ind w:left="108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3258F5"/>
    <w:multiLevelType w:val="hybridMultilevel"/>
    <w:tmpl w:val="F7EA8610"/>
    <w:lvl w:ilvl="0" w:tplc="9FAC249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C52E37"/>
    <w:multiLevelType w:val="hybridMultilevel"/>
    <w:tmpl w:val="53BEF482"/>
    <w:lvl w:ilvl="0" w:tplc="FFFFFFFF">
      <w:start w:val="1"/>
      <w:numFmt w:val="lowerLetter"/>
      <w:lvlText w:val="(%1)"/>
      <w:lvlJc w:val="left"/>
      <w:pPr>
        <w:ind w:left="1800" w:hanging="360"/>
      </w:pPr>
      <w:rPr>
        <w:rFonts w:hint="default"/>
      </w:rPr>
    </w:lvl>
    <w:lvl w:ilvl="1" w:tplc="9FAC2494">
      <w:start w:val="1"/>
      <w:numFmt w:val="lowerLetter"/>
      <w:lvlText w:val="(%2)"/>
      <w:lvlJc w:val="left"/>
      <w:pPr>
        <w:ind w:left="2520" w:hanging="360"/>
      </w:pPr>
      <w:rPr>
        <w:rFonts w:hint="default"/>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490E4F0C"/>
    <w:multiLevelType w:val="hybridMultilevel"/>
    <w:tmpl w:val="9EFA45B2"/>
    <w:lvl w:ilvl="0" w:tplc="25581A80">
      <w:start w:val="1"/>
      <w:numFmt w:val="bullet"/>
      <w:lvlText w:val="●"/>
      <w:lvlJc w:val="left"/>
      <w:pPr>
        <w:ind w:left="720" w:hanging="360"/>
      </w:pPr>
    </w:lvl>
    <w:lvl w:ilvl="1" w:tplc="0ABE8A9A">
      <w:start w:val="1"/>
      <w:numFmt w:val="bullet"/>
      <w:lvlText w:val="○"/>
      <w:lvlJc w:val="left"/>
      <w:pPr>
        <w:ind w:left="1440" w:hanging="360"/>
      </w:pPr>
    </w:lvl>
    <w:lvl w:ilvl="2" w:tplc="E132BA86">
      <w:start w:val="1"/>
      <w:numFmt w:val="bullet"/>
      <w:lvlText w:val="■"/>
      <w:lvlJc w:val="left"/>
      <w:pPr>
        <w:ind w:left="2160" w:hanging="360"/>
      </w:pPr>
    </w:lvl>
    <w:lvl w:ilvl="3" w:tplc="22FC66DC">
      <w:start w:val="1"/>
      <w:numFmt w:val="bullet"/>
      <w:lvlText w:val="●"/>
      <w:lvlJc w:val="left"/>
      <w:pPr>
        <w:ind w:left="2880" w:hanging="360"/>
      </w:pPr>
    </w:lvl>
    <w:lvl w:ilvl="4" w:tplc="A666499E">
      <w:start w:val="1"/>
      <w:numFmt w:val="bullet"/>
      <w:lvlText w:val="○"/>
      <w:lvlJc w:val="left"/>
      <w:pPr>
        <w:ind w:left="3600" w:hanging="360"/>
      </w:pPr>
    </w:lvl>
    <w:lvl w:ilvl="5" w:tplc="880259E2">
      <w:start w:val="1"/>
      <w:numFmt w:val="bullet"/>
      <w:lvlText w:val="■"/>
      <w:lvlJc w:val="left"/>
      <w:pPr>
        <w:ind w:left="4320" w:hanging="360"/>
      </w:pPr>
    </w:lvl>
    <w:lvl w:ilvl="6" w:tplc="9D044F60">
      <w:start w:val="1"/>
      <w:numFmt w:val="bullet"/>
      <w:lvlText w:val="●"/>
      <w:lvlJc w:val="left"/>
      <w:pPr>
        <w:ind w:left="5040" w:hanging="360"/>
      </w:pPr>
    </w:lvl>
    <w:lvl w:ilvl="7" w:tplc="69D0DF2E">
      <w:start w:val="1"/>
      <w:numFmt w:val="bullet"/>
      <w:lvlText w:val="●"/>
      <w:lvlJc w:val="left"/>
      <w:pPr>
        <w:ind w:left="5760" w:hanging="360"/>
      </w:pPr>
    </w:lvl>
    <w:lvl w:ilvl="8" w:tplc="6E040B1C">
      <w:start w:val="1"/>
      <w:numFmt w:val="bullet"/>
      <w:lvlText w:val="●"/>
      <w:lvlJc w:val="left"/>
      <w:pPr>
        <w:ind w:left="6480" w:hanging="360"/>
      </w:pPr>
    </w:lvl>
  </w:abstractNum>
  <w:abstractNum w:abstractNumId="5" w15:restartNumberingAfterBreak="0">
    <w:nsid w:val="4C5F23FB"/>
    <w:multiLevelType w:val="hybridMultilevel"/>
    <w:tmpl w:val="0C3EEF82"/>
    <w:lvl w:ilvl="0" w:tplc="9FAC249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0853D09"/>
    <w:multiLevelType w:val="multilevel"/>
    <w:tmpl w:val="E08ACFF2"/>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1CB1812"/>
    <w:multiLevelType w:val="hybridMultilevel"/>
    <w:tmpl w:val="9C62D534"/>
    <w:lvl w:ilvl="0" w:tplc="F63C190E">
      <w:start w:val="1"/>
      <w:numFmt w:val="upperLetter"/>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5F105A"/>
    <w:multiLevelType w:val="multilevel"/>
    <w:tmpl w:val="E08ACFF2"/>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ABC164D"/>
    <w:multiLevelType w:val="hybridMultilevel"/>
    <w:tmpl w:val="40A2EA62"/>
    <w:lvl w:ilvl="0" w:tplc="FFFFFFFF">
      <w:start w:val="1"/>
      <w:numFmt w:val="lowerLetter"/>
      <w:lvlText w:val="(%1)"/>
      <w:lvlJc w:val="left"/>
      <w:pPr>
        <w:ind w:left="108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75B5E3C"/>
    <w:multiLevelType w:val="hybridMultilevel"/>
    <w:tmpl w:val="F29856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0948E7"/>
    <w:multiLevelType w:val="hybridMultilevel"/>
    <w:tmpl w:val="16C2636C"/>
    <w:lvl w:ilvl="0" w:tplc="9FAC2494">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8854F86"/>
    <w:multiLevelType w:val="hybridMultilevel"/>
    <w:tmpl w:val="32B6BCD6"/>
    <w:lvl w:ilvl="0" w:tplc="9FAC249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F5C400E"/>
    <w:multiLevelType w:val="hybridMultilevel"/>
    <w:tmpl w:val="40A2EA62"/>
    <w:lvl w:ilvl="0" w:tplc="9FAC2494">
      <w:start w:val="1"/>
      <w:numFmt w:val="lowerLetter"/>
      <w:lvlText w:val="(%1)"/>
      <w:lvlJc w:val="left"/>
      <w:pPr>
        <w:ind w:left="1080" w:hanging="360"/>
      </w:pPr>
      <w:rPr>
        <w:rFonts w:hint="default"/>
      </w:rPr>
    </w:lvl>
    <w:lvl w:ilvl="1" w:tplc="8F867E16">
      <w:numFmt w:val="decimal"/>
      <w:lvlText w:val=""/>
      <w:lvlJc w:val="left"/>
    </w:lvl>
    <w:lvl w:ilvl="2" w:tplc="AC96744C">
      <w:numFmt w:val="decimal"/>
      <w:lvlText w:val=""/>
      <w:lvlJc w:val="left"/>
    </w:lvl>
    <w:lvl w:ilvl="3" w:tplc="28E2EA36">
      <w:numFmt w:val="decimal"/>
      <w:lvlText w:val=""/>
      <w:lvlJc w:val="left"/>
    </w:lvl>
    <w:lvl w:ilvl="4" w:tplc="B1DA8212">
      <w:numFmt w:val="decimal"/>
      <w:lvlText w:val=""/>
      <w:lvlJc w:val="left"/>
    </w:lvl>
    <w:lvl w:ilvl="5" w:tplc="65DACC10">
      <w:numFmt w:val="decimal"/>
      <w:lvlText w:val=""/>
      <w:lvlJc w:val="left"/>
    </w:lvl>
    <w:lvl w:ilvl="6" w:tplc="3A60F172">
      <w:numFmt w:val="decimal"/>
      <w:lvlText w:val=""/>
      <w:lvlJc w:val="left"/>
    </w:lvl>
    <w:lvl w:ilvl="7" w:tplc="4C1C2D4C">
      <w:numFmt w:val="decimal"/>
      <w:lvlText w:val=""/>
      <w:lvlJc w:val="left"/>
    </w:lvl>
    <w:lvl w:ilvl="8" w:tplc="182C9E88">
      <w:numFmt w:val="decimal"/>
      <w:lvlText w:val=""/>
      <w:lvlJc w:val="left"/>
    </w:lvl>
  </w:abstractNum>
  <w:num w:numId="1" w16cid:durableId="2072650464">
    <w:abstractNumId w:val="4"/>
    <w:lvlOverride w:ilvl="0">
      <w:startOverride w:val="1"/>
    </w:lvlOverride>
  </w:num>
  <w:num w:numId="2" w16cid:durableId="1139885977">
    <w:abstractNumId w:val="13"/>
  </w:num>
  <w:num w:numId="3" w16cid:durableId="1732270895">
    <w:abstractNumId w:val="10"/>
  </w:num>
  <w:num w:numId="4" w16cid:durableId="818495458">
    <w:abstractNumId w:val="7"/>
  </w:num>
  <w:num w:numId="5" w16cid:durableId="1405838188">
    <w:abstractNumId w:val="8"/>
  </w:num>
  <w:num w:numId="6" w16cid:durableId="602569267">
    <w:abstractNumId w:val="0"/>
  </w:num>
  <w:num w:numId="7" w16cid:durableId="1422481439">
    <w:abstractNumId w:val="6"/>
  </w:num>
  <w:num w:numId="8" w16cid:durableId="221909164">
    <w:abstractNumId w:val="5"/>
  </w:num>
  <w:num w:numId="9" w16cid:durableId="613251120">
    <w:abstractNumId w:val="3"/>
  </w:num>
  <w:num w:numId="10" w16cid:durableId="59717314">
    <w:abstractNumId w:val="11"/>
  </w:num>
  <w:num w:numId="11" w16cid:durableId="1691566994">
    <w:abstractNumId w:val="12"/>
  </w:num>
  <w:num w:numId="12" w16cid:durableId="1473019680">
    <w:abstractNumId w:val="2"/>
  </w:num>
  <w:num w:numId="13" w16cid:durableId="2135442078">
    <w:abstractNumId w:val="13"/>
  </w:num>
  <w:num w:numId="14" w16cid:durableId="1319766616">
    <w:abstractNumId w:val="9"/>
  </w:num>
  <w:num w:numId="15" w16cid:durableId="1509521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5C"/>
    <w:rsid w:val="00070785"/>
    <w:rsid w:val="00665882"/>
    <w:rsid w:val="00744E67"/>
    <w:rsid w:val="008844E0"/>
    <w:rsid w:val="008D27BD"/>
    <w:rsid w:val="00944A53"/>
    <w:rsid w:val="009A5743"/>
    <w:rsid w:val="009F0101"/>
    <w:rsid w:val="00B65529"/>
    <w:rsid w:val="00D46DBA"/>
    <w:rsid w:val="00D90491"/>
    <w:rsid w:val="00FC26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44616ED"/>
  <w15:docId w15:val="{9CF1ED01-77EE-764B-8220-77944812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0" w:color="2E75B6"/>
      </w:pBdr>
      <w:spacing w:before="360" w:after="120"/>
      <w:outlineLvl w:val="0"/>
    </w:pPr>
    <w:rPr>
      <w:b/>
      <w:bCs/>
      <w:color w:val="1F3864"/>
      <w:sz w:val="26"/>
      <w:szCs w:val="26"/>
    </w:rPr>
  </w:style>
  <w:style w:type="paragraph" w:styleId="Heading2">
    <w:name w:val="heading 2"/>
    <w:uiPriority w:val="9"/>
    <w:unhideWhenUsed/>
    <w:qFormat/>
    <w:pPr>
      <w:spacing w:before="240" w:after="80"/>
      <w:outlineLvl w:val="1"/>
    </w:pPr>
    <w:rPr>
      <w:b/>
      <w:bCs/>
      <w:color w:val="1F3864"/>
      <w:sz w:val="22"/>
      <w:szCs w:val="22"/>
    </w:rPr>
  </w:style>
  <w:style w:type="paragraph" w:styleId="Heading3">
    <w:name w:val="heading 3"/>
    <w:uiPriority w:val="9"/>
    <w:unhideWhenUsed/>
    <w:qFormat/>
    <w:pPr>
      <w:spacing w:before="180" w:after="60"/>
      <w:outlineLvl w:val="2"/>
    </w:pPr>
    <w:rPr>
      <w:b/>
      <w:bCs/>
      <w:color w:val="595959"/>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5408</Words>
  <Characters>32126</Characters>
  <Application>Microsoft Office Word</Application>
  <DocSecurity>0</DocSecurity>
  <Lines>629</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Aasish Somasi</cp:lastModifiedBy>
  <cp:revision>3</cp:revision>
  <dcterms:created xsi:type="dcterms:W3CDTF">2026-05-27T08:50:00Z</dcterms:created>
  <dcterms:modified xsi:type="dcterms:W3CDTF">2026-06-03T10:58:00Z</dcterms:modified>
</cp:coreProperties>
</file>