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08"/>
        </w:tabs>
        <w:spacing w:before="36" w:lineRule="auto"/>
        <w:ind w:left="288"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DashLX</w:t>
      </w:r>
      <w:r w:rsidDel="00000000" w:rsidR="00000000" w:rsidRPr="00000000">
        <w:rPr>
          <w:rtl w:val="0"/>
        </w:rPr>
      </w:r>
    </w:p>
    <w:p w:rsidR="00000000" w:rsidDel="00000000" w:rsidP="00000000" w:rsidRDefault="00000000" w:rsidRPr="00000000" w14:paraId="00000002">
      <w:pPr>
        <w:tabs>
          <w:tab w:val="left" w:leader="none" w:pos="4208"/>
        </w:tabs>
        <w:spacing w:after="120" w:before="120" w:lineRule="auto"/>
        <w:ind w:left="288"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SUBSCRIPTION SERVICES AGREEMENT</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288" w:before="28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Subscription Services Agreement (“</w:t>
      </w:r>
      <w:r w:rsidDel="00000000" w:rsidR="00000000" w:rsidRPr="00000000">
        <w:rPr>
          <w:rFonts w:ascii="Times New Roman" w:cs="Times New Roman" w:eastAsia="Times New Roman" w:hAnsi="Times New Roman"/>
          <w:b w:val="1"/>
          <w:color w:val="000000"/>
          <w:rtl w:val="0"/>
        </w:rPr>
        <w:t xml:space="preserve">Agreement</w:t>
      </w:r>
      <w:r w:rsidDel="00000000" w:rsidR="00000000" w:rsidRPr="00000000">
        <w:rPr>
          <w:rFonts w:ascii="Times New Roman" w:cs="Times New Roman" w:eastAsia="Times New Roman" w:hAnsi="Times New Roman"/>
          <w:color w:val="000000"/>
          <w:rtl w:val="0"/>
        </w:rPr>
        <w:t xml:space="preserve">") is effective as of __________ (the “</w:t>
      </w:r>
      <w:r w:rsidDel="00000000" w:rsidR="00000000" w:rsidRPr="00000000">
        <w:rPr>
          <w:rFonts w:ascii="Times New Roman" w:cs="Times New Roman" w:eastAsia="Times New Roman" w:hAnsi="Times New Roman"/>
          <w:b w:val="1"/>
          <w:color w:val="000000"/>
          <w:rtl w:val="0"/>
        </w:rPr>
        <w:t xml:space="preserve">Effective Date</w:t>
      </w:r>
      <w:r w:rsidDel="00000000" w:rsidR="00000000" w:rsidRPr="00000000">
        <w:rPr>
          <w:rFonts w:ascii="Times New Roman" w:cs="Times New Roman" w:eastAsia="Times New Roman" w:hAnsi="Times New Roman"/>
          <w:color w:val="000000"/>
          <w:rtl w:val="0"/>
        </w:rPr>
        <w:t xml:space="preserve">”) by and between PWR Lab, Inc. d.b.a. as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a Delaware corporation, with its principal place of business at </w:t>
      </w:r>
      <w:r w:rsidDel="00000000" w:rsidR="00000000" w:rsidRPr="00000000">
        <w:rPr>
          <w:rFonts w:ascii="Times New Roman" w:cs="Times New Roman" w:eastAsia="Times New Roman" w:hAnsi="Times New Roman"/>
          <w:rtl w:val="0"/>
        </w:rPr>
        <w:t xml:space="preserve">2201 N Gemini Dr. Suite 102, Flagstaff, AZ 86001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rtl w:val="0"/>
        </w:rPr>
        <w:t xml:space="preserve">DashLX</w:t>
      </w:r>
      <w:r w:rsidDel="00000000" w:rsidR="00000000" w:rsidRPr="00000000">
        <w:rPr>
          <w:rFonts w:ascii="Times New Roman" w:cs="Times New Roman" w:eastAsia="Times New Roman" w:hAnsi="Times New Roman"/>
          <w:color w:val="000000"/>
          <w:rtl w:val="0"/>
        </w:rPr>
        <w:t xml:space="preserve">”) and the corporate entity listed in the signature block below (“</w:t>
      </w:r>
      <w:r w:rsidDel="00000000" w:rsidR="00000000" w:rsidRPr="00000000">
        <w:rPr>
          <w:rFonts w:ascii="Times New Roman" w:cs="Times New Roman" w:eastAsia="Times New Roman" w:hAnsi="Times New Roman"/>
          <w:b w:val="1"/>
          <w:color w:val="000000"/>
          <w:rtl w:val="0"/>
        </w:rPr>
        <w:t xml:space="preserve">Customer</w:t>
      </w:r>
      <w:r w:rsidDel="00000000" w:rsidR="00000000" w:rsidRPr="00000000">
        <w:rPr>
          <w:rFonts w:ascii="Times New Roman" w:cs="Times New Roman" w:eastAsia="Times New Roman" w:hAnsi="Times New Roman"/>
          <w:color w:val="000000"/>
          <w:rtl w:val="0"/>
        </w:rPr>
        <w:t xml:space="preserve">”), (each a “</w:t>
      </w:r>
      <w:r w:rsidDel="00000000" w:rsidR="00000000" w:rsidRPr="00000000">
        <w:rPr>
          <w:rFonts w:ascii="Times New Roman" w:cs="Times New Roman" w:eastAsia="Times New Roman" w:hAnsi="Times New Roman"/>
          <w:b w:val="1"/>
          <w:color w:val="000000"/>
          <w:rtl w:val="0"/>
        </w:rPr>
        <w:t xml:space="preserve">Party</w:t>
      </w:r>
      <w:r w:rsidDel="00000000" w:rsidR="00000000" w:rsidRPr="00000000">
        <w:rPr>
          <w:rFonts w:ascii="Times New Roman" w:cs="Times New Roman" w:eastAsia="Times New Roman" w:hAnsi="Times New Roman"/>
          <w:color w:val="000000"/>
          <w:rtl w:val="0"/>
        </w:rPr>
        <w:t xml:space="preserve">” and collectively the “</w:t>
      </w:r>
      <w:r w:rsidDel="00000000" w:rsidR="00000000" w:rsidRPr="00000000">
        <w:rPr>
          <w:rFonts w:ascii="Times New Roman" w:cs="Times New Roman" w:eastAsia="Times New Roman" w:hAnsi="Times New Roman"/>
          <w:b w:val="1"/>
          <w:color w:val="000000"/>
          <w:rtl w:val="0"/>
        </w:rPr>
        <w:t xml:space="preserve">Parties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4">
      <w:pPr>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288" w:before="288"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Arrangement</w:t>
      </w:r>
      <w:r w:rsidDel="00000000" w:rsidR="00000000" w:rsidRPr="00000000">
        <w:rPr>
          <w:rFonts w:ascii="Times New Roman" w:cs="Times New Roman" w:eastAsia="Times New Roman" w:hAnsi="Times New Roman"/>
          <w:color w:val="000000"/>
          <w:rtl w:val="0"/>
        </w:rPr>
        <w:t xml:space="preserve">. Subject to the terms of this Agreement,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agrees to make its proprietary data collection, augmentation and analytics solutions (the “</w:t>
      </w:r>
      <w:r w:rsidDel="00000000" w:rsidR="00000000" w:rsidRPr="00000000">
        <w:rPr>
          <w:rFonts w:ascii="Times New Roman" w:cs="Times New Roman" w:eastAsia="Times New Roman" w:hAnsi="Times New Roman"/>
          <w:b w:val="1"/>
          <w:color w:val="000000"/>
          <w:rtl w:val="0"/>
        </w:rPr>
        <w:t xml:space="preserve">Services</w:t>
      </w:r>
      <w:r w:rsidDel="00000000" w:rsidR="00000000" w:rsidRPr="00000000">
        <w:rPr>
          <w:rFonts w:ascii="Times New Roman" w:cs="Times New Roman" w:eastAsia="Times New Roman" w:hAnsi="Times New Roman"/>
          <w:color w:val="000000"/>
          <w:rtl w:val="0"/>
        </w:rPr>
        <w:t xml:space="preserve">”) available to Customer as an online service. The details pertaining to the Services to be provided to Customer will be set forth in one or more service orders or similar ordering documents which reference this Agreement and mutually agreed to and executed by the Parties (each a “</w:t>
      </w:r>
      <w:r w:rsidDel="00000000" w:rsidR="00000000" w:rsidRPr="00000000">
        <w:rPr>
          <w:rFonts w:ascii="Times New Roman" w:cs="Times New Roman" w:eastAsia="Times New Roman" w:hAnsi="Times New Roman"/>
          <w:b w:val="1"/>
          <w:color w:val="000000"/>
          <w:rtl w:val="0"/>
        </w:rPr>
        <w:t xml:space="preserve">Service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Order</w:t>
      </w:r>
      <w:r w:rsidDel="00000000" w:rsidR="00000000" w:rsidRPr="00000000">
        <w:rPr>
          <w:rFonts w:ascii="Times New Roman" w:cs="Times New Roman" w:eastAsia="Times New Roman" w:hAnsi="Times New Roman"/>
          <w:color w:val="000000"/>
          <w:rtl w:val="0"/>
        </w:rPr>
        <w:t xml:space="preserve">”). Each Service Order will set forth the Fees (defined in Section 9.1), the Term (defined in Section 5.1) and any other terms or conditions pertaining to the Services and the commercial relationship between the Parties. Each duly executed Service Order constitutes Customer’s binding commitment to purchase the items described, and DashLX’s binding commitment to provide the items described, on such Service Order and is hereby incorporated by reference into this Agreement. Customer’s Affiliates may enter into Service Orders with DashLX in which event such Affiliate(s) will be bound to the terms and conditions of this Agreement in the same manner as Customer. As used herein, “</w:t>
      </w:r>
      <w:r w:rsidDel="00000000" w:rsidR="00000000" w:rsidRPr="00000000">
        <w:rPr>
          <w:rFonts w:ascii="Times New Roman" w:cs="Times New Roman" w:eastAsia="Times New Roman" w:hAnsi="Times New Roman"/>
          <w:b w:val="1"/>
          <w:color w:val="000000"/>
          <w:rtl w:val="0"/>
        </w:rPr>
        <w:t xml:space="preserve">Affiliate</w:t>
      </w:r>
      <w:r w:rsidDel="00000000" w:rsidR="00000000" w:rsidRPr="00000000">
        <w:rPr>
          <w:rFonts w:ascii="Times New Roman" w:cs="Times New Roman" w:eastAsia="Times New Roman" w:hAnsi="Times New Roman"/>
          <w:color w:val="000000"/>
          <w:rtl w:val="0"/>
        </w:rPr>
        <w:t xml:space="preserve">” means, with respect to a Party, a party that controls, is controlled by, or is under common control with such Party.</w:t>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Services</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6">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Services License.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grants to Customer a limited, worldwide, non-exclusive, non-sublicensable, non-transferable (except as permitted under Section 10.6) license during the Term, to access and use the Services for Customer’s own business purposes. </w:t>
      </w:r>
    </w:p>
    <w:p w:rsidR="00000000" w:rsidDel="00000000" w:rsidP="00000000" w:rsidRDefault="00000000" w:rsidRPr="00000000" w14:paraId="00000007">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Restrictions. </w:t>
      </w:r>
      <w:r w:rsidDel="00000000" w:rsidR="00000000" w:rsidRPr="00000000">
        <w:rPr>
          <w:rFonts w:ascii="Times New Roman" w:cs="Times New Roman" w:eastAsia="Times New Roman" w:hAnsi="Times New Roman"/>
          <w:color w:val="000000"/>
          <w:rtl w:val="0"/>
        </w:rPr>
        <w:t xml:space="preserve">Customer will not, nor authorize any third party to, directly or indirectly, use any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Services, or any part thereof, other than as permitted herein, or to (i) copy, reproduce, modify, damage, disassemble, decompile, reverse engineer or create derivative works of any Services, or any portion thereof; (ii) breach, disable, tamper with, or develop or use (or attempt) any workaround for any security measure provided by any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Services; (iii) use any device, software, or routine to interfere or attempt to interfere with the proper working of any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Services, or any activities conducted on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servers providing the Services; (iv)</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engage in any promotional or marketing activities where the content violates or infringes upon the rights of any third party, or is defamatory, obscene, threatening, libelous, abusive, hateful, or illegal; (v) violate any law, statute, ordinance, regulation, directive or policy, or (vi) alter or tamper with any information or materials on or associated with any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Services or authorize or knowingly permit any third party to do any of the foregoing. </w:t>
      </w:r>
    </w:p>
    <w:p w:rsidR="00000000" w:rsidDel="00000000" w:rsidP="00000000" w:rsidRDefault="00000000" w:rsidRPr="00000000" w14:paraId="00000008">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DashLX Use of Data. </w:t>
      </w:r>
      <w:r w:rsidDel="00000000" w:rsidR="00000000" w:rsidRPr="00000000">
        <w:rPr>
          <w:rFonts w:ascii="Times New Roman" w:cs="Times New Roman" w:eastAsia="Times New Roman" w:hAnsi="Times New Roman"/>
          <w:color w:val="000000"/>
          <w:rtl w:val="0"/>
        </w:rPr>
        <w:t xml:space="preserve">DashLX may collect and use data that is derived from Customer’s use of the Services (“</w:t>
      </w:r>
      <w:r w:rsidDel="00000000" w:rsidR="00000000" w:rsidRPr="00000000">
        <w:rPr>
          <w:rFonts w:ascii="Times New Roman" w:cs="Times New Roman" w:eastAsia="Times New Roman" w:hAnsi="Times New Roman"/>
          <w:b w:val="1"/>
          <w:color w:val="000000"/>
          <w:rtl w:val="0"/>
        </w:rPr>
        <w:t xml:space="preserve">Usage Data</w:t>
      </w:r>
      <w:r w:rsidDel="00000000" w:rsidR="00000000" w:rsidRPr="00000000">
        <w:rPr>
          <w:rFonts w:ascii="Times New Roman" w:cs="Times New Roman" w:eastAsia="Times New Roman" w:hAnsi="Times New Roman"/>
          <w:color w:val="000000"/>
          <w:rtl w:val="0"/>
        </w:rPr>
        <w:t xml:space="preserve">”) for its own internal business and product development purposes so long as such Usage Data is anonymized prior to such use. DashLX may only disclose Usage Data in an anonymous, aggregated format that in no way identifies Customer or any User (e.g. to disclose overall system performance metrics). </w:t>
      </w:r>
    </w:p>
    <w:p w:rsidR="00000000" w:rsidDel="00000000" w:rsidP="00000000" w:rsidRDefault="00000000" w:rsidRPr="00000000" w14:paraId="00000009">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Feedback. </w:t>
      </w:r>
      <w:r w:rsidDel="00000000" w:rsidR="00000000" w:rsidRPr="00000000">
        <w:rPr>
          <w:rFonts w:ascii="Times New Roman" w:cs="Times New Roman" w:eastAsia="Times New Roman" w:hAnsi="Times New Roman"/>
          <w:color w:val="000000"/>
          <w:rtl w:val="0"/>
        </w:rPr>
        <w:t xml:space="preserve">Customer may (but is not obligated to) provide feedback (including suggestions or comments for enhancements, functionality, or usability) (“</w:t>
      </w:r>
      <w:r w:rsidDel="00000000" w:rsidR="00000000" w:rsidRPr="00000000">
        <w:rPr>
          <w:rFonts w:ascii="Times New Roman" w:cs="Times New Roman" w:eastAsia="Times New Roman" w:hAnsi="Times New Roman"/>
          <w:b w:val="1"/>
          <w:color w:val="000000"/>
          <w:rtl w:val="0"/>
        </w:rPr>
        <w:t xml:space="preserve">Feedback</w:t>
      </w:r>
      <w:r w:rsidDel="00000000" w:rsidR="00000000" w:rsidRPr="00000000">
        <w:rPr>
          <w:rFonts w:ascii="Times New Roman" w:cs="Times New Roman" w:eastAsia="Times New Roman" w:hAnsi="Times New Roman"/>
          <w:color w:val="000000"/>
          <w:rtl w:val="0"/>
        </w:rPr>
        <w:t xml:space="preserve">”) to DashLX regarding the Services. Customer hereby grants DashLX a worldwide, non-exclusive, perpetual, irrevocable, royalty-free, fully paid-up, sublicensable (directly and indirectly through multiple tiers), transferable right and license to copy, display, distribute, perform, modify, and otherwise use and exploit such Feedback in connection with the Services.</w:t>
      </w:r>
    </w:p>
    <w:p w:rsidR="00000000" w:rsidDel="00000000" w:rsidP="00000000" w:rsidRDefault="00000000" w:rsidRPr="00000000" w14:paraId="0000000A">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Ownership of Services</w:t>
      </w:r>
      <w:r w:rsidDel="00000000" w:rsidR="00000000" w:rsidRPr="00000000">
        <w:rPr>
          <w:rFonts w:ascii="Times New Roman" w:cs="Times New Roman" w:eastAsia="Times New Roman" w:hAnsi="Times New Roman"/>
          <w:rtl w:val="0"/>
        </w:rPr>
        <w:t xml:space="preserve">. DashLX</w:t>
      </w:r>
      <w:r w:rsidDel="00000000" w:rsidR="00000000" w:rsidRPr="00000000">
        <w:rPr>
          <w:rFonts w:ascii="Times New Roman" w:cs="Times New Roman" w:eastAsia="Times New Roman" w:hAnsi="Times New Roman"/>
          <w:color w:val="000000"/>
          <w:rtl w:val="0"/>
        </w:rPr>
        <w:t xml:space="preserve"> retains all right, title, and interest in and to the Services and any and all improvements, enhancements, modifications, or derivative works thereof, including all intellectual property rights therein or related thereto. The foregoing also includes any and all system performance data and machine learning, including machine learning algorithms, and the results and output of such machine learning. All rights in and to the Services not expressly granted hereunder are reserved to DashLX. </w:t>
      </w:r>
    </w:p>
    <w:p w:rsidR="00000000" w:rsidDel="00000000" w:rsidP="00000000" w:rsidRDefault="00000000" w:rsidRPr="00000000" w14:paraId="0000000B">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Customer Obligations.</w:t>
      </w:r>
      <w:r w:rsidDel="00000000" w:rsidR="00000000" w:rsidRPr="00000000">
        <w:rPr>
          <w:rFonts w:ascii="Times New Roman" w:cs="Times New Roman" w:eastAsia="Times New Roman" w:hAnsi="Times New Roman"/>
          <w:color w:val="000000"/>
          <w:rtl w:val="0"/>
        </w:rPr>
        <w:t xml:space="preserve"> Customer will follow DashLX’s reasonable direction and best practices with respect to the use of the Services and configuration of Customer’s systems that interact with the Services and acknowledges that failure to do so may impair the performance of the Services. </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Personal Data</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D">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Definitions.</w:t>
      </w:r>
    </w:p>
    <w:p w:rsidR="00000000" w:rsidDel="00000000" w:rsidP="00000000" w:rsidRDefault="00000000" w:rsidRPr="00000000" w14:paraId="0000000E">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Customer</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Personal Data</w:t>
      </w:r>
      <w:r w:rsidDel="00000000" w:rsidR="00000000" w:rsidRPr="00000000">
        <w:rPr>
          <w:rFonts w:ascii="Times New Roman" w:cs="Times New Roman" w:eastAsia="Times New Roman" w:hAnsi="Times New Roman"/>
          <w:color w:val="000000"/>
          <w:rtl w:val="0"/>
        </w:rPr>
        <w:t xml:space="preserve">” means any information relating to, identifying, describing, or capable of, directly or indirectly, being associated with an individual that is collected directly from such individual by Customer.</w:t>
      </w:r>
    </w:p>
    <w:p w:rsidR="00000000" w:rsidDel="00000000" w:rsidP="00000000" w:rsidRDefault="00000000" w:rsidRPr="00000000" w14:paraId="0000000F">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DashLX Personal Data</w:t>
      </w:r>
      <w:r w:rsidDel="00000000" w:rsidR="00000000" w:rsidRPr="00000000">
        <w:rPr>
          <w:rFonts w:ascii="Times New Roman" w:cs="Times New Roman" w:eastAsia="Times New Roman" w:hAnsi="Times New Roman"/>
          <w:color w:val="000000"/>
          <w:rtl w:val="0"/>
        </w:rPr>
        <w:t xml:space="preserve">” means any information relating to, identifying, describing, or capable of, directly or indirectly, being associated with a Registered User that is collected directly from such individual by DashLX.</w:t>
      </w:r>
    </w:p>
    <w:p w:rsidR="00000000" w:rsidDel="00000000" w:rsidP="00000000" w:rsidRDefault="00000000" w:rsidRPr="00000000" w14:paraId="00000010">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Data Protection Laws</w:t>
      </w:r>
      <w:r w:rsidDel="00000000" w:rsidR="00000000" w:rsidRPr="00000000">
        <w:rPr>
          <w:rFonts w:ascii="Times New Roman" w:cs="Times New Roman" w:eastAsia="Times New Roman" w:hAnsi="Times New Roman"/>
          <w:color w:val="000000"/>
          <w:rtl w:val="0"/>
        </w:rPr>
        <w:t xml:space="preserve">” means all applicable foreign, federal, state, municipal, and local data protection, security, and privacy laws, including but not limited to, the California Consumer Privacy Act (CCPA) and the General Data Protection Regulation (GDPR).</w:t>
      </w:r>
    </w:p>
    <w:p w:rsidR="00000000" w:rsidDel="00000000" w:rsidP="00000000" w:rsidRDefault="00000000" w:rsidRPr="00000000" w14:paraId="00000011">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Transferred DashLX Personal Data</w:t>
      </w:r>
      <w:r w:rsidDel="00000000" w:rsidR="00000000" w:rsidRPr="00000000">
        <w:rPr>
          <w:rFonts w:ascii="Times New Roman" w:cs="Times New Roman" w:eastAsia="Times New Roman" w:hAnsi="Times New Roman"/>
          <w:color w:val="000000"/>
          <w:rtl w:val="0"/>
        </w:rPr>
        <w:t xml:space="preserve">” means specific categories of DashLX Personal Data that a Registered User authorizes and instructs DashLX to transfer to Customer.</w:t>
      </w:r>
    </w:p>
    <w:p w:rsidR="00000000" w:rsidDel="00000000" w:rsidP="00000000" w:rsidRDefault="00000000" w:rsidRPr="00000000" w14:paraId="00000012">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Personal Data</w:t>
      </w:r>
      <w:r w:rsidDel="00000000" w:rsidR="00000000" w:rsidRPr="00000000">
        <w:rPr>
          <w:rFonts w:ascii="Times New Roman" w:cs="Times New Roman" w:eastAsia="Times New Roman" w:hAnsi="Times New Roman"/>
          <w:color w:val="000000"/>
          <w:rtl w:val="0"/>
        </w:rPr>
        <w:t xml:space="preserve">” means the Customer Personal Data, the DashLX Personal Data, or both, as context dictates. </w:t>
      </w:r>
    </w:p>
    <w:p w:rsidR="00000000" w:rsidDel="00000000" w:rsidP="00000000" w:rsidRDefault="00000000" w:rsidRPr="00000000" w14:paraId="00000013">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User Account</w:t>
      </w:r>
      <w:r w:rsidDel="00000000" w:rsidR="00000000" w:rsidRPr="00000000">
        <w:rPr>
          <w:rFonts w:ascii="Times New Roman" w:cs="Times New Roman" w:eastAsia="Times New Roman" w:hAnsi="Times New Roman"/>
          <w:color w:val="000000"/>
          <w:rtl w:val="0"/>
        </w:rPr>
        <w:t xml:space="preserve">. Each participant that wishes to access, receive or participate in one or more programs, offerings or promotions provided by Customer enabled by the Services (“</w:t>
      </w:r>
      <w:r w:rsidDel="00000000" w:rsidR="00000000" w:rsidRPr="00000000">
        <w:rPr>
          <w:rFonts w:ascii="Times New Roman" w:cs="Times New Roman" w:eastAsia="Times New Roman" w:hAnsi="Times New Roman"/>
          <w:b w:val="1"/>
          <w:color w:val="000000"/>
          <w:rtl w:val="0"/>
        </w:rPr>
        <w:t xml:space="preserve">Customer Offerings</w:t>
      </w:r>
      <w:r w:rsidDel="00000000" w:rsidR="00000000" w:rsidRPr="00000000">
        <w:rPr>
          <w:rFonts w:ascii="Times New Roman" w:cs="Times New Roman" w:eastAsia="Times New Roman" w:hAnsi="Times New Roman"/>
          <w:color w:val="000000"/>
          <w:rtl w:val="0"/>
        </w:rPr>
        <w:t xml:space="preserve">”) must create an account with DashLX. DashLX shall ensure that the Services are configured in a manner that requires such participant to first agree to terms and conditions and the privacy policy of DashLX (each, a “</w:t>
      </w:r>
      <w:r w:rsidDel="00000000" w:rsidR="00000000" w:rsidRPr="00000000">
        <w:rPr>
          <w:rFonts w:ascii="Times New Roman" w:cs="Times New Roman" w:eastAsia="Times New Roman" w:hAnsi="Times New Roman"/>
          <w:b w:val="1"/>
          <w:color w:val="000000"/>
          <w:rtl w:val="0"/>
        </w:rPr>
        <w:t xml:space="preserve">Registered User</w:t>
      </w:r>
      <w:r w:rsidDel="00000000" w:rsidR="00000000" w:rsidRPr="00000000">
        <w:rPr>
          <w:rFonts w:ascii="Times New Roman" w:cs="Times New Roman" w:eastAsia="Times New Roman" w:hAnsi="Times New Roman"/>
          <w:color w:val="000000"/>
          <w:rtl w:val="0"/>
        </w:rPr>
        <w:t xml:space="preserve">”). DashLX’s privacy policy shall include a provision that permits DashLX to transfer the Transferred DashLX Personal Data to Customer for the purpose of enabling Customer Offerings.</w:t>
      </w:r>
    </w:p>
    <w:p w:rsidR="00000000" w:rsidDel="00000000" w:rsidP="00000000" w:rsidRDefault="00000000" w:rsidRPr="00000000" w14:paraId="00000014">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Transfer of Personal Data. </w:t>
      </w:r>
      <w:r w:rsidDel="00000000" w:rsidR="00000000" w:rsidRPr="00000000">
        <w:rPr>
          <w:rFonts w:ascii="Times New Roman" w:cs="Times New Roman" w:eastAsia="Times New Roman" w:hAnsi="Times New Roman"/>
          <w:color w:val="000000"/>
          <w:rtl w:val="0"/>
        </w:rPr>
        <w:t xml:space="preserve">DashLX shall supply and make available to Customer the Transferred DashLX Personal Data for the purpose of enabling Customer Offerings for Registered Users. Customer will not use or disclose the Transferred DashLX Personal Data for any reason other than enabling the Customer Offerings and Customer’s rights with respect to the Transferred DashLX Personal Information is subject to the consent and instructions of the Registered User to whom such information pertains (including, without limitation, the right of the Registered User to revoke its consent for the collection, transfer and use of the Transferred DashLX Personal Information).  </w:t>
      </w:r>
    </w:p>
    <w:p w:rsidR="00000000" w:rsidDel="00000000" w:rsidP="00000000" w:rsidRDefault="00000000" w:rsidRPr="00000000" w14:paraId="00000015">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Compliance.</w:t>
      </w:r>
      <w:r w:rsidDel="00000000" w:rsidR="00000000" w:rsidRPr="00000000">
        <w:rPr>
          <w:rFonts w:ascii="Times New Roman" w:cs="Times New Roman" w:eastAsia="Times New Roman" w:hAnsi="Times New Roman"/>
          <w:color w:val="000000"/>
          <w:rtl w:val="0"/>
        </w:rPr>
        <w:t xml:space="preserve"> Each Party shall comply with its own privacy policy, this Agreement and Data Protection Laws (collectively “</w:t>
      </w:r>
      <w:r w:rsidDel="00000000" w:rsidR="00000000" w:rsidRPr="00000000">
        <w:rPr>
          <w:rFonts w:ascii="Times New Roman" w:cs="Times New Roman" w:eastAsia="Times New Roman" w:hAnsi="Times New Roman"/>
          <w:b w:val="1"/>
          <w:color w:val="000000"/>
          <w:rtl w:val="0"/>
        </w:rPr>
        <w:t xml:space="preserve">Privacy Obligations</w:t>
      </w:r>
      <w:r w:rsidDel="00000000" w:rsidR="00000000" w:rsidRPr="00000000">
        <w:rPr>
          <w:rFonts w:ascii="Times New Roman" w:cs="Times New Roman" w:eastAsia="Times New Roman" w:hAnsi="Times New Roman"/>
          <w:color w:val="000000"/>
          <w:rtl w:val="0"/>
        </w:rPr>
        <w:t xml:space="preserve">”) with respect to its collection, processing and/or use of Personal Data of Registered Users. For avoidance of doubt, a Party’s Privacy Obligations include, without limitation (i) providing all notices required under Data Protection Laws prior to any collection; use, and/or disclosure of Personal Data, (ii) ensuring that such Party’s privacy policy allows for the lawful collection, use, and/or disclosure of Personal Data as contemplated by this Agreement, and (iii) obtaining and maintaining any required consents or other lawful bases to collect, use, and/or disclose Personal Data. With respect to the Customer Personal Data, Customer shall retain all rights and responsibilities as a “Controller”, “Business”, or other comparable role, as defined under Data Protection Laws. With respect to the DashLX Personal Data, Dash shall retain all rights and responsibilities as a “Controller”, “Business”, or other comparable role, as defined under Data Protection Laws; provided that to the extent Transferred DashLX Personal Data is transmitted to Customer, Customer shall also possess all rights and responsibilities as an independent “Controller”, “Third Party”, or other comparable role, as defined under Data Protection Laws with respect to such Transferred DashLX Personal Data. Each Party has the right to take reasonable and appropriate steps to help ensure that the other Party uses any Transferred DashLX Personal Data in a manner consistent with Data Protection Laws, and such Party can take reasonable and appropriate steps to stop and remediate any unauthorized use of Transferred DashLX Personal Data. Each Party shall assist the other in complying with all applicable requirements of the Data Protection Laws, including but not limited to providing the other Party with all assistance needed, at the other Party’s expense, to allow the other Party to respond to data subject’s consumer rights requests in compliance with the Data Protection Laws and notifying the other Party if it can no longer meet its obligations under Data Protection Law.</w:t>
      </w:r>
    </w:p>
    <w:p w:rsidR="00000000" w:rsidDel="00000000" w:rsidP="00000000" w:rsidRDefault="00000000" w:rsidRPr="00000000" w14:paraId="00000016">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Data Security.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7">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the extent a Party accesses, processes, and/or hosts Personal Data in connection with this Agreement, such Party shall ensure that its security infrastructure is consistent with prevailing industry standards for virus protection, firewalls and intrusion prevention in order to prevent against accidental or unlawful destruction, loss, alteration, or the unauthorized access to the Personal Data and the underlying systems, network, servers and applications. Each Party shall maintain appropriate administrative, physical and technical safeguards for the protection of the security, confidentiality and integrity of the Personal Data while in such Party’s control. </w:t>
      </w:r>
    </w:p>
    <w:p w:rsidR="00000000" w:rsidDel="00000000" w:rsidP="00000000" w:rsidRDefault="00000000" w:rsidRPr="00000000" w14:paraId="00000018">
      <w:pPr>
        <w:widowControl w:val="0"/>
        <w:numPr>
          <w:ilvl w:val="2"/>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144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Party shall implement an information security program, which program shall at a minimum require each Party to maintain: (1) security controls to identify and protect all Personal Data under such Party’s possession or control; (2) employee security awareness, such as communication of all applicable security policies to, and conducting security awareness training for, such Party’s employees and agents; (3) physical security controls of such Party’s facilities; (4) protocols governing access to such Party’s systems, network, servers and applications and specifying defined levels of access restricted to authorized employees and agents only; and (5) protocols specifying proper user authentication for all employees and agents with access to such Party’s systems, including unique access credentials and immediate revocation of any such user access upon termination of the applicable user.</w:t>
      </w:r>
    </w:p>
    <w:p w:rsidR="00000000" w:rsidDel="00000000" w:rsidP="00000000" w:rsidRDefault="00000000" w:rsidRPr="00000000" w14:paraId="00000019">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Confidentiality</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1A">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Definition of Confidential Information</w:t>
      </w:r>
      <w:r w:rsidDel="00000000" w:rsidR="00000000" w:rsidRPr="00000000">
        <w:rPr>
          <w:rFonts w:ascii="Times New Roman" w:cs="Times New Roman" w:eastAsia="Times New Roman" w:hAnsi="Times New Roman"/>
          <w:color w:val="000000"/>
          <w:rtl w:val="0"/>
        </w:rPr>
        <w:t xml:space="preserve">. Both Parties acknowledge and agree that either Party (the “</w:t>
      </w:r>
      <w:r w:rsidDel="00000000" w:rsidR="00000000" w:rsidRPr="00000000">
        <w:rPr>
          <w:rFonts w:ascii="Times New Roman" w:cs="Times New Roman" w:eastAsia="Times New Roman" w:hAnsi="Times New Roman"/>
          <w:b w:val="1"/>
          <w:color w:val="000000"/>
          <w:rtl w:val="0"/>
        </w:rPr>
        <w:t xml:space="preserve">Disclosing Party</w:t>
      </w:r>
      <w:r w:rsidDel="00000000" w:rsidR="00000000" w:rsidRPr="00000000">
        <w:rPr>
          <w:rFonts w:ascii="Times New Roman" w:cs="Times New Roman" w:eastAsia="Times New Roman" w:hAnsi="Times New Roman"/>
          <w:color w:val="000000"/>
          <w:rtl w:val="0"/>
        </w:rPr>
        <w:t xml:space="preserve">”) may disclose certain confidential, proprietary, trade secret or other sensitive information (the “</w:t>
      </w:r>
      <w:r w:rsidDel="00000000" w:rsidR="00000000" w:rsidRPr="00000000">
        <w:rPr>
          <w:rFonts w:ascii="Times New Roman" w:cs="Times New Roman" w:eastAsia="Times New Roman" w:hAnsi="Times New Roman"/>
          <w:b w:val="1"/>
          <w:color w:val="000000"/>
          <w:rtl w:val="0"/>
        </w:rPr>
        <w:t xml:space="preserve">Confidential Information</w:t>
      </w:r>
      <w:r w:rsidDel="00000000" w:rsidR="00000000" w:rsidRPr="00000000">
        <w:rPr>
          <w:rFonts w:ascii="Times New Roman" w:cs="Times New Roman" w:eastAsia="Times New Roman" w:hAnsi="Times New Roman"/>
          <w:color w:val="000000"/>
          <w:rtl w:val="0"/>
        </w:rPr>
        <w:t xml:space="preserve">”) to the other Party (the “</w:t>
      </w:r>
      <w:r w:rsidDel="00000000" w:rsidR="00000000" w:rsidRPr="00000000">
        <w:rPr>
          <w:rFonts w:ascii="Times New Roman" w:cs="Times New Roman" w:eastAsia="Times New Roman" w:hAnsi="Times New Roman"/>
          <w:b w:val="1"/>
          <w:color w:val="000000"/>
          <w:rtl w:val="0"/>
        </w:rPr>
        <w:t xml:space="preserve">Receiving Party</w:t>
      </w:r>
      <w:r w:rsidDel="00000000" w:rsidR="00000000" w:rsidRPr="00000000">
        <w:rPr>
          <w:rFonts w:ascii="Times New Roman" w:cs="Times New Roman" w:eastAsia="Times New Roman" w:hAnsi="Times New Roman"/>
          <w:color w:val="000000"/>
          <w:rtl w:val="0"/>
        </w:rPr>
        <w:t xml:space="preserve">”). Confidential Information includes, without limitation, the Services, intellectual property, technical, marketing and financial information or business plans and any information that would reasonably be understood to be confidential even if not so marked. </w:t>
      </w:r>
    </w:p>
    <w:p w:rsidR="00000000" w:rsidDel="00000000" w:rsidP="00000000" w:rsidRDefault="00000000" w:rsidRPr="00000000" w14:paraId="0000001B">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Duty to Protect. </w:t>
      </w:r>
      <w:r w:rsidDel="00000000" w:rsidR="00000000" w:rsidRPr="00000000">
        <w:rPr>
          <w:rFonts w:ascii="Times New Roman" w:cs="Times New Roman" w:eastAsia="Times New Roman" w:hAnsi="Times New Roman"/>
          <w:color w:val="000000"/>
          <w:rtl w:val="0"/>
        </w:rPr>
        <w:t xml:space="preserve">The Receiving Party will take all care to protect the Disclosing Party’s Confidential Information as it takes to protect its own Confidential Information, but in no case less than reasonable care. The Receiving Party will ensure that its employees and contractors are bound in writing to comply with these or substantially similar confidentiality requirements. The Receiving Party is responsible for its contractors’ compliance with the terms of this Agreement as they apply to the Receiving Party. The Receiving Party will not use or disclose Confidential Information of the Disclosing Party except as necessary to exercise its rights and perform its obligations hereunder. If the Receiving Party becomes aware of any unauthorized use or disclosure of Confidential Information of the Disclosing Party, the Receiving Party will notify the Disclosing Party immediately and will give full cooperation to minimize the effects of such unauthorized use or disclosure.</w:t>
      </w:r>
    </w:p>
    <w:p w:rsidR="00000000" w:rsidDel="00000000" w:rsidP="00000000" w:rsidRDefault="00000000" w:rsidRPr="00000000" w14:paraId="0000001C">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Exceptions. </w:t>
      </w:r>
      <w:r w:rsidDel="00000000" w:rsidR="00000000" w:rsidRPr="00000000">
        <w:rPr>
          <w:rFonts w:ascii="Times New Roman" w:cs="Times New Roman" w:eastAsia="Times New Roman" w:hAnsi="Times New Roman"/>
          <w:color w:val="000000"/>
          <w:rtl w:val="0"/>
        </w:rPr>
        <w:t xml:space="preserve">The foregoing obligations with respect to Confidential Information shall not apply with respect to any information that the Receiving Party can document (i) is or becomes (through no improper action or inaction by the Receiving Party or any affiliate, agent, consultant or employee of the Receiving Party) generally available to the public, (ii) was in its possession or known by it without restriction prior to receipt from the Disclosing Party, (iii) was rightfully disclosed to it by a third party without restriction, or (iv) was independently developed without access to or use of any Confidential Information of the Disclosing Party. The Receiving Party may make disclosures required by law or court order provided, to the extent legally permissible, the Receiving Party uses diligent reasonable efforts to notify the Disclosing Party of such requirement and works with the Disclosing Party in good faith to prevent or limit disclosure.</w:t>
      </w:r>
    </w:p>
    <w:p w:rsidR="00000000" w:rsidDel="00000000" w:rsidP="00000000" w:rsidRDefault="00000000" w:rsidRPr="00000000" w14:paraId="0000001D">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Term and Termination</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E">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Term</w:t>
      </w:r>
      <w:r w:rsidDel="00000000" w:rsidR="00000000" w:rsidRPr="00000000">
        <w:rPr>
          <w:rFonts w:ascii="Times New Roman" w:cs="Times New Roman" w:eastAsia="Times New Roman" w:hAnsi="Times New Roman"/>
          <w:color w:val="000000"/>
          <w:rtl w:val="0"/>
        </w:rPr>
        <w:t xml:space="preserve">. This Agreement will commence on the Effective Date and continue until terminated as set forth below. The term of each Service Order will be as set forth on such Service Order (“</w:t>
      </w:r>
      <w:r w:rsidDel="00000000" w:rsidR="00000000" w:rsidRPr="00000000">
        <w:rPr>
          <w:rFonts w:ascii="Times New Roman" w:cs="Times New Roman" w:eastAsia="Times New Roman" w:hAnsi="Times New Roman"/>
          <w:b w:val="1"/>
          <w:color w:val="000000"/>
          <w:rtl w:val="0"/>
        </w:rPr>
        <w:t xml:space="preserve">Initial Term</w:t>
      </w:r>
      <w:r w:rsidDel="00000000" w:rsidR="00000000" w:rsidRPr="00000000">
        <w:rPr>
          <w:rFonts w:ascii="Times New Roman" w:cs="Times New Roman" w:eastAsia="Times New Roman" w:hAnsi="Times New Roman"/>
          <w:color w:val="000000"/>
          <w:rtl w:val="0"/>
        </w:rPr>
        <w:t xml:space="preserve">”). Unless otherwise set forth on the Service Order, at the conclusion of the Initial Term, the Service Order will automatically renew for consecutive periods of one (1) year each (“</w:t>
      </w:r>
      <w:r w:rsidDel="00000000" w:rsidR="00000000" w:rsidRPr="00000000">
        <w:rPr>
          <w:rFonts w:ascii="Times New Roman" w:cs="Times New Roman" w:eastAsia="Times New Roman" w:hAnsi="Times New Roman"/>
          <w:b w:val="1"/>
          <w:color w:val="000000"/>
          <w:rtl w:val="0"/>
        </w:rPr>
        <w:t xml:space="preserve">Renewal Term</w:t>
      </w:r>
      <w:r w:rsidDel="00000000" w:rsidR="00000000" w:rsidRPr="00000000">
        <w:rPr>
          <w:rFonts w:ascii="Times New Roman" w:cs="Times New Roman" w:eastAsia="Times New Roman" w:hAnsi="Times New Roman"/>
          <w:color w:val="000000"/>
          <w:rtl w:val="0"/>
        </w:rPr>
        <w:t xml:space="preserve">”) unless one party notifies the other party in writing at least 30 days prior to the expiration of the then-current term that it does not wish to renew such Service Order. The Initial Term and all Renewal Terms are collectively referred to as the “</w:t>
      </w:r>
      <w:r w:rsidDel="00000000" w:rsidR="00000000" w:rsidRPr="00000000">
        <w:rPr>
          <w:rFonts w:ascii="Times New Roman" w:cs="Times New Roman" w:eastAsia="Times New Roman" w:hAnsi="Times New Roman"/>
          <w:b w:val="1"/>
          <w:color w:val="000000"/>
          <w:rtl w:val="0"/>
        </w:rPr>
        <w:t xml:space="preserve">Term</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1F">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Termination Rights. </w:t>
      </w:r>
      <w:r w:rsidDel="00000000" w:rsidR="00000000" w:rsidRPr="00000000">
        <w:rPr>
          <w:rFonts w:ascii="Times New Roman" w:cs="Times New Roman" w:eastAsia="Times New Roman" w:hAnsi="Times New Roman"/>
          <w:color w:val="000000"/>
          <w:rtl w:val="0"/>
        </w:rPr>
        <w:t xml:space="preserve">This Agreement will automatically terminate if and when there are no Service Orders outstanding. Either Party may terminate this Agreement or a Service Order (a) upon written notice to the other Party if such other Party materially breaches this Agreement or Service Order and fails to cure such breach within fourteen (14) days of receipt of written notice thereof; provided that such cure period shall be five (5) days in the event of any material breach of Section 2.2 or nonpayment of Fees; (b) upon the institution by or against the other Party of insolvency, receivership or bankruptcy proceedings; (c) upon the other Party’s making an assignment for the benefit of creditors; or (d) upon the other Party’s dissolution or ceasing to do business. A termination of the Agreement shall result in the immediate termination of all Service Orders. </w:t>
      </w:r>
    </w:p>
    <w:p w:rsidR="00000000" w:rsidDel="00000000" w:rsidP="00000000" w:rsidRDefault="00000000" w:rsidRPr="00000000" w14:paraId="00000020">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Effect</w:t>
      </w:r>
      <w:r w:rsidDel="00000000" w:rsidR="00000000" w:rsidRPr="00000000">
        <w:rPr>
          <w:rFonts w:ascii="Times New Roman" w:cs="Times New Roman" w:eastAsia="Times New Roman" w:hAnsi="Times New Roman"/>
          <w:color w:val="000000"/>
          <w:rtl w:val="0"/>
        </w:rPr>
        <w:t xml:space="preserve">. Upon expiration or termination of this Agreement for any reason, (a) each Party must return or destroy all Confidential Information of the other Party within thirty (30) days, (b) Customer’s right use the Services shall terminate; (c) each Party shall continue to comply with its Privacy Obligations with respect to any Personal Data it has collected; and (d) Sections 2.2 through 2.5, 5.3, 6.3, and 8 through 10 will survive any expiration or termination of this Agreement.</w:t>
      </w:r>
    </w:p>
    <w:p w:rsidR="00000000" w:rsidDel="00000000" w:rsidP="00000000" w:rsidRDefault="00000000" w:rsidRPr="00000000" w14:paraId="00000021">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Warranty and Disclaimer</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2">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DashLX Warranties.</w:t>
      </w:r>
      <w:r w:rsidDel="00000000" w:rsidR="00000000" w:rsidRPr="00000000">
        <w:rPr>
          <w:rFonts w:ascii="Times New Roman" w:cs="Times New Roman" w:eastAsia="Times New Roman" w:hAnsi="Times New Roman"/>
          <w:color w:val="000000"/>
          <w:rtl w:val="0"/>
        </w:rPr>
        <w:t xml:space="preserve"> DashLX represents and warrants that (a) the Services will be free of material defects when used as intended and subject to Customer’s compliance with Section 2.6, (b) DashLX will not include in the Services any computer code or other computer instructions, devices or techniques, including, without limitation, those known as disabling devices, trojans, or time bombs, that intentionally prevents access to, disrupt, disable, harm, infect, defraud, damage or otherwise impede in any manner the Services or the operation of a network, computer program or computer system or any component thereof, and (c) it shall comply with its Privacy Obligations. Should Customer notify DashLX of any failure to comply with Sections 7.1(a) or (b) DashLX will, as Customer’s sole and exclusive remedy, at its option, either (i) modify the Services so that they conform to such warranties or (ii) pay to Customer a pro-rata refund of Fees for such Services. </w:t>
      </w:r>
    </w:p>
    <w:p w:rsidR="00000000" w:rsidDel="00000000" w:rsidP="00000000" w:rsidRDefault="00000000" w:rsidRPr="00000000" w14:paraId="00000023">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Customer Warranties.</w:t>
      </w:r>
      <w:r w:rsidDel="00000000" w:rsidR="00000000" w:rsidRPr="00000000">
        <w:rPr>
          <w:rFonts w:ascii="Times New Roman" w:cs="Times New Roman" w:eastAsia="Times New Roman" w:hAnsi="Times New Roman"/>
          <w:color w:val="000000"/>
          <w:rtl w:val="0"/>
        </w:rPr>
        <w:t xml:space="preserve"> Customer represents, and warrants that it shall comply with its Privacy Obligations. </w:t>
      </w:r>
    </w:p>
    <w:p w:rsidR="00000000" w:rsidDel="00000000" w:rsidP="00000000" w:rsidRDefault="00000000" w:rsidRPr="00000000" w14:paraId="00000024">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Disclaimer</w:t>
      </w:r>
      <w:r w:rsidDel="00000000" w:rsidR="00000000" w:rsidRPr="00000000">
        <w:rPr>
          <w:rFonts w:ascii="Times New Roman" w:cs="Times New Roman" w:eastAsia="Times New Roman" w:hAnsi="Times New Roman"/>
          <w:color w:val="000000"/>
          <w:rtl w:val="0"/>
        </w:rPr>
        <w:t xml:space="preserve">. EXCEPT AS OTHERWISE EXPRESSLY WARRANTED IN THIS SECTION 6, NEITHER</w:t>
      </w:r>
      <w:r w:rsidDel="00000000" w:rsidR="00000000" w:rsidRPr="00000000">
        <w:rPr>
          <w:rFonts w:ascii="Times New Roman" w:cs="Times New Roman" w:eastAsia="Times New Roman" w:hAnsi="Times New Roman"/>
          <w:rtl w:val="0"/>
        </w:rPr>
        <w:t xml:space="preserve"> PARTY</w:t>
      </w:r>
      <w:r w:rsidDel="00000000" w:rsidR="00000000" w:rsidRPr="00000000">
        <w:rPr>
          <w:rFonts w:ascii="Times New Roman" w:cs="Times New Roman" w:eastAsia="Times New Roman" w:hAnsi="Times New Roman"/>
          <w:color w:val="000000"/>
          <w:rtl w:val="0"/>
        </w:rPr>
        <w:t xml:space="preserve"> MAKES ANY WARRANTY, EXPRESS OR IMPLIED, AND ALL OTHER WARRANTIES, WHETHER EXPRESS, IMPLIED, OR STATUTORY ARE HEREBY DISCLAIMED, INCLUDING, WITHOUT LIMITATION, THE IMPLIED WARRANTIES OF MERCHANTABILITY, FITNESS FOR PARTICULAR PURPOSE, TITLE, AND NONINFRINGEMENT. EXCEPT AS EXPRESSLY SET FORTH HEREIN.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DOES NOT WARRANT THAT THE SERVICES WILL BE ACCURATE OR ERROR-FREE, WILL FUNCTION WITHOUT INTERRUPTION, OR THAT ANY DEFECTS WILL BE CORRECTED.</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Indemnification</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By DashLX.</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will defend at its own expense any action against Customer brought by a third party to the extent that the action is based upon a third-party allegation the Service, when used as permitted under this Agreement violates applicable law or infringes or misappropriates any third party copyrights or trade secrets (an “</w:t>
      </w:r>
      <w:r w:rsidDel="00000000" w:rsidR="00000000" w:rsidRPr="00000000">
        <w:rPr>
          <w:rFonts w:ascii="Times New Roman" w:cs="Times New Roman" w:eastAsia="Times New Roman" w:hAnsi="Times New Roman"/>
          <w:b w:val="1"/>
          <w:color w:val="000000"/>
          <w:rtl w:val="0"/>
        </w:rPr>
        <w:t xml:space="preserve">Indemnified Services Claim</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will pay those costs and expenses finally awarded against Customer in any action attributable to an Indemnified Services Claim, or those costs and damages agreed to in a monetary settlement of such Indemnified Services Claim.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will have no indemnification obligation for claims to the extent arising from: (i) Customer’s breach of this Agreement; (ii) the combination of the Service with Customer’s application or systems; or (iii) the modification of the Service by any party other than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 or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’s agents. The foregoing is </w:t>
      </w:r>
      <w:r w:rsidDel="00000000" w:rsidR="00000000" w:rsidRPr="00000000">
        <w:rPr>
          <w:rFonts w:ascii="Times New Roman" w:cs="Times New Roman" w:eastAsia="Times New Roman" w:hAnsi="Times New Roman"/>
          <w:rtl w:val="0"/>
        </w:rPr>
        <w:t xml:space="preserve">DashLX</w:t>
      </w:r>
      <w:r w:rsidDel="00000000" w:rsidR="00000000" w:rsidRPr="00000000">
        <w:rPr>
          <w:rFonts w:ascii="Times New Roman" w:cs="Times New Roman" w:eastAsia="Times New Roman" w:hAnsi="Times New Roman"/>
          <w:color w:val="000000"/>
          <w:rtl w:val="0"/>
        </w:rPr>
        <w:t xml:space="preserve">’s sole and exclusive obligation for infringement claims.</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Mutual.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Each Party </w:t>
      </w:r>
      <w:r w:rsidDel="00000000" w:rsidR="00000000" w:rsidRPr="00000000">
        <w:rPr>
          <w:rFonts w:ascii="Times New Roman" w:cs="Times New Roman" w:eastAsia="Times New Roman" w:hAnsi="Times New Roman"/>
          <w:color w:val="000000"/>
          <w:rtl w:val="0"/>
        </w:rPr>
        <w:t xml:space="preserve">will defend at its own expense any action against the other Party brought by a third party to the extent that the action is based upon or arises from the indemnifying Party’s violation(s) of its Privacy Obligations (“</w:t>
      </w:r>
      <w:r w:rsidDel="00000000" w:rsidR="00000000" w:rsidRPr="00000000">
        <w:rPr>
          <w:rFonts w:ascii="Times New Roman" w:cs="Times New Roman" w:eastAsia="Times New Roman" w:hAnsi="Times New Roman"/>
          <w:b w:val="1"/>
          <w:color w:val="000000"/>
          <w:rtl w:val="0"/>
        </w:rPr>
        <w:t xml:space="preserve">Indemnified Personal Data Claim</w:t>
      </w:r>
      <w:r w:rsidDel="00000000" w:rsidR="00000000" w:rsidRPr="00000000">
        <w:rPr>
          <w:rFonts w:ascii="Times New Roman" w:cs="Times New Roman" w:eastAsia="Times New Roman" w:hAnsi="Times New Roman"/>
          <w:color w:val="000000"/>
          <w:rtl w:val="0"/>
        </w:rPr>
        <w:t xml:space="preserve">”), and </w:t>
      </w:r>
      <w:r w:rsidDel="00000000" w:rsidR="00000000" w:rsidRPr="00000000">
        <w:rPr>
          <w:rFonts w:ascii="Times New Roman" w:cs="Times New Roman" w:eastAsia="Times New Roman" w:hAnsi="Times New Roman"/>
          <w:rtl w:val="0"/>
        </w:rPr>
        <w:t xml:space="preserve">the indemnifying Party</w:t>
      </w:r>
      <w:r w:rsidDel="00000000" w:rsidR="00000000" w:rsidRPr="00000000">
        <w:rPr>
          <w:rFonts w:ascii="Times New Roman" w:cs="Times New Roman" w:eastAsia="Times New Roman" w:hAnsi="Times New Roman"/>
          <w:color w:val="000000"/>
          <w:rtl w:val="0"/>
        </w:rPr>
        <w:t xml:space="preserve"> will pay any amounts finally awarded against the other Party in any action attributable to an Indemnified Personal Data Claim, or those amounts agreed to in a monetary settlement of such Indemnified Personal Data Claim. </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120" w:before="120" w:lineRule="auto"/>
        <w:ind w:left="0" w:firstLine="720"/>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b w:val="1"/>
          <w:color w:val="000000"/>
          <w:rtl w:val="0"/>
        </w:rPr>
        <w:t xml:space="preserve">Conditions</w:t>
      </w:r>
      <w:r w:rsidDel="00000000" w:rsidR="00000000" w:rsidRPr="00000000">
        <w:rPr>
          <w:rFonts w:ascii="Times New Roman" w:cs="Times New Roman" w:eastAsia="Times New Roman" w:hAnsi="Times New Roman"/>
          <w:color w:val="000000"/>
          <w:rtl w:val="0"/>
        </w:rPr>
        <w:t xml:space="preserve">. The foregoing indemnification obligations are conditioned on the indemnified Party (a) promptly notifying </w:t>
      </w:r>
      <w:r w:rsidDel="00000000" w:rsidR="00000000" w:rsidRPr="00000000">
        <w:rPr>
          <w:rFonts w:ascii="Times New Roman" w:cs="Times New Roman" w:eastAsia="Times New Roman" w:hAnsi="Times New Roman"/>
          <w:rtl w:val="0"/>
        </w:rPr>
        <w:t xml:space="preserve">the indemnifying Party</w:t>
      </w:r>
      <w:r w:rsidDel="00000000" w:rsidR="00000000" w:rsidRPr="00000000">
        <w:rPr>
          <w:rFonts w:ascii="Times New Roman" w:cs="Times New Roman" w:eastAsia="Times New Roman" w:hAnsi="Times New Roman"/>
          <w:color w:val="000000"/>
          <w:rtl w:val="0"/>
        </w:rPr>
        <w:t xml:space="preserve"> of any claim for which it is seeing indemnification; (b) permitting </w:t>
      </w:r>
      <w:r w:rsidDel="00000000" w:rsidR="00000000" w:rsidRPr="00000000">
        <w:rPr>
          <w:rFonts w:ascii="Times New Roman" w:cs="Times New Roman" w:eastAsia="Times New Roman" w:hAnsi="Times New Roman"/>
          <w:rtl w:val="0"/>
        </w:rPr>
        <w:t xml:space="preserve">the indemnifying Party</w:t>
      </w:r>
      <w:r w:rsidDel="00000000" w:rsidR="00000000" w:rsidRPr="00000000">
        <w:rPr>
          <w:rFonts w:ascii="Times New Roman" w:cs="Times New Roman" w:eastAsia="Times New Roman" w:hAnsi="Times New Roman"/>
          <w:color w:val="000000"/>
          <w:rtl w:val="0"/>
        </w:rPr>
        <w:t xml:space="preserve"> to answer and defend and/or settle the claim (</w:t>
      </w:r>
      <w:r w:rsidDel="00000000" w:rsidR="00000000" w:rsidRPr="00000000">
        <w:rPr>
          <w:rFonts w:ascii="Times New Roman" w:cs="Times New Roman" w:eastAsia="Times New Roman" w:hAnsi="Times New Roman"/>
          <w:rtl w:val="0"/>
        </w:rPr>
        <w:t xml:space="preserve">provided the indemnifying Party cannot settle any claim unless the settlement unconditionally releases the indemnified Party or the indemnified Party approves the settlement)</w:t>
      </w:r>
      <w:r w:rsidDel="00000000" w:rsidR="00000000" w:rsidRPr="00000000">
        <w:rPr>
          <w:rFonts w:ascii="Times New Roman" w:cs="Times New Roman" w:eastAsia="Times New Roman" w:hAnsi="Times New Roman"/>
          <w:color w:val="000000"/>
          <w:rtl w:val="0"/>
        </w:rPr>
        <w:t xml:space="preserve">; and (c) providing necessary information and assistance (at the indemnifying Party’s expense), as needed to defend the claim. The indemnified Party shall be free to participate in the defense of any claim with its own counsel at its own cost. </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Exclusion of Damages; Limitation of Liability.</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A">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EXCEPT FOR A BREACH OF SECTION</w:t>
      </w:r>
      <w:r w:rsidDel="00000000" w:rsidR="00000000" w:rsidRPr="00000000">
        <w:rPr>
          <w:rFonts w:ascii="Times New Roman" w:cs="Times New Roman" w:eastAsia="Times New Roman" w:hAnsi="Times New Roman"/>
          <w:smallCaps w:val="1"/>
          <w:color w:val="000000"/>
          <w:rtl w:val="0"/>
        </w:rPr>
        <w:t xml:space="preserve"> 2, 3 OR 4 </w:t>
      </w:r>
      <w:r w:rsidDel="00000000" w:rsidR="00000000" w:rsidRPr="00000000">
        <w:rPr>
          <w:rFonts w:ascii="Times New Roman" w:cs="Times New Roman" w:eastAsia="Times New Roman" w:hAnsi="Times New Roman"/>
          <w:color w:val="000000"/>
          <w:rtl w:val="0"/>
        </w:rPr>
        <w:t xml:space="preserve">OR EITHER PARTY’S INDEMNITY OBLIGATIONS HEREUNDER, NEITHER PARTY SHALL HAVE ANY LIABILITY HEREUNDER FOR CONSEQUENTIAL, EXEMPLARY, SPECIAL, INDIRECT, INCIDENTAL OR PUNITIVE DAMAGES EVEN IF IT HAS BEEN ADVISED OF THE POSSIBILITY OF SUCH DAMAGES. </w:t>
      </w:r>
    </w:p>
    <w:p w:rsidR="00000000" w:rsidDel="00000000" w:rsidP="00000000" w:rsidRDefault="00000000" w:rsidRPr="00000000" w14:paraId="0000002B">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MOREOVER, UNLESS EXPRESSLY SET FORTH HEREIN, </w:t>
      </w:r>
      <w:r w:rsidDel="00000000" w:rsidR="00000000" w:rsidRPr="00000000">
        <w:rPr>
          <w:rFonts w:ascii="Times New Roman" w:cs="Times New Roman" w:eastAsia="Times New Roman" w:hAnsi="Times New Roman"/>
          <w:rtl w:val="0"/>
        </w:rPr>
        <w:t xml:space="preserve">EACH PARTY</w:t>
      </w:r>
      <w:r w:rsidDel="00000000" w:rsidR="00000000" w:rsidRPr="00000000">
        <w:rPr>
          <w:rFonts w:ascii="Times New Roman" w:cs="Times New Roman" w:eastAsia="Times New Roman" w:hAnsi="Times New Roman"/>
          <w:color w:val="000000"/>
          <w:rtl w:val="0"/>
        </w:rPr>
        <w:t xml:space="preserve"> SHALL HAVE NO LIABILITY WHATSOEVER FOR LOSS OF CUSTOMER DATA OR INTERRUPTION OF THE SERVICES FOR ANY REASON, INCLUDING POWER OUTAGE, LACK OF NETWORK ACCESS, RIOT, INSURRECTION, EXPLOSION, MALICIOUS MISCHIEF, LIGHTNING, EARTHQUAKE, EXTREME WEATHER CONDITIONS, OR THE ACTIONS OF ANY THIRD PARTY. IN NO EVENT WILL EITHER PARTY’S LIABILITY HEREUNDER EXCEED THE FEES PAID OR PAYABLE IN THE TWELVE MONTHS PRIOR TO THE EVENT GIVING RISE TO THE LIABILITY.</w:t>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Fees, Invoicing and Payment</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2D">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Fees</w:t>
      </w:r>
      <w:r w:rsidDel="00000000" w:rsidR="00000000" w:rsidRPr="00000000">
        <w:rPr>
          <w:rFonts w:ascii="Times New Roman" w:cs="Times New Roman" w:eastAsia="Times New Roman" w:hAnsi="Times New Roman"/>
          <w:color w:val="000000"/>
          <w:rtl w:val="0"/>
        </w:rPr>
        <w:t xml:space="preserve">. Each Service Order will set forth the fees to be charged by DashLX to Customer for the Services and any other agreed upon items (“</w:t>
      </w:r>
      <w:r w:rsidDel="00000000" w:rsidR="00000000" w:rsidRPr="00000000">
        <w:rPr>
          <w:rFonts w:ascii="Times New Roman" w:cs="Times New Roman" w:eastAsia="Times New Roman" w:hAnsi="Times New Roman"/>
          <w:b w:val="1"/>
          <w:color w:val="000000"/>
          <w:rtl w:val="0"/>
        </w:rPr>
        <w:t xml:space="preserve">Fees</w:t>
      </w:r>
      <w:r w:rsidDel="00000000" w:rsidR="00000000" w:rsidRPr="00000000">
        <w:rPr>
          <w:rFonts w:ascii="Times New Roman" w:cs="Times New Roman" w:eastAsia="Times New Roman" w:hAnsi="Times New Roman"/>
          <w:color w:val="000000"/>
          <w:rtl w:val="0"/>
        </w:rPr>
        <w:t xml:space="preserve">”). All Fees shall be paid in U.S. dollars. Unless otherwise stated on a Service Order, Fees are invoiced annually in advance and must be paid within thirty (30) days of the date of the invoice. Fees are non-refundable.</w:t>
      </w:r>
    </w:p>
    <w:p w:rsidR="00000000" w:rsidDel="00000000" w:rsidP="00000000" w:rsidRDefault="00000000" w:rsidRPr="00000000" w14:paraId="0000002E">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bookmarkStart w:colFirst="0" w:colLast="0" w:name="_heading=h.3o7alnk" w:id="1"/>
      <w:bookmarkEnd w:id="1"/>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Taxes and Expenses</w:t>
      </w:r>
      <w:r w:rsidDel="00000000" w:rsidR="00000000" w:rsidRPr="00000000">
        <w:rPr>
          <w:rFonts w:ascii="Times New Roman" w:cs="Times New Roman" w:eastAsia="Times New Roman" w:hAnsi="Times New Roman"/>
          <w:color w:val="000000"/>
          <w:rtl w:val="0"/>
        </w:rPr>
        <w:t xml:space="preserve">. All Fees are deemed inclusive of all forms and types of taxes in all jurisdictions, with the exception of VAT, GST or other applicable sales tax which, where chargeable by DashLX, shall be payable by Customer at the rate and in the manner prescribed by law, unless Customer provides evidence of exemption. For clarity, DashLX is solely responsible for any taxes based on its income, property, or employees. Unless otherwise set forth in a Service Order or this Agreement, each Party is responsible for its own expenses in connection with this Agreement. </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General Provisions</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30">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Entire Agreement. </w:t>
      </w:r>
      <w:r w:rsidDel="00000000" w:rsidR="00000000" w:rsidRPr="00000000">
        <w:rPr>
          <w:rFonts w:ascii="Times New Roman" w:cs="Times New Roman" w:eastAsia="Times New Roman" w:hAnsi="Times New Roman"/>
          <w:color w:val="000000"/>
          <w:rtl w:val="0"/>
        </w:rPr>
        <w:t xml:space="preserve">This Agreement includes all mutually-executed Service Orders and all exhibits hereto and, together the foregoing, constitutes the entire agreement between both Parties concerning this transaction, and replaces all previous communications, representations, understandings, and agreements, whether verbal or written between the Parties to this Agreement or their representatives with respect to the subject matter herein. In the event of a conflict between this Agreement and any Service Order, the Service Order shall prevail. Furthermore, no provisions in either Party’s purchase orders or in any other business forms employed by either Party will add to, modify, or supersede the terms and conditions of this Agreement. As used herein, “including” means “including, without limitation”.</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31">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Waiver and Amendments</w:t>
      </w:r>
      <w:r w:rsidDel="00000000" w:rsidR="00000000" w:rsidRPr="00000000">
        <w:rPr>
          <w:rFonts w:ascii="Times New Roman" w:cs="Times New Roman" w:eastAsia="Times New Roman" w:hAnsi="Times New Roman"/>
          <w:color w:val="000000"/>
          <w:rtl w:val="0"/>
        </w:rPr>
        <w:t xml:space="preserve">. No waiver, amendment, alteration or modification of any provision of this Agreement shall be effective unless authorized signatories of both Parties consent to it in a writing that references this Agreement. No failure or delay by either Party in exercising any rights, powers, or remedies under this Agreement shall operate as a waiver of any such right, power, or remedy. </w:t>
      </w:r>
    </w:p>
    <w:p w:rsidR="00000000" w:rsidDel="00000000" w:rsidP="00000000" w:rsidRDefault="00000000" w:rsidRPr="00000000" w14:paraId="00000032">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Severability</w:t>
      </w:r>
      <w:r w:rsidDel="00000000" w:rsidR="00000000" w:rsidRPr="00000000">
        <w:rPr>
          <w:rFonts w:ascii="Times New Roman" w:cs="Times New Roman" w:eastAsia="Times New Roman" w:hAnsi="Times New Roman"/>
          <w:color w:val="000000"/>
          <w:rtl w:val="0"/>
        </w:rPr>
        <w:t xml:space="preserve">. If any provision of this Agreement shall be held by a court of competent jurisdiction to be contrary to any law, the remaining provisions shall remain in full force and effect as if such provision never existed.</w:t>
      </w:r>
    </w:p>
    <w:p w:rsidR="00000000" w:rsidDel="00000000" w:rsidP="00000000" w:rsidRDefault="00000000" w:rsidRPr="00000000" w14:paraId="00000033">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Notices</w:t>
      </w:r>
      <w:r w:rsidDel="00000000" w:rsidR="00000000" w:rsidRPr="00000000">
        <w:rPr>
          <w:rFonts w:ascii="Times New Roman" w:cs="Times New Roman" w:eastAsia="Times New Roman" w:hAnsi="Times New Roman"/>
          <w:color w:val="000000"/>
          <w:rtl w:val="0"/>
        </w:rPr>
        <w:t xml:space="preserve">. Notices given under this Agreement shall be given in writing and delivered either by hand, registered or certified mail, email (with receipt of acknowledgment), or courier (including overnight delivery or other express mail delivery service (all delivery charges pre-paid)) to the addresses set forth below each Party’s signature to this Agreement (or as otherwise designated by a Party.</w:t>
      </w:r>
    </w:p>
    <w:p w:rsidR="00000000" w:rsidDel="00000000" w:rsidP="00000000" w:rsidRDefault="00000000" w:rsidRPr="00000000" w14:paraId="00000034">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Assignment</w:t>
      </w:r>
      <w:r w:rsidDel="00000000" w:rsidR="00000000" w:rsidRPr="00000000">
        <w:rPr>
          <w:rFonts w:ascii="Times New Roman" w:cs="Times New Roman" w:eastAsia="Times New Roman" w:hAnsi="Times New Roman"/>
          <w:color w:val="000000"/>
          <w:rtl w:val="0"/>
        </w:rPr>
        <w:t xml:space="preserve">. Neither Party (“</w:t>
      </w:r>
      <w:r w:rsidDel="00000000" w:rsidR="00000000" w:rsidRPr="00000000">
        <w:rPr>
          <w:rFonts w:ascii="Times New Roman" w:cs="Times New Roman" w:eastAsia="Times New Roman" w:hAnsi="Times New Roman"/>
          <w:b w:val="1"/>
          <w:color w:val="000000"/>
          <w:rtl w:val="0"/>
        </w:rPr>
        <w:t xml:space="preserve">Assigning Party</w:t>
      </w:r>
      <w:r w:rsidDel="00000000" w:rsidR="00000000" w:rsidRPr="00000000">
        <w:rPr>
          <w:rFonts w:ascii="Times New Roman" w:cs="Times New Roman" w:eastAsia="Times New Roman" w:hAnsi="Times New Roman"/>
          <w:color w:val="000000"/>
          <w:rtl w:val="0"/>
        </w:rPr>
        <w:t xml:space="preserve">”) may, in whole or in part, assign, transfer, sell, sublicense or otherwise dispose of any of its rights or obligations under this Agreement, whether by operation of law or otherwise, to any third-party, without the prior written consent of the other Party. Notwithstanding the foregoing, the Assigning Party may assign, without prior written consent, its rights and obligations hereunder to a successor in interest by reason of merger, acquisition, or consolidation or sale or other disposition of all or substantially all of the stock, assets or business of the Assigning Party relating to that portion of the business to which this Agreement pertains; provided further that with respect to any assignment to a successor in interest, (a) such assignment includes all rights and obligations under this Agreement, (b) such successor in interest has agreed in writing as of such assignment to be bound by the terms of this Agreement, and (c) the assignee is not a competitor of the other Party. Any attempted assignment that does not comply with the terms of this Section will be void.</w:t>
      </w:r>
    </w:p>
    <w:p w:rsidR="00000000" w:rsidDel="00000000" w:rsidP="00000000" w:rsidRDefault="00000000" w:rsidRPr="00000000" w14:paraId="00000035">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 Force Majeure</w:t>
      </w:r>
      <w:r w:rsidDel="00000000" w:rsidR="00000000" w:rsidRPr="00000000">
        <w:rPr>
          <w:rFonts w:ascii="Times New Roman" w:cs="Times New Roman" w:eastAsia="Times New Roman" w:hAnsi="Times New Roman"/>
          <w:color w:val="000000"/>
          <w:rtl w:val="0"/>
        </w:rPr>
        <w:t xml:space="preserve">. Neither Party shall be responsible for any delay in performance or failure to meet its respective obligations under this Agreement that is caused, directly or indirectly, by any event beyond the such Party's reasonable control including, but not limited to, fire, flood, explosion, earthquake, strike (not involving a Party’s own employees), embargo, act of terrorism, war, or other act of God (collectively, “</w:t>
      </w:r>
      <w:r w:rsidDel="00000000" w:rsidR="00000000" w:rsidRPr="00000000">
        <w:rPr>
          <w:rFonts w:ascii="Times New Roman" w:cs="Times New Roman" w:eastAsia="Times New Roman" w:hAnsi="Times New Roman"/>
          <w:b w:val="1"/>
          <w:color w:val="000000"/>
          <w:rtl w:val="0"/>
        </w:rPr>
        <w:t xml:space="preserve">Force Majeure</w:t>
      </w:r>
      <w:r w:rsidDel="00000000" w:rsidR="00000000" w:rsidRPr="00000000">
        <w:rPr>
          <w:rFonts w:ascii="Times New Roman" w:cs="Times New Roman" w:eastAsia="Times New Roman" w:hAnsi="Times New Roman"/>
          <w:color w:val="000000"/>
          <w:rtl w:val="0"/>
        </w:rPr>
        <w:t xml:space="preserve">”). A Party impacted by a Force Majeure shall notify the other Party promptly, take reasonable steps to mitigate the impact of the Force Majeure, and recommence performance as soon as reasonably practical after the cessation of the Force Majeure. The operation of this Agreement, including the obligation to make payments, shall be suspended during the period (and only during the period) in which the Force Majeure Event continues and any time periods in this Agreement shall be extended accordingly.</w:t>
      </w:r>
    </w:p>
    <w:p w:rsidR="00000000" w:rsidDel="00000000" w:rsidP="00000000" w:rsidRDefault="00000000" w:rsidRPr="00000000" w14:paraId="00000036">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bookmarkStart w:colFirst="0" w:colLast="0" w:name="_heading=h.30j0zll" w:id="2"/>
      <w:bookmarkEnd w:id="2"/>
      <w:r w:rsidDel="00000000" w:rsidR="00000000" w:rsidRPr="00000000">
        <w:rPr>
          <w:rFonts w:ascii="Times New Roman" w:cs="Times New Roman" w:eastAsia="Times New Roman" w:hAnsi="Times New Roman"/>
          <w:b w:val="1"/>
          <w:color w:val="000000"/>
          <w:rtl w:val="0"/>
        </w:rPr>
        <w:t xml:space="preserve"> Governing Law</w:t>
      </w:r>
      <w:r w:rsidDel="00000000" w:rsidR="00000000" w:rsidRPr="00000000">
        <w:rPr>
          <w:rFonts w:ascii="Times New Roman" w:cs="Times New Roman" w:eastAsia="Times New Roman" w:hAnsi="Times New Roman"/>
          <w:color w:val="000000"/>
          <w:rtl w:val="0"/>
        </w:rPr>
        <w:t xml:space="preserve">. This Agreement shall be governed and interpreted in accordance with the laws of the State of Delaware, U.S.A., without giving effect to any conflict of laws principles or provisions that would result in the application of the laws of a different state or country. Any dispute, controversy, claim, action, or proceeding arising out of, relating to or in connection with this Agreement must be brought exclusively in the courts of New Castle County, Delaware. The prevailing party in any legal proceeding shall be entitled to recover its reasonable attorneys’ fees and court costs incurred in connection therewith, in addition to any other relief it may be awarded from the other party. This Agreement is entered into solely in the English language, and if for any reason any other language version is prepared by any Party, it shall be solely for convenience and shall have no force or effect and the English version shall govern and control in all respects. All proceedings related to this Agreement shall be conducted in the English language. The United Nations Convention on Contracts for the International Sale of Goods is expressly disclaimed and shall not apply to this Agreement.</w:t>
      </w:r>
    </w:p>
    <w:p w:rsidR="00000000" w:rsidDel="00000000" w:rsidP="00000000" w:rsidRDefault="00000000" w:rsidRPr="00000000" w14:paraId="00000037">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Waiver</w:t>
      </w:r>
      <w:r w:rsidDel="00000000" w:rsidR="00000000" w:rsidRPr="00000000">
        <w:rPr>
          <w:rFonts w:ascii="Times New Roman" w:cs="Times New Roman" w:eastAsia="Times New Roman" w:hAnsi="Times New Roman"/>
          <w:color w:val="000000"/>
          <w:rtl w:val="0"/>
        </w:rPr>
        <w:t xml:space="preserve"> of </w:t>
      </w:r>
      <w:r w:rsidDel="00000000" w:rsidR="00000000" w:rsidRPr="00000000">
        <w:rPr>
          <w:rFonts w:ascii="Times New Roman" w:cs="Times New Roman" w:eastAsia="Times New Roman" w:hAnsi="Times New Roman"/>
          <w:b w:val="1"/>
          <w:color w:val="000000"/>
          <w:rtl w:val="0"/>
        </w:rPr>
        <w:t xml:space="preserve">Jury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Trial</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smallCaps w:val="1"/>
          <w:color w:val="000000"/>
          <w:rtl w:val="0"/>
        </w:rPr>
        <w:t xml:space="preserve">Each Party irrevocably and unconditionally waives, to the fullest extent permitted by applicable law, any right it may have to a trial by jury in any legal action, proceeding, cause of action, or counterclaim, arising out of or related to this Agreement</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38">
      <w:pPr>
        <w:widowControl w:val="0"/>
        <w:numPr>
          <w:ilvl w:val="1"/>
          <w:numId w:val="1"/>
        </w:numPr>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Rule="auto"/>
        <w:ind w:left="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Equitable Relief</w:t>
      </w:r>
      <w:r w:rsidDel="00000000" w:rsidR="00000000" w:rsidRPr="00000000">
        <w:rPr>
          <w:rFonts w:ascii="Times New Roman" w:cs="Times New Roman" w:eastAsia="Times New Roman" w:hAnsi="Times New Roman"/>
          <w:color w:val="000000"/>
          <w:rtl w:val="0"/>
        </w:rPr>
        <w:t xml:space="preserve">. Each Party acknowledges any unauthorized disclosure or use of Confidential Information by the Receiving Party, or a breach of the intellectual property provisions herein will cause irreparable harm and loss to the aggrieved Party. In the event of any actual or threatened breach of Sections 2 or 4 by a Party, the non-breaching Party shall be entitled to seek emergency interim relief prohibiting further breach, which action shall not restrict or limit any other remedies legal or equitable that </w:t>
      </w:r>
      <w:r w:rsidDel="00000000" w:rsidR="00000000" w:rsidRPr="00000000">
        <w:rPr>
          <w:rFonts w:ascii="Times New Roman" w:cs="Times New Roman" w:eastAsia="Times New Roman" w:hAnsi="Times New Roman"/>
          <w:rtl w:val="0"/>
        </w:rPr>
        <w:t xml:space="preserve">the</w:t>
      </w:r>
      <w:r w:rsidDel="00000000" w:rsidR="00000000" w:rsidRPr="00000000">
        <w:rPr>
          <w:rFonts w:ascii="Times New Roman" w:cs="Times New Roman" w:eastAsia="Times New Roman" w:hAnsi="Times New Roman"/>
          <w:color w:val="000000"/>
          <w:rtl w:val="0"/>
        </w:rPr>
        <w:t xml:space="preserve"> Party determines to seek. </w:t>
        <w:br w:type="textWrapping"/>
      </w:r>
    </w:p>
    <w:p w:rsidR="00000000" w:rsidDel="00000000" w:rsidP="00000000" w:rsidRDefault="00000000" w:rsidRPr="00000000" w14:paraId="00000039">
      <w:pPr>
        <w:spacing w:after="120" w:lineRule="auto"/>
        <w:rPr>
          <w:rFonts w:ascii="Times New Roman" w:cs="Times New Roman" w:eastAsia="Times New Roman" w:hAnsi="Times New Roman"/>
        </w:rPr>
      </w:pPr>
      <w:bookmarkStart w:colFirst="0" w:colLast="0" w:name="_heading=h.2w5ecyt" w:id="3"/>
      <w:bookmarkEnd w:id="3"/>
      <w:r w:rsidDel="00000000" w:rsidR="00000000" w:rsidRPr="00000000">
        <w:rPr>
          <w:rFonts w:ascii="Times New Roman" w:cs="Times New Roman" w:eastAsia="Times New Roman" w:hAnsi="Times New Roman"/>
          <w:rtl w:val="0"/>
        </w:rPr>
        <w:t xml:space="preserve">By their signatures below, DashLX</w:t>
      </w:r>
      <w:r w:rsidDel="00000000" w:rsidR="00000000" w:rsidRPr="00000000">
        <w:rPr>
          <w:rFonts w:ascii="Times New Roman" w:cs="Times New Roman" w:eastAsia="Times New Roman" w:hAnsi="Times New Roman"/>
          <w:color w:val="000000"/>
          <w:rtl w:val="0"/>
        </w:rPr>
        <w:t xml:space="preserve"> and Customer hereby enter into this Agreement as of the Effective Date. </w:t>
        <w:br w:type="textWrapping"/>
      </w:r>
      <w:r w:rsidDel="00000000" w:rsidR="00000000" w:rsidRPr="00000000">
        <w:rPr>
          <w:rtl w:val="0"/>
        </w:rPr>
      </w:r>
    </w:p>
    <w:p w:rsidR="00000000" w:rsidDel="00000000" w:rsidP="00000000" w:rsidRDefault="00000000" w:rsidRPr="00000000" w14:paraId="0000003A">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Customer:  __________________</w:t>
        <w:tab/>
        <w:tab/>
        <w:tab/>
        <w:t xml:space="preserve">PWR Lab, Inc. d.b.a. as DashLX</w:t>
      </w:r>
    </w:p>
    <w:p w:rsidR="00000000" w:rsidDel="00000000" w:rsidP="00000000" w:rsidRDefault="00000000" w:rsidRPr="00000000" w14:paraId="0000003B">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By:  ________________________</w:t>
        <w:tab/>
        <w:tab/>
        <w:tab/>
        <w:t xml:space="preserve">By:  ________________________</w:t>
      </w:r>
    </w:p>
    <w:p w:rsidR="00000000" w:rsidDel="00000000" w:rsidP="00000000" w:rsidRDefault="00000000" w:rsidRPr="00000000" w14:paraId="0000003C">
      <w:pPr>
        <w:spacing w:after="12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  _____________________</w:t>
        <w:tab/>
        <w:tab/>
        <w:tab/>
        <w:t xml:space="preserve">Name:  _____________________</w:t>
      </w:r>
    </w:p>
    <w:p w:rsidR="00000000" w:rsidDel="00000000" w:rsidP="00000000" w:rsidRDefault="00000000" w:rsidRPr="00000000" w14:paraId="0000003D">
      <w:pPr>
        <w:rPr>
          <w:rFonts w:ascii="Times New Roman" w:cs="Times New Roman" w:eastAsia="Times New Roman" w:hAnsi="Times New Roman"/>
          <w:b w:val="1"/>
          <w:i w:val="1"/>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Times" w:cs="Times" w:eastAsia="Times" w:hAnsi="Times"/>
        <w:b w:val="1"/>
        <w:i w:val="0"/>
        <w:smallCaps w:val="1"/>
        <w:strike w:val="0"/>
        <w:color w:val="000000"/>
        <w:sz w:val="22"/>
        <w:szCs w:val="22"/>
        <w:u w:val="none"/>
        <w:vertAlign w:val="baseline"/>
      </w:rPr>
    </w:lvl>
    <w:lvl w:ilvl="1">
      <w:start w:val="1"/>
      <w:numFmt w:val="decimal"/>
      <w:lvlText w:val="%1.%2"/>
      <w:lvlJc w:val="left"/>
      <w:pPr>
        <w:ind w:left="0" w:firstLine="720"/>
      </w:pPr>
      <w:rPr>
        <w:rFonts w:ascii="Times New Roman" w:cs="Times New Roman" w:eastAsia="Times New Roman" w:hAnsi="Times New Roman"/>
        <w:b w:val="1"/>
        <w:i w:val="0"/>
        <w:smallCaps w:val="0"/>
        <w:strike w:val="0"/>
        <w:color w:val="000000"/>
        <w:sz w:val="22"/>
        <w:szCs w:val="22"/>
        <w:u w:val="none"/>
        <w:vertAlign w:val="baseline"/>
      </w:rPr>
    </w:lvl>
    <w:lvl w:ilvl="2">
      <w:start w:val="1"/>
      <w:numFmt w:val="lowerLetter"/>
      <w:lvlText w:val="(%3)"/>
      <w:lvlJc w:val="left"/>
      <w:pPr>
        <w:ind w:left="0" w:firstLine="1440"/>
      </w:pPr>
      <w:rPr>
        <w:rFonts w:ascii="Times New Roman" w:cs="Times New Roman" w:eastAsia="Times New Roman" w:hAnsi="Times New Roman"/>
        <w:b w:val="1"/>
        <w:i w:val="0"/>
        <w:smallCaps w:val="0"/>
        <w:strike w:val="0"/>
        <w:color w:val="000000"/>
        <w:sz w:val="22"/>
        <w:szCs w:val="22"/>
        <w:u w:val="none"/>
        <w:vertAlign w:val="baseline"/>
      </w:rPr>
    </w:lvl>
    <w:lvl w:ilvl="3">
      <w:start w:val="1"/>
      <w:numFmt w:val="lowerRoman"/>
      <w:lvlText w:val="(%4)"/>
      <w:lvlJc w:val="left"/>
      <w:pPr>
        <w:ind w:left="0" w:firstLine="2160"/>
      </w:pPr>
      <w:rPr>
        <w:rFonts w:ascii="Times New Roman" w:cs="Times New Roman" w:eastAsia="Times New Roman" w:hAnsi="Times New Roman"/>
        <w:b w:val="1"/>
        <w:i w:val="0"/>
        <w:smallCaps w:val="0"/>
        <w:strike w:val="0"/>
        <w:color w:val="000000"/>
        <w:sz w:val="26"/>
        <w:szCs w:val="26"/>
        <w:u w:val="none"/>
        <w:vertAlign w:val="baseline"/>
      </w:rPr>
    </w:lvl>
    <w:lvl w:ilvl="4">
      <w:start w:val="1"/>
      <w:numFmt w:val="decimal"/>
      <w:lvlText w:val="(%5)"/>
      <w:lvlJc w:val="left"/>
      <w:pPr>
        <w:ind w:left="0" w:firstLine="2880"/>
      </w:pPr>
      <w:rPr>
        <w:rFonts w:ascii="Times New Roman" w:cs="Times New Roman" w:eastAsia="Times New Roman" w:hAnsi="Times New Roman"/>
        <w:b w:val="1"/>
        <w:i w:val="0"/>
        <w:smallCaps w:val="0"/>
        <w:strike w:val="0"/>
        <w:color w:val="000000"/>
        <w:sz w:val="26"/>
        <w:szCs w:val="26"/>
        <w:u w:val="none"/>
        <w:vertAlign w:val="baseline"/>
      </w:rPr>
    </w:lvl>
    <w:lvl w:ilvl="5">
      <w:start w:val="1"/>
      <w:numFmt w:val="lowerLetter"/>
      <w:lvlText w:val="%6."/>
      <w:lvlJc w:val="left"/>
      <w:pPr>
        <w:ind w:left="0" w:firstLine="3600"/>
      </w:pPr>
      <w:rPr>
        <w:rFonts w:ascii="Times New Roman" w:cs="Times New Roman" w:eastAsia="Times New Roman" w:hAnsi="Times New Roman"/>
        <w:b w:val="1"/>
        <w:i w:val="0"/>
        <w:smallCaps w:val="0"/>
        <w:strike w:val="0"/>
        <w:color w:val="000000"/>
        <w:sz w:val="26"/>
        <w:szCs w:val="26"/>
        <w:u w:val="none"/>
        <w:vertAlign w:val="baseline"/>
      </w:rPr>
    </w:lvl>
    <w:lvl w:ilvl="6">
      <w:start w:val="1"/>
      <w:numFmt w:val="lowerRoman"/>
      <w:lvlText w:val="%7."/>
      <w:lvlJc w:val="left"/>
      <w:pPr>
        <w:ind w:left="0" w:firstLine="4320"/>
      </w:pPr>
      <w:rPr>
        <w:rFonts w:ascii="Times New Roman" w:cs="Times New Roman" w:eastAsia="Times New Roman" w:hAnsi="Times New Roman"/>
        <w:b w:val="1"/>
        <w:i w:val="0"/>
        <w:smallCaps w:val="0"/>
        <w:strike w:val="0"/>
        <w:color w:val="000000"/>
        <w:sz w:val="26"/>
        <w:szCs w:val="26"/>
        <w:u w:val="none"/>
        <w:vertAlign w:val="baseline"/>
      </w:rPr>
    </w:lvl>
    <w:lvl w:ilvl="7">
      <w:start w:val="1"/>
      <w:numFmt w:val="lowerLetter"/>
      <w:lvlText w:val="(%8)"/>
      <w:lvlJc w:val="left"/>
      <w:pPr>
        <w:ind w:left="0" w:firstLine="720"/>
      </w:pPr>
      <w:rPr>
        <w:rFonts w:ascii="Times New Roman" w:cs="Times New Roman" w:eastAsia="Times New Roman" w:hAnsi="Times New Roman"/>
        <w:b w:val="1"/>
        <w:i w:val="0"/>
        <w:smallCaps w:val="0"/>
        <w:strike w:val="0"/>
        <w:color w:val="000000"/>
        <w:sz w:val="26"/>
        <w:szCs w:val="26"/>
        <w:u w:val="none"/>
        <w:vertAlign w:val="baseline"/>
      </w:rPr>
    </w:lvl>
    <w:lvl w:ilvl="8">
      <w:start w:val="1"/>
      <w:numFmt w:val="lowerRoman"/>
      <w:lvlText w:val="(%9)"/>
      <w:lvlJc w:val="left"/>
      <w:pPr>
        <w:ind w:left="0" w:firstLine="1440"/>
      </w:pPr>
      <w:rPr>
        <w:rFonts w:ascii="Times New Roman" w:cs="Times New Roman" w:eastAsia="Times New Roman" w:hAnsi="Times New Roman"/>
        <w:b w:val="1"/>
        <w:i w:val="0"/>
        <w:smallCaps w:val="0"/>
        <w:strike w:val="0"/>
        <w:color w:val="000000"/>
        <w:sz w:val="26"/>
        <w:szCs w:val="26"/>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60" w:before="240" w:lineRule="auto"/>
      <w:jc w:val="center"/>
    </w:pPr>
    <w:rPr>
      <w:rFonts w:ascii="Arial" w:cs="Arial" w:eastAsia="Arial" w:hAnsi="Arial"/>
      <w:b w:val="1"/>
      <w:sz w:val="32"/>
      <w:szCs w:val="32"/>
    </w:rPr>
  </w:style>
  <w:style w:type="paragraph" w:styleId="Normal" w:default="1">
    <w:name w:val="Normal"/>
    <w:qFormat w:val="1"/>
    <w:rsid w:val="0060775F"/>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uiPriority w:val="10"/>
    <w:qFormat w:val="1"/>
    <w:rsid w:val="008C5CD7"/>
    <w:pPr>
      <w:spacing w:after="60" w:before="240"/>
      <w:jc w:val="center"/>
      <w:outlineLvl w:val="0"/>
    </w:pPr>
    <w:rPr>
      <w:rFonts w:ascii="Arial" w:cs="Times New Roman" w:eastAsia="Times New Roman" w:hAnsi="Arial"/>
      <w:b w:val="1"/>
      <w:kern w:val="28"/>
      <w:sz w:val="32"/>
      <w:szCs w:val="20"/>
      <w:lang w:eastAsia="x-none" w:val="x-none"/>
    </w:rPr>
  </w:style>
  <w:style w:type="character" w:styleId="Strong">
    <w:name w:val="Strong"/>
    <w:basedOn w:val="DefaultParagraphFont"/>
    <w:uiPriority w:val="22"/>
    <w:qFormat w:val="1"/>
    <w:rsid w:val="00D34A48"/>
    <w:rPr>
      <w:b w:val="1"/>
      <w:bCs w:val="1"/>
    </w:rPr>
  </w:style>
  <w:style w:type="paragraph" w:styleId="ListParagraph">
    <w:name w:val="List Paragraph"/>
    <w:basedOn w:val="Normal"/>
    <w:uiPriority w:val="34"/>
    <w:qFormat w:val="1"/>
    <w:rsid w:val="00B9727E"/>
    <w:pPr>
      <w:ind w:left="720"/>
      <w:contextualSpacing w:val="1"/>
    </w:pPr>
  </w:style>
  <w:style w:type="paragraph" w:styleId="Header">
    <w:name w:val="header"/>
    <w:basedOn w:val="Normal"/>
    <w:link w:val="HeaderChar"/>
    <w:uiPriority w:val="99"/>
    <w:unhideWhenUsed w:val="1"/>
    <w:rsid w:val="00930D12"/>
    <w:pPr>
      <w:tabs>
        <w:tab w:val="center" w:pos="4680"/>
        <w:tab w:val="right" w:pos="9360"/>
      </w:tabs>
    </w:pPr>
  </w:style>
  <w:style w:type="character" w:styleId="HeaderChar" w:customStyle="1">
    <w:name w:val="Header Char"/>
    <w:basedOn w:val="DefaultParagraphFont"/>
    <w:link w:val="Header"/>
    <w:uiPriority w:val="99"/>
    <w:rsid w:val="00930D12"/>
  </w:style>
  <w:style w:type="paragraph" w:styleId="Footer">
    <w:name w:val="footer"/>
    <w:basedOn w:val="Normal"/>
    <w:link w:val="FooterChar"/>
    <w:uiPriority w:val="99"/>
    <w:unhideWhenUsed w:val="1"/>
    <w:rsid w:val="00930D12"/>
    <w:pPr>
      <w:tabs>
        <w:tab w:val="center" w:pos="4680"/>
        <w:tab w:val="right" w:pos="9360"/>
      </w:tabs>
    </w:pPr>
  </w:style>
  <w:style w:type="character" w:styleId="FooterChar" w:customStyle="1">
    <w:name w:val="Footer Char"/>
    <w:basedOn w:val="DefaultParagraphFont"/>
    <w:link w:val="Footer"/>
    <w:uiPriority w:val="99"/>
    <w:rsid w:val="00930D12"/>
  </w:style>
  <w:style w:type="paragraph" w:styleId="BalloonText">
    <w:name w:val="Balloon Text"/>
    <w:basedOn w:val="Normal"/>
    <w:link w:val="BalloonTextChar"/>
    <w:uiPriority w:val="99"/>
    <w:semiHidden w:val="1"/>
    <w:unhideWhenUsed w:val="1"/>
    <w:rsid w:val="0066667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6667F"/>
    <w:rPr>
      <w:rFonts w:ascii="Tahoma" w:cs="Tahoma" w:hAnsi="Tahoma"/>
      <w:sz w:val="16"/>
      <w:szCs w:val="16"/>
    </w:rPr>
  </w:style>
  <w:style w:type="table" w:styleId="TableGrid">
    <w:name w:val="Table Grid"/>
    <w:basedOn w:val="TableNormal"/>
    <w:uiPriority w:val="59"/>
    <w:rsid w:val="00F145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8C5CD7"/>
    <w:rPr>
      <w:color w:val="0000ff"/>
      <w:u w:val="single"/>
    </w:rPr>
  </w:style>
  <w:style w:type="paragraph" w:styleId="BodyText">
    <w:name w:val="Body Text"/>
    <w:basedOn w:val="Normal"/>
    <w:link w:val="BodyTextChar"/>
    <w:rsid w:val="008C5CD7"/>
    <w:pPr>
      <w:spacing w:after="240"/>
      <w:jc w:val="both"/>
    </w:pPr>
    <w:rPr>
      <w:rFonts w:ascii="Times New Roman" w:cs="Times New Roman" w:eastAsia="MS Mincho" w:hAnsi="Times New Roman"/>
      <w:sz w:val="20"/>
      <w:lang w:eastAsia="x-none" w:val="x-none"/>
    </w:rPr>
  </w:style>
  <w:style w:type="character" w:styleId="BodyTextChar" w:customStyle="1">
    <w:name w:val="Body Text Char"/>
    <w:basedOn w:val="DefaultParagraphFont"/>
    <w:link w:val="BodyText"/>
    <w:rsid w:val="008C5CD7"/>
    <w:rPr>
      <w:rFonts w:ascii="Times New Roman" w:cs="Times New Roman" w:eastAsia="MS Mincho" w:hAnsi="Times New Roman"/>
      <w:sz w:val="20"/>
      <w:lang w:eastAsia="x-none" w:val="x-none"/>
    </w:rPr>
  </w:style>
  <w:style w:type="character" w:styleId="TitleChar" w:customStyle="1">
    <w:name w:val="Title Char"/>
    <w:basedOn w:val="DefaultParagraphFont"/>
    <w:link w:val="Title"/>
    <w:rsid w:val="008C5CD7"/>
    <w:rPr>
      <w:rFonts w:ascii="Arial" w:cs="Times New Roman" w:eastAsia="Times New Roman" w:hAnsi="Arial"/>
      <w:b w:val="1"/>
      <w:kern w:val="28"/>
      <w:sz w:val="32"/>
      <w:szCs w:val="20"/>
      <w:lang w:eastAsia="x-none" w:val="x-none"/>
    </w:rPr>
  </w:style>
  <w:style w:type="character" w:styleId="CommentReference">
    <w:name w:val="annotation reference"/>
    <w:basedOn w:val="DefaultParagraphFont"/>
    <w:uiPriority w:val="99"/>
    <w:semiHidden w:val="1"/>
    <w:unhideWhenUsed w:val="1"/>
    <w:rsid w:val="007502B1"/>
    <w:rPr>
      <w:sz w:val="16"/>
      <w:szCs w:val="16"/>
    </w:rPr>
  </w:style>
  <w:style w:type="paragraph" w:styleId="CommentText">
    <w:name w:val="annotation text"/>
    <w:basedOn w:val="Normal"/>
    <w:link w:val="CommentTextChar"/>
    <w:uiPriority w:val="99"/>
    <w:unhideWhenUsed w:val="1"/>
    <w:rsid w:val="007502B1"/>
    <w:rPr>
      <w:sz w:val="20"/>
      <w:szCs w:val="20"/>
    </w:rPr>
  </w:style>
  <w:style w:type="character" w:styleId="CommentTextChar" w:customStyle="1">
    <w:name w:val="Comment Text Char"/>
    <w:basedOn w:val="DefaultParagraphFont"/>
    <w:link w:val="CommentText"/>
    <w:uiPriority w:val="99"/>
    <w:rsid w:val="007502B1"/>
    <w:rPr>
      <w:sz w:val="20"/>
      <w:szCs w:val="20"/>
    </w:rPr>
  </w:style>
  <w:style w:type="paragraph" w:styleId="CommentSubject">
    <w:name w:val="annotation subject"/>
    <w:basedOn w:val="CommentText"/>
    <w:next w:val="CommentText"/>
    <w:link w:val="CommentSubjectChar"/>
    <w:uiPriority w:val="99"/>
    <w:semiHidden w:val="1"/>
    <w:unhideWhenUsed w:val="1"/>
    <w:rsid w:val="007502B1"/>
    <w:rPr>
      <w:b w:val="1"/>
      <w:bCs w:val="1"/>
    </w:rPr>
  </w:style>
  <w:style w:type="character" w:styleId="CommentSubjectChar" w:customStyle="1">
    <w:name w:val="Comment Subject Char"/>
    <w:basedOn w:val="CommentTextChar"/>
    <w:link w:val="CommentSubject"/>
    <w:uiPriority w:val="99"/>
    <w:semiHidden w:val="1"/>
    <w:rsid w:val="007502B1"/>
    <w:rPr>
      <w:b w:val="1"/>
      <w:bCs w:val="1"/>
      <w:sz w:val="20"/>
      <w:szCs w:val="20"/>
    </w:rPr>
  </w:style>
  <w:style w:type="paragraph" w:styleId="Revision">
    <w:name w:val="Revision"/>
    <w:hidden w:val="1"/>
    <w:uiPriority w:val="99"/>
    <w:semiHidden w:val="1"/>
    <w:rsid w:val="009E482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102CB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HnAl3DPl3VXu0BJ1GONvQgPVOQ==">CgMxLjAyCGguZ2pkZ3hzMgloLjNvN2FsbmsyCWguMzBqMHpsbDIJaC4ydzVlY3l0OAByITFhaWtIdXRiTXl6QkRKUnE3cmItRnY4N1ZJYVFVbmYybg==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2024-07-26T20:34:00Z</dcterms:created>
</cp:coreProperties>
</file>