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Calibri" w:cs="Calibri" w:eastAsia="Calibri" w:hAnsi="Calibri"/>
          <w:color w:val="222222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color w:val="222222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APPROVED MINUTES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Wyatt Academy Board Committee Work Session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for the Local Business Outreach Project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Thursday, April 22, 2025 4:30-4:55 pm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Location: Principal’s Office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&amp; GoogleMeet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left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b w:val="1"/>
          <w:bCs w:val="1"/>
          <w:color w:val="1155cc"/>
          <w:sz w:val="21"/>
          <w:szCs w:val="2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Moderator: Terry Usry</w:t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Notes: Terry Usry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u w:val="single"/>
          <w:rtl w:val="0"/>
        </w:rPr>
        <w:t xml:space="preserve">ATTENDEES: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(“v” indicates virtual attendance)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India Kidd-Aaron (v), Joseph Sanchez (v), Terry Usry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4:30</w:t>
        <w:tab/>
        <w:tab/>
        <w:t xml:space="preserve">Welcome  (Terry)   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4:30 - 4:45</w:t>
        <w:tab/>
        <w:t xml:space="preserve">Review plan for reaching out to local businesses to introduce them to Wyatt (Terry)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of Goals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Introduce local businesses to the great work being done at Wyatt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ways local businesses can get involved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Get email contacts for future newsletter so that we can continue to inform the community of Wyatt accomplishments, events, etc.</w:t>
      </w:r>
    </w:p>
    <w:p w:rsidR="00000000" w:rsidDel="00000000" w:rsidP="00000000" w:rsidRDefault="00000000" w:rsidRPr="00000000" w14:paraId="0000001A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of Target List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a living doc that we can add to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now, let’s each take 10 contacts and then regroup after outreach to see how it goes and share advice for the most successful approach to the remaining list.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4:45 - 4:55</w:t>
        <w:tab/>
        <w:t xml:space="preserve">Discuss quarterly panel series plan (India)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India reviewed the idea of hosting quarterly panel discussions at Wyatt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to the community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Panels would focus on relevant issues that affect education or the local community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help build community relations and awareness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Timing: Start planning after initial local business outreach efforts conclude, perhaps Q2 of FY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4:55</w:t>
        <w:tab/>
        <w:tab/>
        <w:t xml:space="preserve">Adjourn</w:t>
      </w:r>
    </w:p>
    <w:p w:rsidR="00000000" w:rsidDel="00000000" w:rsidP="00000000" w:rsidRDefault="00000000" w:rsidRPr="00000000" w14:paraId="00000028">
      <w:pPr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44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2129337" cy="5286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9337" cy="528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