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50B2" w14:textId="13A19A51" w:rsidR="00700E52" w:rsidRDefault="00700E52">
      <w:r>
        <w:t>Hello and welcome to Introducing Feminist Theology. In this course, we’ll get to know some famous and foundational texts in feminist theology. In doing so, we’ll see how the discipline has shaped itself around a number of key questions presented by the encounter between Christian theology and feminism.</w:t>
      </w:r>
    </w:p>
    <w:p w14:paraId="5D387E2C" w14:textId="44E16656" w:rsidR="00700E52" w:rsidRDefault="00700E52">
      <w:r>
        <w:t>Each week will be structured around a recorded lecture (such as the one you are currently listening to), and then a reading. Listen to the lecture first as it will help explain the reading. Each lecture will also pose some questions for you to think about as you engage with the reading. We’ll then meet for a live discussion session.</w:t>
      </w:r>
    </w:p>
    <w:p w14:paraId="403706FB" w14:textId="74BAADA5" w:rsidR="00700E52" w:rsidRDefault="00700E52">
      <w:r>
        <w:t xml:space="preserve">This week’s text is Valerie Saiving Goldstein’s essay, ‘The Human Situation: A Feminist View’. It actually precedes the time that most scholars identify with the origins of the feminist theology as a discipline. However, it responds to a key question posed by feminism to theology, and her answer would go on to inform feminist theology as a discipline when it really kicked off about a decade later. </w:t>
      </w:r>
    </w:p>
    <w:p w14:paraId="4EEF35C9" w14:textId="3ACF3783" w:rsidR="005D49D8" w:rsidRDefault="005D49D8" w:rsidP="005D49D8">
      <w:pPr>
        <w:pStyle w:val="Heading1"/>
      </w:pPr>
      <w:r>
        <w:t>Part 1 – the essay in context</w:t>
      </w:r>
    </w:p>
    <w:p w14:paraId="1D433D77" w14:textId="378EAF16" w:rsidR="00700E52" w:rsidRDefault="00700E52">
      <w:r>
        <w:t>The essay turns around</w:t>
      </w:r>
      <w:r w:rsidR="00CD2270">
        <w:t xml:space="preserve"> three</w:t>
      </w:r>
      <w:r>
        <w:t xml:space="preserve"> questions: </w:t>
      </w:r>
      <w:r w:rsidR="00635BF0">
        <w:t>f</w:t>
      </w:r>
      <w:r w:rsidR="00CD2270">
        <w:t xml:space="preserve">irst, </w:t>
      </w:r>
      <w:r>
        <w:t>are women different from men, and if so, how?</w:t>
      </w:r>
      <w:r w:rsidR="00CD2270">
        <w:t xml:space="preserve"> Second, if this difference exists, then is the picture of the human condition drawn in Christianity adequate for women? And finally, what does this mean for wider theological ideas that flow from that picture – not least, sin and sinfulness?</w:t>
      </w:r>
    </w:p>
    <w:p w14:paraId="14A06668" w14:textId="2B5D359F" w:rsidR="00700E52" w:rsidRDefault="00635BF0">
      <w:r>
        <w:t>These questions are prompted by developments in feminist theory that question the supposed differences between men and women that define modern Western society. You will all have an idea of these differences: men are supposedly active, women are passive; men are more intellectual or spiritual, women are closer to nature; men are leaders and innovators suited to jobs in the workplace, women are carers and nurturers more suited to domestic roles etc. Feminists question</w:t>
      </w:r>
      <w:r w:rsidR="0003530E">
        <w:t xml:space="preserve"> these differences insofar as they push women into a particular kind of social role – one that feminists argue is unjust, or harmful towards women.</w:t>
      </w:r>
    </w:p>
    <w:p w14:paraId="4B80B4A6" w14:textId="2E426789" w:rsidR="0003530E" w:rsidRDefault="0003530E">
      <w:r>
        <w:t>Goldstein’s essay emerges within what is known as the ‘second wave’ of feminism.</w:t>
      </w:r>
      <w:r w:rsidR="006123A0">
        <w:t xml:space="preserve"> </w:t>
      </w:r>
      <w:r>
        <w:t xml:space="preserve">The first wave of feminism focused on women gaining access to the institutions that make up Western society. Struggles for women’s right to work, or women’s suffrage were the bread and butter of first wave feminism. </w:t>
      </w:r>
    </w:p>
    <w:p w14:paraId="5C65B1E5" w14:textId="410F1E77" w:rsidR="0003530E" w:rsidRDefault="0003530E">
      <w:r>
        <w:t>Second wave feminism took a more critical approach towards those institutions, as well as the ideologies surrounding them. It widened the scope of concern from achieving ‘formal’ equality, which is to say in law and rights, to more substantive kinds of equality – not just on paper, but in the details of how women are treated in society. To this end, second wave feminism was interested in the whole of society and offered radical challenges to all the ideologies and institutions that shaped women’s lives. Famous topics of second-wave feminist theory include the family (which is where the phrase, “the personal is political” comes from); sexuality (should women have sexual relationships with men, and how does this feed into patriarchy);</w:t>
      </w:r>
      <w:r w:rsidR="00A311AF">
        <w:t xml:space="preserve"> </w:t>
      </w:r>
      <w:r>
        <w:t>economics (are women a labour class in need of liberation?)</w:t>
      </w:r>
      <w:r w:rsidR="003F765E">
        <w:t>; and the concept of sexual difference (which later came to be plotted in terms of a distinction between natural ‘sex’ and cultural ‘gender’; a distinction which later came to be questioned in itself).</w:t>
      </w:r>
    </w:p>
    <w:p w14:paraId="6C4CD136" w14:textId="77777777" w:rsidR="001C396C" w:rsidRDefault="0003530E">
      <w:r>
        <w:t xml:space="preserve">Simone de Beauvoir’s 1949 book, </w:t>
      </w:r>
      <w:r>
        <w:rPr>
          <w:i/>
          <w:iCs/>
        </w:rPr>
        <w:t>The Second Sex</w:t>
      </w:r>
      <w:r>
        <w:t>, was a watershed moment for second wave feminism</w:t>
      </w:r>
      <w:r w:rsidR="001C396C">
        <w:t>,</w:t>
      </w:r>
      <w:r>
        <w:t xml:space="preserve"> and embodies many of the innovations associated with this period.</w:t>
      </w:r>
      <w:r w:rsidR="003F765E">
        <w:t xml:space="preserve"> De Beauvoir </w:t>
      </w:r>
      <w:r w:rsidR="003F765E">
        <w:lastRenderedPageBreak/>
        <w:t>famously argued in this book that “one is not born</w:t>
      </w:r>
      <w:r w:rsidR="0026175F">
        <w:t>, but rather becomes,</w:t>
      </w:r>
      <w:r w:rsidR="003F765E">
        <w:t xml:space="preserve"> a woman</w:t>
      </w:r>
      <w:r w:rsidR="0026175F">
        <w:t xml:space="preserve">”, which is sometimes also translated as “one is not born, but rather becomes, woman” (without the indefinite article). In both cases, what she means is that womanhood is the product of social processes that train people to think and act as, and render them the objects of treatment associated with, women. What gets chalked up to innate sexual differences is in fact the product of society, which de Beauvoir argues responds to biological differences in a way that is not only unjust, but can and should be resisted. This ‘denaturalisation’ </w:t>
      </w:r>
      <w:r w:rsidR="00942C48">
        <w:t xml:space="preserve">or ‘historicisation’ </w:t>
      </w:r>
      <w:r w:rsidR="0026175F">
        <w:t xml:space="preserve">of womanhood – seeing it as the product of </w:t>
      </w:r>
      <w:r w:rsidR="00942C48">
        <w:t xml:space="preserve">changeable </w:t>
      </w:r>
      <w:r w:rsidR="0026175F">
        <w:t>culture, not nature, and thus able to be resisted – was the hallmark of second wave feminism.</w:t>
      </w:r>
      <w:r w:rsidR="003D52A9">
        <w:t xml:space="preserve"> </w:t>
      </w:r>
    </w:p>
    <w:p w14:paraId="0AFA9EF4" w14:textId="48BE5AF8" w:rsidR="003D52A9" w:rsidRDefault="003D52A9">
      <w:r>
        <w:t xml:space="preserve">In this respect, second wave feminism is associated with “radical” feminism, from the Latin “radix” </w:t>
      </w:r>
      <w:r w:rsidR="00D173B0">
        <w:t xml:space="preserve">, meaning </w:t>
      </w:r>
      <w:r>
        <w:t xml:space="preserve">“root”. Radical feminism moves beyond first wave or ‘Liberal’ feminism’s concern for equality within the institutions that make up western Liberal society (that’s </w:t>
      </w:r>
      <w:r w:rsidR="00D173B0">
        <w:t>L</w:t>
      </w:r>
      <w:r>
        <w:t xml:space="preserve">iberal with a capital L, referring to an ideology of individual liberty, parliamentary democracy, </w:t>
      </w:r>
      <w:r w:rsidR="00D173B0">
        <w:t>and</w:t>
      </w:r>
      <w:r>
        <w:t xml:space="preserve"> free market </w:t>
      </w:r>
      <w:r w:rsidR="00D173B0">
        <w:t>capitalism</w:t>
      </w:r>
      <w:r>
        <w:t xml:space="preserve">; even conservatives are mostly Liberals in this sense). Radical feminism offers a more radical challenge to this ideology and its institutions, trying to imagine a society in which women are liberated in a more fundamental way that could involve their overturning. </w:t>
      </w:r>
      <w:r w:rsidR="001C396C">
        <w:t>It took various forms, from Marxist radical feminism, which saw womanhood as a labour class that would (or at least should) pass away with the Revolution, to cultural feminism, which sought to recover alternative ways of being rooted in women’s nature or culture liberated from patriarchal domination.</w:t>
      </w:r>
    </w:p>
    <w:p w14:paraId="58264AC9" w14:textId="7EEB76A9" w:rsidR="005D49D8" w:rsidRDefault="003D52A9">
      <w:r>
        <w:t>(</w:t>
      </w:r>
      <w:r w:rsidR="001C396C">
        <w:t>A</w:t>
      </w:r>
      <w:r>
        <w:t xml:space="preserve">s an aside, </w:t>
      </w:r>
      <w:r w:rsidR="001C396C">
        <w:t>radical feminism is often misunderstood today</w:t>
      </w:r>
      <w:r>
        <w:t xml:space="preserve">, when </w:t>
      </w:r>
      <w:r w:rsidR="001C396C">
        <w:t>it</w:t>
      </w:r>
      <w:r>
        <w:t xml:space="preserve"> is often just </w:t>
      </w:r>
      <w:r w:rsidR="001C396C">
        <w:t xml:space="preserve">conflated </w:t>
      </w:r>
      <w:r>
        <w:t xml:space="preserve">with opposition to trans rights. Some </w:t>
      </w:r>
      <w:r w:rsidR="001C396C">
        <w:t xml:space="preserve">(but by no means all) </w:t>
      </w:r>
      <w:r>
        <w:t>radical feminists would go on to worry about trans rights</w:t>
      </w:r>
      <w:r w:rsidR="001C396C">
        <w:t>,</w:t>
      </w:r>
      <w:r>
        <w:t xml:space="preserve"> </w:t>
      </w:r>
      <w:r w:rsidR="001C396C">
        <w:t>b</w:t>
      </w:r>
      <w:r>
        <w:t xml:space="preserve">ut most </w:t>
      </w:r>
      <w:r w:rsidR="001C396C">
        <w:t xml:space="preserve">of the </w:t>
      </w:r>
      <w:r>
        <w:t xml:space="preserve">anti-trans activism </w:t>
      </w:r>
      <w:r w:rsidR="001C396C">
        <w:t xml:space="preserve">that gets called radical feminism </w:t>
      </w:r>
      <w:r>
        <w:t xml:space="preserve">today </w:t>
      </w:r>
      <w:r w:rsidR="005D49D8">
        <w:t>is actually</w:t>
      </w:r>
      <w:r>
        <w:t xml:space="preserve"> Liberal feminis</w:t>
      </w:r>
      <w:r w:rsidR="005D49D8">
        <w:t>m,</w:t>
      </w:r>
      <w:r>
        <w:t xml:space="preserve"> focus</w:t>
      </w:r>
      <w:r w:rsidR="005D49D8">
        <w:t>ing</w:t>
      </w:r>
      <w:r>
        <w:t xml:space="preserve"> on </w:t>
      </w:r>
      <w:r w:rsidR="005D49D8">
        <w:t>the way that e</w:t>
      </w:r>
      <w:r>
        <w:t xml:space="preserve">xisting institutions police gender </w:t>
      </w:r>
      <w:r w:rsidR="005D49D8">
        <w:t xml:space="preserve">rather than on creating a radically different society. This is sometimes obscured by the way that it is presented as offering a radical critique of the concept of “gender”, but the radical feminist response would be that it simply opposes a conception of “gender identity”, rather than offering a radical critique of society or of gender itself. I don’t want to get bogged down in this issue, which is beside the point for this lecture, but it’s worth pointing out these confusions so you can use the terminology correctly!) </w:t>
      </w:r>
    </w:p>
    <w:p w14:paraId="50473CD6" w14:textId="38167746" w:rsidR="007869DE" w:rsidRPr="007869DE" w:rsidRDefault="005D49D8">
      <w:pPr>
        <w:rPr>
          <w:i/>
          <w:iCs/>
        </w:rPr>
      </w:pPr>
      <w:r>
        <w:t xml:space="preserve">Anyway, </w:t>
      </w:r>
      <w:r w:rsidR="003D52A9">
        <w:t>de Beauvoir is a radical feminist, presenting womanhood as a product of society and therefore able to be changed.</w:t>
      </w:r>
      <w:r w:rsidR="007869DE">
        <w:t xml:space="preserve"> There are a few of things to note here. First, de Beauvoir associates womanhood with patriarchal oppression: it is not something you possess and are then oppressed </w:t>
      </w:r>
      <w:r w:rsidR="007869DE">
        <w:rPr>
          <w:i/>
          <w:iCs/>
        </w:rPr>
        <w:t>for</w:t>
      </w:r>
      <w:r w:rsidR="007869DE">
        <w:t xml:space="preserve"> - womanhood </w:t>
      </w:r>
      <w:r w:rsidR="007869DE">
        <w:rPr>
          <w:i/>
          <w:iCs/>
        </w:rPr>
        <w:t xml:space="preserve">is </w:t>
      </w:r>
      <w:r w:rsidR="007869DE">
        <w:t>the state of being oppressed by patriarchy. One ‘becomes’ a woman as a product of being oppressed.</w:t>
      </w:r>
    </w:p>
    <w:p w14:paraId="5F3F09A6" w14:textId="77777777" w:rsidR="007869DE" w:rsidRDefault="007869DE">
      <w:r>
        <w:t>Second, i</w:t>
      </w:r>
      <w:r w:rsidR="004D0091">
        <w:t xml:space="preserve">n this respect, de Beauvoir separates out womanhood from biology. Womanhood emerges in society in response to biology, but is not itself a product of biology. This is important for the second wave project, because </w:t>
      </w:r>
      <w:r w:rsidR="003D52A9">
        <w:t xml:space="preserve">to most of the writers within it, </w:t>
      </w:r>
      <w:r w:rsidR="004D0091">
        <w:t xml:space="preserve">society </w:t>
      </w:r>
      <w:r w:rsidR="003D52A9">
        <w:t>seemed</w:t>
      </w:r>
      <w:r w:rsidR="004D0091">
        <w:t xml:space="preserve"> much more open to intervention and change than biology. </w:t>
      </w:r>
      <w:r>
        <w:t xml:space="preserve">If womanhood or patriarchal oppression was rooted in unchangeable biology, then (many writers thought), it could not be changed. Hence conservative critics of feminism would (and still) often try to root patriarchy in biological differences, arguing that women are biologically set up to play a subservient role in society. In contrast, radical feminists argued that “biology is not destiny”: we are not destined to play a particular role within society by our biology, not least the roles patriarchy seeks to ascribe to people. </w:t>
      </w:r>
      <w:r w:rsidR="004D0091">
        <w:t>As medical technologies progressed, this</w:t>
      </w:r>
      <w:r>
        <w:t xml:space="preserve"> premise that biology is unchangeable </w:t>
      </w:r>
      <w:r w:rsidR="004D0091">
        <w:t xml:space="preserve">became more questionable. Hence Shulamith Firestone, who wrote at the tail end of the </w:t>
      </w:r>
      <w:r>
        <w:lastRenderedPageBreak/>
        <w:t>second wave</w:t>
      </w:r>
      <w:r w:rsidR="004D0091">
        <w:t>, came to argue that even were women’s oppression to be rooted in biology, feminists would just have to work to change biology – for example by inventing artificial wombs so that women no longer had to engage in reproduction.</w:t>
      </w:r>
      <w:r w:rsidR="003D52A9">
        <w:t xml:space="preserve"> But Firestone aside, radical feminism generally </w:t>
      </w:r>
      <w:r>
        <w:t xml:space="preserve">distinguished between womanhood as an effect of society (which can and should be changed), and the natural features of human life. In short, they “denaturalised” womanhood. </w:t>
      </w:r>
    </w:p>
    <w:p w14:paraId="38FEA897" w14:textId="60B8D058" w:rsidR="004D0091" w:rsidRDefault="007869DE">
      <w:r>
        <w:t>Third, sometimes this is also referred to as rejecting “gender essentialism”, or the idea that there is some unchanging and unchangeable essence or human nature in which womanhood is rooted. However, naturalisation is only one way of being a gender essentialist. Alternatively, womanhood could be a product of society, but if it is produced in the same way by all societies across time and space, then this is another kind of gender essentialism. Womanhood, so conceived, would be the product of society, but existen</w:t>
      </w:r>
      <w:r w:rsidR="00EA00F8">
        <w:t>t</w:t>
      </w:r>
      <w:r>
        <w:t xml:space="preserve"> in a way that is in a sense independent of the particular societies that produce it in specific contexts. We might see this kind of essentialisation in today’s reading.</w:t>
      </w:r>
    </w:p>
    <w:p w14:paraId="0C908F6E" w14:textId="547650F3" w:rsidR="006123A0" w:rsidRDefault="006123A0">
      <w:r>
        <w:t>On this point, we are currently living through the ‘third wave’ of feminism. Third wave feminism emerged from critiques of second-wave feminism, generally around the ways in which it ostensibly fails to grapple with the differences between various groups of women</w:t>
      </w:r>
      <w:r w:rsidR="001E58B8">
        <w:t>; differences which various third-wave theorists claim show how the ideas of sex and womanhood that second wave feminism tends to organise itself around are themselves the product of patriarchy. If second wave feminism offered a radical critique of the institutions first wave feminism sought to reform, third wave feminism offers a radical critique of the ideas that second wave feminism used to articulate its alternatives. Again, this is slightly tangential to today’s topic, but it’s worth knowing where we are relative to this stuff!</w:t>
      </w:r>
    </w:p>
    <w:p w14:paraId="13679C80" w14:textId="669551F6" w:rsidR="00A7573B" w:rsidRDefault="001E58B8">
      <w:r>
        <w:t>This leads us on to the fourth consideration</w:t>
      </w:r>
      <w:r w:rsidR="001C396C">
        <w:t>:</w:t>
      </w:r>
      <w:r>
        <w:t xml:space="preserve"> the question of how to</w:t>
      </w:r>
      <w:r w:rsidR="001C396C">
        <w:t xml:space="preserve"> talk about the group of people designated as “women” within our society without reproducing the very terms under which they are oppressed</w:t>
      </w:r>
      <w:r>
        <w:t>.</w:t>
      </w:r>
      <w:r w:rsidR="001C396C">
        <w:t xml:space="preserve"> Can we think about those people in ways that avoid presenting them as destined for a subservient role? Can we avoid patriarchal prejudices and stereotyping? And are there general features of how we might talk about them that tips us back into these things? Can we, for example, formulate an essentialised account of womanhood that doesn’t end up just essentialising things that lead to women’s oppression, or reproducing patriarchal falsehoods? Or must feminism dispens</w:t>
      </w:r>
      <w:r w:rsidR="004343C0">
        <w:t>e</w:t>
      </w:r>
      <w:r w:rsidR="001C396C">
        <w:t xml:space="preserve"> with essentialisation in general?</w:t>
      </w:r>
    </w:p>
    <w:p w14:paraId="3A2C620C" w14:textId="2D9BAAB1" w:rsidR="00942C48" w:rsidRDefault="007869DE">
      <w:r>
        <w:t xml:space="preserve">Finally, </w:t>
      </w:r>
      <w:r w:rsidR="001D44A4">
        <w:t>these issues present an ambiguity: even</w:t>
      </w:r>
      <w:r w:rsidR="0069510A">
        <w:t xml:space="preserve"> when</w:t>
      </w:r>
      <w:r w:rsidR="001D44A4">
        <w:t xml:space="preserve"> feminists talk about “womanhood” or “being a woman”, they often talk about it in different ways. On the one hand, sometimes they mean “womanhood” in the sense of the product of society – what one becomes. On the other hand, sometimes they mean the people who become women, asking questions like “what would women be outside of patriarchy?” Some feminists would respond, “they wouldn’t be women!”, restricting the use of the word to the first sense. But others would be more comfortable with this kind of language, and for various reasons. Some feminists might see there as being an essential womanhood that </w:t>
      </w:r>
      <w:r w:rsidR="001D44A4">
        <w:rPr>
          <w:i/>
          <w:iCs/>
        </w:rPr>
        <w:t xml:space="preserve">would </w:t>
      </w:r>
      <w:r w:rsidR="001D44A4">
        <w:t>persist beyond patriarchy. Others might simply accept this language for ease of expression, while recognising that it is a bit imprecise or misleading. My point here is that it is not always clear what is going on – you doubtless have your own way of using the term yourself! – and it is worth keeping an eye out to avoid confusion.</w:t>
      </w:r>
    </w:p>
    <w:p w14:paraId="04047612" w14:textId="50AF7D5E" w:rsidR="00606B70" w:rsidRPr="001D44A4" w:rsidRDefault="00606B70">
      <w:r>
        <w:t>I’d like you to keep these questions in mind as we now turn to the text itself. Ask yourself: where does Goldstein sit amidst these considerations? And is she right to do so?</w:t>
      </w:r>
    </w:p>
    <w:p w14:paraId="355498B2" w14:textId="1DEA89CA" w:rsidR="00A7573B" w:rsidRDefault="00606B70" w:rsidP="00606B70">
      <w:pPr>
        <w:pStyle w:val="Heading1"/>
      </w:pPr>
      <w:r>
        <w:lastRenderedPageBreak/>
        <w:t>Part 2 – the text</w:t>
      </w:r>
    </w:p>
    <w:p w14:paraId="5045462B" w14:textId="794428C2" w:rsidR="00AA3C03" w:rsidRDefault="00DC6D2D">
      <w:r>
        <w:t xml:space="preserve">Goldstein begins by stating her key thesis: that theology, or at least the theology of her time, has described the human condition inaccurately. She writes that theologians understand the human condition to be marked by </w:t>
      </w:r>
      <w:r>
        <w:rPr>
          <w:i/>
          <w:iCs/>
        </w:rPr>
        <w:t>anxiety</w:t>
      </w:r>
      <w:r>
        <w:t>. This idea is influenced by existentialist philosophy. Existentialism responded to the experiences of uncertainty and precarity, freedom and unfreedom of the second world war. Existentialists viewed human beings as radically free, except for the fact that they ha</w:t>
      </w:r>
      <w:r w:rsidR="00B171B9">
        <w:t>ve</w:t>
      </w:r>
      <w:r>
        <w:t xml:space="preserve"> to exercise this freedom in the face of a world that would thwart it, not least through the fact of our death. This resulted in a situation of </w:t>
      </w:r>
      <w:r>
        <w:rPr>
          <w:i/>
          <w:iCs/>
        </w:rPr>
        <w:t>anxiety</w:t>
      </w:r>
      <w:r>
        <w:t>: first, we are anxious about how to use our freedom, including to become the sort of person we want to be; and second, we are anxious about the fact that we are always living under the spectre of death.</w:t>
      </w:r>
    </w:p>
    <w:p w14:paraId="723D4EB6" w14:textId="16F4830F" w:rsidR="00425DBE" w:rsidRDefault="00DC6D2D" w:rsidP="00DC6D2D">
      <w:r>
        <w:t>She argues that theologians have responded to this insight by viewing sin as a matter of humans trying to deal with their anxiety by asserting themselves over the world. By falsely inflating our own power, we can pretend to have control over the uncertainty in which we exercise our freedom, and reassure ourselves in the face of our inevitable end.</w:t>
      </w:r>
    </w:p>
    <w:p w14:paraId="6F6738D4" w14:textId="35F88032" w:rsidR="00DC6D2D" w:rsidRDefault="00DC6D2D" w:rsidP="00DC6D2D">
      <w:r>
        <w:t>However, she argues, this picture of anxiety is a distinctively masculine one that is not so true for women. Correspondingly, the picture of sin as a response to this situation may be apt of men’s sin – but not necessarily women’s.</w:t>
      </w:r>
    </w:p>
    <w:p w14:paraId="7B7E14C2" w14:textId="6D29F1BA" w:rsidR="00DC6D2D" w:rsidRDefault="00DC6D2D" w:rsidP="00425DBE">
      <w:r>
        <w:t>So what is this difference between men and women that lead</w:t>
      </w:r>
      <w:r w:rsidR="00A240C1">
        <w:t>s</w:t>
      </w:r>
      <w:r>
        <w:t xml:space="preserve"> to this distinction? Here, Goldstein tries to situate herself within her feminist moment, noting that many differences between men and women are purely cultural, and that human nature does not consign us to the kinds of differences that people in the mid-20</w:t>
      </w:r>
      <w:r w:rsidRPr="00DC6D2D">
        <w:rPr>
          <w:vertAlign w:val="superscript"/>
        </w:rPr>
        <w:t>th</w:t>
      </w:r>
      <w:r>
        <w:t xml:space="preserve"> century saw as natural – nor, therefore, the patriarchal social structures built upon them.</w:t>
      </w:r>
    </w:p>
    <w:p w14:paraId="60E5DDF0" w14:textId="76314A44" w:rsidR="00425DBE" w:rsidRDefault="00DC6D2D" w:rsidP="00DC6D2D">
      <w:r>
        <w:t xml:space="preserve">However, she argues, following the work of the feminist anthropologist Margaret Mead, there are </w:t>
      </w:r>
      <w:r w:rsidR="00FE4EAE">
        <w:t>there are regularities in the way that even cultures with otherwise heterogenous views of sex difference arrange themselves.</w:t>
      </w:r>
      <w:r>
        <w:t xml:space="preserve"> She seems a bit unclear about whether she ultimately views these differences as natural or cultural: as we shall see, on the one hand, she suggests that masculinity and femininity are ultimately choices that are made by individuals within their cultural context. However, she also suggests that the choices we make are shaped by our experience of certain natural facts about sexual difference</w:t>
      </w:r>
      <w:r w:rsidR="00D44099">
        <w:t>, in a way that suggests that masculinity and femininity may be more natural than she otherwise admits at this point. I’m about to explain this, but I’d like you to keep this question in mind as I do so.</w:t>
      </w:r>
    </w:p>
    <w:p w14:paraId="1D7CDB6A" w14:textId="6F6309B9" w:rsidR="0063713E" w:rsidRDefault="00D44099" w:rsidP="00425DBE">
      <w:r>
        <w:t>At the heart of the difference between men and women, she argues, is a difference in reproductive role that in turn leads to different processes of child development. Drawing from the psychoanalysis of her time, Goldstein argues that women bear children and have the closest relationship to them. This means that children must establish a sense of their own identity by distinguishing themselves first and foremost from their mother: the mother is the ‘other’ against which they must define their ‘self’. This takes two distinct paths:</w:t>
      </w:r>
    </w:p>
    <w:p w14:paraId="4DC5A1AA" w14:textId="77777777" w:rsidR="00AC3607" w:rsidRDefault="00D44099" w:rsidP="00AC3607">
      <w:r>
        <w:t xml:space="preserve">For female children, this path is a process of unanxious </w:t>
      </w:r>
      <w:r>
        <w:rPr>
          <w:i/>
          <w:iCs/>
        </w:rPr>
        <w:t>being</w:t>
      </w:r>
      <w:r>
        <w:t>, which she also describes as closer to nature. Womanhood comes to them as an inevitability, like a natural development.</w:t>
      </w:r>
      <w:r w:rsidR="00AC3607">
        <w:t xml:space="preserve"> They do not have to totally disidentify with their mother, but instead model themselves on her. They can also play her reproductive role immediately, and just has to wait to come to maturity – something that brings with it vulnerability, but which is responded to by society by restricting </w:t>
      </w:r>
      <w:r w:rsidR="00AC3607">
        <w:lastRenderedPageBreak/>
        <w:t xml:space="preserve">their freedom and thus removing some of the anxiety which attends it. Female children also naturally go through key points of physiological development that serve as milestones for coming into womanhood, including menstruation, childbirth and menopause. She claims that women experience these confirmations of womanhood passively, as things happening to them and their bodies, over which they have little agency or play little active role. And finally, when they do finally come to take the place of their mother by becoming a mother themselves, they likewise do so with no anxiety – it is not like they could be mistaken about having given birth. </w:t>
      </w:r>
    </w:p>
    <w:p w14:paraId="7F73B746" w14:textId="160FF635" w:rsidR="00AC3607" w:rsidRDefault="00AC3607" w:rsidP="00AC3607">
      <w:r>
        <w:t xml:space="preserve">In short, womanhood is simply a matter of </w:t>
      </w:r>
      <w:r>
        <w:rPr>
          <w:i/>
          <w:iCs/>
        </w:rPr>
        <w:t>being</w:t>
      </w:r>
      <w:r>
        <w:t xml:space="preserve"> – of existing through a natural process that simply happens, with little attending experience of freedom from which anxiety might arise. In contrast, she argues, male children engage in a process of </w:t>
      </w:r>
      <w:r>
        <w:rPr>
          <w:i/>
          <w:iCs/>
        </w:rPr>
        <w:t>becoming</w:t>
      </w:r>
      <w:r>
        <w:t>, in which they have to actively prove or achieve manhood. This involves an experience of freedom – to become, or not become a man – which brings with it experiences of anxiety.</w:t>
      </w:r>
    </w:p>
    <w:p w14:paraId="036907F3" w14:textId="776A3BFD" w:rsidR="0063713E" w:rsidRDefault="00AC3607" w:rsidP="00E9119A">
      <w:r>
        <w:t xml:space="preserve">First, they must distinguish themselves from their mother, becoming something else – something that is unclear from the start, lacking a model in the person closest to them. Nor can they simply look to their father for a model, because it is not exactly clear </w:t>
      </w:r>
      <w:r>
        <w:rPr>
          <w:i/>
          <w:iCs/>
        </w:rPr>
        <w:t xml:space="preserve">what </w:t>
      </w:r>
      <w:r>
        <w:t xml:space="preserve">is modelled </w:t>
      </w:r>
      <w:r>
        <w:rPr>
          <w:i/>
          <w:iCs/>
        </w:rPr>
        <w:t xml:space="preserve">in </w:t>
      </w:r>
      <w:r>
        <w:t>fatherhood. Fathers can never be certain that they are related to their children, and have no necessary specific role in their upbringing. This imparts a sense of freedom with regards to what they might become, and anxiety in the face of it. Goldstein also argues that male children cannot play the man’s sexual role from the outset. This means that they cannot be sexually exploited - or perhaps, to give a more charitable reading, society is less likely to view them as vulnerable to exploitation - and so does not restrict their freedom to protect them. However, because of this there is no natural progression to manhood defined through playing this role.</w:t>
      </w:r>
      <w:r w:rsidR="00E9119A">
        <w:t xml:space="preserve"> Nor, she argues, are there any “dramatic, once-for-all physical signals” of masculinity that would make attaining it a matter of simply being. Instead, manhood must be proven – or failed to be proven. Finally, even playing a masculine role in reproduction requires activity: men must be able to perform, and this (she claims, untruthfully it must be said) requires desire and intent, thus presenting the possibility of failure or not doing so.</w:t>
      </w:r>
      <w:r>
        <w:t xml:space="preserve"> In this way, they are again confronted with the freedom to attain or fail to attain </w:t>
      </w:r>
      <w:r w:rsidR="00E9119A">
        <w:t>manhood.</w:t>
      </w:r>
    </w:p>
    <w:p w14:paraId="6BAD94B0" w14:textId="19001EB5" w:rsidR="00726AAE" w:rsidRDefault="00726AAE" w:rsidP="00F24094">
      <w:r>
        <w:t xml:space="preserve">Goldstein argues that although different societies offer variations these themes, these differences are nevertheless present in all societies. She also argues that the presence of (and implicitly, the distinction between) each role is vital to each society, writing that </w:t>
      </w:r>
      <w:r w:rsidR="00F24094">
        <w:t>if women are “educated… to despise the functions of childbearing and nurture”, society risks “bringing about its own destruction”. Alternatively, if “procreation is valued so highly that men attempt to participate directly in the processes of pregnancy, birth, and the rearing of children to the exclusion of other kinds of creative activity”, the “social fabric becomes dangerously weak” (105-106)</w:t>
      </w:r>
      <w:r>
        <w:t>.</w:t>
      </w:r>
      <w:r w:rsidR="00F24094">
        <w:rPr>
          <w:b/>
          <w:bCs/>
        </w:rPr>
        <w:t xml:space="preserve"> </w:t>
      </w:r>
      <w:r>
        <w:t>She qualifies that the distinction between the two is not an absolute one – it is not that men are from Mars and women are from Venus, ultimately doomed to never understand one another, nor that people cannot have traits associated with the other role. Nor does she think that gender so conceived is the be all and end all of human identity. Nevertheless, she also argues that they are inescapable</w:t>
      </w:r>
      <w:r w:rsidR="00627263">
        <w:t>. Women and men, by virtue of their development, simply seek different things. She writes,</w:t>
      </w:r>
      <w:r>
        <w:t xml:space="preserve"> </w:t>
      </w:r>
    </w:p>
    <w:p w14:paraId="08FA22AE" w14:textId="77777777" w:rsidR="00726AAE" w:rsidRDefault="00726AAE" w:rsidP="00726AAE">
      <w:pPr>
        <w:ind w:left="567" w:right="567"/>
      </w:pPr>
      <w:r>
        <w:t xml:space="preserve">Yet </w:t>
      </w:r>
      <w:r w:rsidR="0031152B">
        <w:t>the individual’s sense of being male or female… can never be finally separated from his total orientation to life; in those cases… in which adult men and women accept and are able t</w:t>
      </w:r>
      <w:r>
        <w:t>o</w:t>
      </w:r>
      <w:r w:rsidR="0031152B">
        <w:t xml:space="preserve"> actualize their respective sexual roles, the characterological tendencies based on sex membership are reinforced and strengthened. This is surely the reason why, although there have been women philosophers, musicians, </w:t>
      </w:r>
      <w:r w:rsidR="0031152B">
        <w:lastRenderedPageBreak/>
        <w:t>and murderers, there have been no female Platos, Bachs, or Hitlers. It is also the reason why even those men who enjoy being fathers most fully can scarcely be imagined as finding complete self-fulfilment in fatherhood” (106)</w:t>
      </w:r>
    </w:p>
    <w:p w14:paraId="29F409EF" w14:textId="7EEE3222" w:rsidR="00266FA9" w:rsidRDefault="00726AAE" w:rsidP="00F24094">
      <w:r>
        <w:t xml:space="preserve">Likewise, she argues that </w:t>
      </w:r>
      <w:r w:rsidR="00266FA9">
        <w:t>even feminists who seek to transcend femininity and integrate it within a</w:t>
      </w:r>
      <w:r>
        <w:t xml:space="preserve"> more holistic view of human nature</w:t>
      </w:r>
      <w:r w:rsidR="00266FA9">
        <w:t xml:space="preserve"> </w:t>
      </w:r>
      <w:r w:rsidR="00817F3F">
        <w:t xml:space="preserve">come to </w:t>
      </w:r>
      <w:r w:rsidR="00266FA9">
        <w:t>realise that it must be embraced</w:t>
      </w:r>
      <w:r>
        <w:t>:</w:t>
      </w:r>
      <w:r w:rsidR="00266FA9">
        <w:t xml:space="preserve"> </w:t>
      </w:r>
      <w:r>
        <w:t>h</w:t>
      </w:r>
      <w:r w:rsidR="00266FA9">
        <w:t xml:space="preserve">aving children (or realising that they cannot have them) confronts </w:t>
      </w:r>
      <w:r w:rsidR="00817F3F">
        <w:t>them</w:t>
      </w:r>
      <w:r w:rsidR="00266FA9">
        <w:t xml:space="preserve"> with </w:t>
      </w:r>
      <w:r w:rsidR="00817F3F">
        <w:t>“</w:t>
      </w:r>
      <w:r w:rsidR="00817F3F" w:rsidRPr="00817F3F">
        <w:t xml:space="preserve">the deep need of almost every woman, regardless of her personal history and achievements or her belief in her own individual value, to surrender her self-identity and be included in another's </w:t>
      </w:r>
      <w:r w:rsidR="00817F3F">
        <w:t>‘</w:t>
      </w:r>
      <w:r w:rsidR="00817F3F" w:rsidRPr="00817F3F">
        <w:t>power of being</w:t>
      </w:r>
      <w:r w:rsidR="00817F3F">
        <w:t>’</w:t>
      </w:r>
      <w:r w:rsidR="00817F3F" w:rsidRPr="00817F3F">
        <w:t>” (108)</w:t>
      </w:r>
      <w:r w:rsidR="00817F3F">
        <w:t>. That is to say, all women have a desire to turn from anxious male self-proving towards simply</w:t>
      </w:r>
      <w:r w:rsidR="00266FA9">
        <w:t xml:space="preserve"> </w:t>
      </w:r>
      <w:r w:rsidR="00266FA9" w:rsidRPr="00266FA9">
        <w:rPr>
          <w:i/>
          <w:iCs/>
        </w:rPr>
        <w:t>be</w:t>
      </w:r>
      <w:r w:rsidR="00817F3F">
        <w:rPr>
          <w:i/>
          <w:iCs/>
        </w:rPr>
        <w:t>ing</w:t>
      </w:r>
      <w:r w:rsidR="00817F3F">
        <w:t xml:space="preserve">, specifically through having a child. </w:t>
      </w:r>
    </w:p>
    <w:p w14:paraId="66A499A9" w14:textId="2050A9B7" w:rsidR="00FA69E9" w:rsidRDefault="00627263" w:rsidP="000348AC">
      <w:r>
        <w:t xml:space="preserve">Nevertheless, she argues, we cannot simply return to a time where women had no freedom and thus no option of doing anything other than simply being. And, indeed, she claims that a life focused solely on being is an unfulfilling one. This means that women must also assert themselves and embrace freedom. This leads her to her idea of sin for women. Men </w:t>
      </w:r>
      <w:r w:rsidR="000348AC">
        <w:t xml:space="preserve">sin by expressing their </w:t>
      </w:r>
      <w:r>
        <w:t>natural tendency towards anxious self-assertion</w:t>
      </w:r>
      <w:r w:rsidR="000348AC">
        <w:t>.</w:t>
      </w:r>
      <w:r>
        <w:t xml:space="preserve"> However, women have the </w:t>
      </w:r>
      <w:r w:rsidR="000348AC">
        <w:t>opposing</w:t>
      </w:r>
      <w:r>
        <w:t xml:space="preserve"> tendency towards </w:t>
      </w:r>
      <w:r w:rsidR="000348AC">
        <w:t>becoming subsumed in a life of simply being, not least for others, especially children. Thus, she writes:</w:t>
      </w:r>
    </w:p>
    <w:p w14:paraId="5988AFAE" w14:textId="2ACB55A4" w:rsidR="00FA69E9" w:rsidRDefault="00FA69E9" w:rsidP="006E09A9">
      <w:pPr>
        <w:ind w:left="567" w:right="567"/>
      </w:pPr>
      <w:r>
        <w:t>“</w:t>
      </w:r>
      <w:r w:rsidRPr="00FA69E9">
        <w:t>The moments, hours, and days of self-giving must be balanced by moments, hours, and days of withdrawal into, and enrichment of, her individual selfhood if she is to remain a whole person. She learns, too, that a woman can give too much of herself, so that nothing remains of her own uniqueness; she can become merely an emptiness, almost a zero, without value to herself, to her fellow men, or, perhaps, even to God.</w:t>
      </w:r>
      <w:r>
        <w:t>” (108</w:t>
      </w:r>
      <w:r w:rsidR="00E33A2E">
        <w:t>)</w:t>
      </w:r>
    </w:p>
    <w:p w14:paraId="41C3E5D6" w14:textId="36F5F3CE" w:rsidR="006E09A9" w:rsidRDefault="000B7D53" w:rsidP="00BE7EF8">
      <w:pPr>
        <w:rPr>
          <w:i/>
          <w:iCs/>
        </w:rPr>
      </w:pPr>
      <w:r>
        <w:t>In short, for women, sin is less a matter of asserting oneself, and more a matter of surrendering oneself to the point that one’s value is lost or neglected.</w:t>
      </w:r>
      <w:r w:rsidR="00BE7EF8">
        <w:t xml:space="preserve"> And indeed, the masculine concept of sin as self-assertion simply feeds into this by condemning women’s attempts to do anything other than </w:t>
      </w:r>
      <w:r w:rsidR="00BE7EF8">
        <w:rPr>
          <w:i/>
          <w:iCs/>
        </w:rPr>
        <w:t>be.</w:t>
      </w:r>
    </w:p>
    <w:p w14:paraId="0C44C5F2" w14:textId="222CDF81" w:rsidR="001A5226" w:rsidRDefault="001A5226" w:rsidP="00BE7EF8">
      <w:r>
        <w:t>She finally concludes by suggesting that there is a risk here that goes beyond just women’s concerns. She argues that society is shifting towards a more feminine model that emphasises peace, co-operation and being for others over masculine self-assertion. While she welcomes this, she also warns that such a society is at risk of more feminine sins, and that a masculine picture of sin will be wholly unsuited to this new context.</w:t>
      </w:r>
    </w:p>
    <w:p w14:paraId="6EBD6E5D" w14:textId="02ACD170" w:rsidR="00DC67CB" w:rsidRDefault="00DC67CB" w:rsidP="00DC67CB">
      <w:pPr>
        <w:pStyle w:val="Heading1"/>
      </w:pPr>
      <w:r>
        <w:t>Part 3 – questions</w:t>
      </w:r>
    </w:p>
    <w:p w14:paraId="05E427F6" w14:textId="2439D87A" w:rsidR="00DC67CB" w:rsidRDefault="00DC67CB" w:rsidP="00DC67CB">
      <w:r>
        <w:t xml:space="preserve">OK, that’s it for this week. I’d like you to now have a go at the reading. Don’t worry if it’s a little difficult: </w:t>
      </w:r>
      <w:r w:rsidR="001E58B8">
        <w:t xml:space="preserve">if reading everyday texts is like riding a bike, reading </w:t>
      </w:r>
      <w:r w:rsidR="006174FF">
        <w:t>academic writing is</w:t>
      </w:r>
      <w:r w:rsidR="001E58B8">
        <w:t xml:space="preserve"> like mountain-biking. It’s all fundamentally same activity, and depends on a skill that you probably already have. But equally, you can’t just expect to go down Ben Nevis as if it were the cyclepath to your local shop.</w:t>
      </w:r>
      <w:r w:rsidR="006174FF">
        <w:t xml:space="preserve"> </w:t>
      </w:r>
      <w:r w:rsidR="001E58B8">
        <w:t>With time and practice, you’ll be able to take to road and mountainside alike</w:t>
      </w:r>
      <w:r w:rsidR="004B1575">
        <w:t xml:space="preserve">, but practice is necessary – and the point of getting you to read this stuff is to get you to put in the practice! This is part of the learning experience, so embrace the challenge! Unlocking academic texts is really valuable because academic writing is where you will find the most innovative and sophisticated thinking on subjects that matter to you. Academic writing is, to an extent, also the most trustworthy place to learn about the world as it is reviewed by experts - although not </w:t>
      </w:r>
      <w:r w:rsidR="004B1575">
        <w:lastRenderedPageBreak/>
        <w:t>always with the care and rigour it warrants. It is also much more easy to evaluate than non-academic writing because it requires you to reveal your sources and show your working.</w:t>
      </w:r>
      <w:r w:rsidR="001E58B8">
        <w:t xml:space="preserve"> </w:t>
      </w:r>
      <w:r w:rsidR="004B1575">
        <w:t xml:space="preserve">As such, reading it empowers you to form your own opinions in a properly informed way. To this end, learning to read academic writing is very much worth the effort. However, if all you care about is the content, </w:t>
      </w:r>
      <w:r w:rsidR="006174FF">
        <w:t xml:space="preserve">the lecture has given you an overview of </w:t>
      </w:r>
      <w:r w:rsidR="004B1575">
        <w:t>this that will suffice for discussion.</w:t>
      </w:r>
    </w:p>
    <w:p w14:paraId="634204A2" w14:textId="21F2B707" w:rsidR="006174FF" w:rsidRDefault="006174FF" w:rsidP="00DC67CB">
      <w:r>
        <w:t>As you approach the text, I’d like you to consider the following questions:</w:t>
      </w:r>
    </w:p>
    <w:p w14:paraId="76A89D0E" w14:textId="0181C621" w:rsidR="006174FF" w:rsidRDefault="006174FF" w:rsidP="006174FF">
      <w:pPr>
        <w:pStyle w:val="ListParagraph"/>
        <w:numPr>
          <w:ilvl w:val="0"/>
          <w:numId w:val="2"/>
        </w:numPr>
      </w:pPr>
      <w:r>
        <w:t>Is Goldstein a gender essentialist? What role does this play in her argument?</w:t>
      </w:r>
    </w:p>
    <w:p w14:paraId="49347597" w14:textId="3C1AF2DF" w:rsidR="006174FF" w:rsidRDefault="006174FF" w:rsidP="006174FF">
      <w:pPr>
        <w:pStyle w:val="ListParagraph"/>
        <w:numPr>
          <w:ilvl w:val="0"/>
          <w:numId w:val="2"/>
        </w:numPr>
      </w:pPr>
      <w:r>
        <w:t>Is Goldstein right in her conception of womanhood? And do women sin differently to men like she claims?</w:t>
      </w:r>
    </w:p>
    <w:p w14:paraId="78338922" w14:textId="7F56737F" w:rsidR="006174FF" w:rsidRDefault="006174FF" w:rsidP="006174FF">
      <w:pPr>
        <w:pStyle w:val="ListParagraph"/>
        <w:numPr>
          <w:ilvl w:val="0"/>
          <w:numId w:val="2"/>
        </w:numPr>
      </w:pPr>
      <w:r>
        <w:t>Is Goldstein’s argument adequate from a more contemporary feminist standpoint? If not, how</w:t>
      </w:r>
      <w:r w:rsidR="00EA6876">
        <w:t xml:space="preserve"> might it be fixed?</w:t>
      </w:r>
    </w:p>
    <w:p w14:paraId="5AA22821" w14:textId="2082ADEB" w:rsidR="006123A0" w:rsidRPr="00DC67CB" w:rsidRDefault="006123A0" w:rsidP="006123A0">
      <w:r>
        <w:t>I’ll see you soon!</w:t>
      </w:r>
    </w:p>
    <w:sectPr w:rsidR="006123A0" w:rsidRPr="00DC6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927BA"/>
    <w:multiLevelType w:val="hybridMultilevel"/>
    <w:tmpl w:val="91AA9F90"/>
    <w:lvl w:ilvl="0" w:tplc="D4FEB32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82454B"/>
    <w:multiLevelType w:val="hybridMultilevel"/>
    <w:tmpl w:val="58E0DF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451526">
    <w:abstractNumId w:val="0"/>
  </w:num>
  <w:num w:numId="2" w16cid:durableId="170748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E"/>
    <w:rsid w:val="000348AC"/>
    <w:rsid w:val="0003530E"/>
    <w:rsid w:val="0008140E"/>
    <w:rsid w:val="000B7D53"/>
    <w:rsid w:val="00153480"/>
    <w:rsid w:val="001A5226"/>
    <w:rsid w:val="001C396C"/>
    <w:rsid w:val="001D44A4"/>
    <w:rsid w:val="001E58B8"/>
    <w:rsid w:val="0026175F"/>
    <w:rsid w:val="00266FA9"/>
    <w:rsid w:val="0031152B"/>
    <w:rsid w:val="00336F84"/>
    <w:rsid w:val="0039146A"/>
    <w:rsid w:val="003D52A9"/>
    <w:rsid w:val="003F765E"/>
    <w:rsid w:val="00425DBE"/>
    <w:rsid w:val="004343C0"/>
    <w:rsid w:val="004B1575"/>
    <w:rsid w:val="004D0091"/>
    <w:rsid w:val="005D49D8"/>
    <w:rsid w:val="00606B70"/>
    <w:rsid w:val="006123A0"/>
    <w:rsid w:val="006174FF"/>
    <w:rsid w:val="00627263"/>
    <w:rsid w:val="00635BF0"/>
    <w:rsid w:val="0063713E"/>
    <w:rsid w:val="0069510A"/>
    <w:rsid w:val="006E09A9"/>
    <w:rsid w:val="00700E52"/>
    <w:rsid w:val="00726AAE"/>
    <w:rsid w:val="00747DBE"/>
    <w:rsid w:val="007869DE"/>
    <w:rsid w:val="007D36DC"/>
    <w:rsid w:val="008020A2"/>
    <w:rsid w:val="00817F3F"/>
    <w:rsid w:val="0085606D"/>
    <w:rsid w:val="008F19A0"/>
    <w:rsid w:val="00942C48"/>
    <w:rsid w:val="00965EAE"/>
    <w:rsid w:val="00A240C1"/>
    <w:rsid w:val="00A311AF"/>
    <w:rsid w:val="00A7573B"/>
    <w:rsid w:val="00AA3C03"/>
    <w:rsid w:val="00AB488F"/>
    <w:rsid w:val="00AC3607"/>
    <w:rsid w:val="00AD591F"/>
    <w:rsid w:val="00B171B9"/>
    <w:rsid w:val="00B362EE"/>
    <w:rsid w:val="00B436C0"/>
    <w:rsid w:val="00BE7EF8"/>
    <w:rsid w:val="00C46C57"/>
    <w:rsid w:val="00CB2859"/>
    <w:rsid w:val="00CD2270"/>
    <w:rsid w:val="00D173B0"/>
    <w:rsid w:val="00D44099"/>
    <w:rsid w:val="00D531AE"/>
    <w:rsid w:val="00D67A02"/>
    <w:rsid w:val="00DC67CB"/>
    <w:rsid w:val="00DC6D2D"/>
    <w:rsid w:val="00DE26D3"/>
    <w:rsid w:val="00E33A2E"/>
    <w:rsid w:val="00E9119A"/>
    <w:rsid w:val="00EA00F8"/>
    <w:rsid w:val="00EA6876"/>
    <w:rsid w:val="00EB172A"/>
    <w:rsid w:val="00EE158A"/>
    <w:rsid w:val="00F22187"/>
    <w:rsid w:val="00F24094"/>
    <w:rsid w:val="00FA69E9"/>
    <w:rsid w:val="00FE4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5A81"/>
  <w15:chartTrackingRefBased/>
  <w15:docId w15:val="{51C62716-BF01-4F18-92C3-553448D6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DBE"/>
    <w:rPr>
      <w:rFonts w:eastAsiaTheme="majorEastAsia" w:cstheme="majorBidi"/>
      <w:color w:val="272727" w:themeColor="text1" w:themeTint="D8"/>
    </w:rPr>
  </w:style>
  <w:style w:type="paragraph" w:styleId="Title">
    <w:name w:val="Title"/>
    <w:basedOn w:val="Normal"/>
    <w:next w:val="Normal"/>
    <w:link w:val="TitleChar"/>
    <w:uiPriority w:val="10"/>
    <w:qFormat/>
    <w:rsid w:val="00425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DBE"/>
    <w:pPr>
      <w:spacing w:before="160"/>
      <w:jc w:val="center"/>
    </w:pPr>
    <w:rPr>
      <w:i/>
      <w:iCs/>
      <w:color w:val="404040" w:themeColor="text1" w:themeTint="BF"/>
    </w:rPr>
  </w:style>
  <w:style w:type="character" w:customStyle="1" w:styleId="QuoteChar">
    <w:name w:val="Quote Char"/>
    <w:basedOn w:val="DefaultParagraphFont"/>
    <w:link w:val="Quote"/>
    <w:uiPriority w:val="29"/>
    <w:rsid w:val="00425DBE"/>
    <w:rPr>
      <w:i/>
      <w:iCs/>
      <w:color w:val="404040" w:themeColor="text1" w:themeTint="BF"/>
    </w:rPr>
  </w:style>
  <w:style w:type="paragraph" w:styleId="ListParagraph">
    <w:name w:val="List Paragraph"/>
    <w:basedOn w:val="Normal"/>
    <w:uiPriority w:val="34"/>
    <w:qFormat/>
    <w:rsid w:val="00425DBE"/>
    <w:pPr>
      <w:ind w:left="720"/>
      <w:contextualSpacing/>
    </w:pPr>
  </w:style>
  <w:style w:type="character" w:styleId="IntenseEmphasis">
    <w:name w:val="Intense Emphasis"/>
    <w:basedOn w:val="DefaultParagraphFont"/>
    <w:uiPriority w:val="21"/>
    <w:qFormat/>
    <w:rsid w:val="00425DBE"/>
    <w:rPr>
      <w:i/>
      <w:iCs/>
      <w:color w:val="0F4761" w:themeColor="accent1" w:themeShade="BF"/>
    </w:rPr>
  </w:style>
  <w:style w:type="paragraph" w:styleId="IntenseQuote">
    <w:name w:val="Intense Quote"/>
    <w:basedOn w:val="Normal"/>
    <w:next w:val="Normal"/>
    <w:link w:val="IntenseQuoteChar"/>
    <w:uiPriority w:val="30"/>
    <w:qFormat/>
    <w:rsid w:val="00425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DBE"/>
    <w:rPr>
      <w:i/>
      <w:iCs/>
      <w:color w:val="0F4761" w:themeColor="accent1" w:themeShade="BF"/>
    </w:rPr>
  </w:style>
  <w:style w:type="character" w:styleId="IntenseReference">
    <w:name w:val="Intense Reference"/>
    <w:basedOn w:val="DefaultParagraphFont"/>
    <w:uiPriority w:val="32"/>
    <w:qFormat/>
    <w:rsid w:val="00425DBE"/>
    <w:rPr>
      <w:b/>
      <w:bCs/>
      <w:smallCaps/>
      <w:color w:val="0F4761" w:themeColor="accent1" w:themeShade="BF"/>
      <w:spacing w:val="5"/>
    </w:rPr>
  </w:style>
  <w:style w:type="character" w:styleId="CommentReference">
    <w:name w:val="annotation reference"/>
    <w:basedOn w:val="DefaultParagraphFont"/>
    <w:uiPriority w:val="99"/>
    <w:semiHidden/>
    <w:unhideWhenUsed/>
    <w:rsid w:val="00AC3607"/>
    <w:rPr>
      <w:sz w:val="16"/>
      <w:szCs w:val="16"/>
    </w:rPr>
  </w:style>
  <w:style w:type="paragraph" w:styleId="CommentText">
    <w:name w:val="annotation text"/>
    <w:basedOn w:val="Normal"/>
    <w:link w:val="CommentTextChar"/>
    <w:uiPriority w:val="99"/>
    <w:unhideWhenUsed/>
    <w:rsid w:val="00AC3607"/>
    <w:pPr>
      <w:spacing w:line="240" w:lineRule="auto"/>
    </w:pPr>
    <w:rPr>
      <w:sz w:val="20"/>
      <w:szCs w:val="20"/>
    </w:rPr>
  </w:style>
  <w:style w:type="character" w:customStyle="1" w:styleId="CommentTextChar">
    <w:name w:val="Comment Text Char"/>
    <w:basedOn w:val="DefaultParagraphFont"/>
    <w:link w:val="CommentText"/>
    <w:uiPriority w:val="99"/>
    <w:rsid w:val="00AC3607"/>
    <w:rPr>
      <w:sz w:val="20"/>
      <w:szCs w:val="20"/>
    </w:rPr>
  </w:style>
  <w:style w:type="paragraph" w:styleId="CommentSubject">
    <w:name w:val="annotation subject"/>
    <w:basedOn w:val="CommentText"/>
    <w:next w:val="CommentText"/>
    <w:link w:val="CommentSubjectChar"/>
    <w:uiPriority w:val="99"/>
    <w:semiHidden/>
    <w:unhideWhenUsed/>
    <w:rsid w:val="00AC3607"/>
    <w:rPr>
      <w:b/>
      <w:bCs/>
    </w:rPr>
  </w:style>
  <w:style w:type="character" w:customStyle="1" w:styleId="CommentSubjectChar">
    <w:name w:val="Comment Subject Char"/>
    <w:basedOn w:val="CommentTextChar"/>
    <w:link w:val="CommentSubject"/>
    <w:uiPriority w:val="99"/>
    <w:semiHidden/>
    <w:rsid w:val="00AC36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511116212532805b412f627edfde7062">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45471dd3af9666d2094b3628211bcfa7"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62971571-8120-4A1B-8542-11FC5A605A31}"/>
</file>

<file path=customXml/itemProps2.xml><?xml version="1.0" encoding="utf-8"?>
<ds:datastoreItem xmlns:ds="http://schemas.openxmlformats.org/officeDocument/2006/customXml" ds:itemID="{D37CABB8-4D62-44C6-9C79-88A09E121240}"/>
</file>

<file path=customXml/itemProps3.xml><?xml version="1.0" encoding="utf-8"?>
<ds:datastoreItem xmlns:ds="http://schemas.openxmlformats.org/officeDocument/2006/customXml" ds:itemID="{3E789492-3870-45C0-B96C-FF612DA91FB3}"/>
</file>

<file path=docProps/app.xml><?xml version="1.0" encoding="utf-8"?>
<Properties xmlns="http://schemas.openxmlformats.org/officeDocument/2006/extended-properties" xmlns:vt="http://schemas.openxmlformats.org/officeDocument/2006/docPropsVTypes">
  <Template>Normal</Template>
  <TotalTime>511</TotalTime>
  <Pages>7</Pages>
  <Words>3899</Words>
  <Characters>19768</Characters>
  <Application>Microsoft Office Word</Application>
  <DocSecurity>0</DocSecurity>
  <Lines>278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Nicolete Burbach</dc:creator>
  <cp:keywords/>
  <dc:description/>
  <cp:lastModifiedBy>Nicolete Burbach</cp:lastModifiedBy>
  <cp:revision>33</cp:revision>
  <dcterms:created xsi:type="dcterms:W3CDTF">2025-10-06T10:29:00Z</dcterms:created>
  <dcterms:modified xsi:type="dcterms:W3CDTF">2025-10-27T10:56:00Z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