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3607" w14:textId="032264C1" w:rsidR="008820E5" w:rsidRDefault="00BB0754" w:rsidP="00721A77">
      <w:pPr>
        <w:pStyle w:val="NoSpacing"/>
        <w:rPr>
          <w:szCs w:val="24"/>
        </w:rPr>
      </w:pPr>
      <w:r w:rsidRPr="00134A5B">
        <w:rPr>
          <w:szCs w:val="24"/>
        </w:rPr>
        <w:t xml:space="preserve">What we want to understand by the end of this course is </w:t>
      </w:r>
      <w:r w:rsidR="00CF0E03" w:rsidRPr="00134A5B">
        <w:rPr>
          <w:szCs w:val="24"/>
        </w:rPr>
        <w:t xml:space="preserve">what purposes a sacrifice has in Scripture – and how those purposes can help us understand Christ’s work on the cross. </w:t>
      </w:r>
      <w:r w:rsidR="008120C3" w:rsidRPr="00134A5B">
        <w:rPr>
          <w:szCs w:val="24"/>
        </w:rPr>
        <w:t>Th</w:t>
      </w:r>
      <w:r w:rsidR="006E1EFB" w:rsidRPr="00134A5B">
        <w:rPr>
          <w:szCs w:val="24"/>
        </w:rPr>
        <w:t xml:space="preserve">e New Testament assumes that </w:t>
      </w:r>
      <w:r w:rsidR="00D20624" w:rsidRPr="00134A5B">
        <w:rPr>
          <w:szCs w:val="24"/>
        </w:rPr>
        <w:t xml:space="preserve">the reader already understands the purposes of the sacrifices the Israelites offered to God – and refers to different kinds of sacrifice to </w:t>
      </w:r>
      <w:r w:rsidR="00122BA5" w:rsidRPr="00134A5B">
        <w:rPr>
          <w:szCs w:val="24"/>
        </w:rPr>
        <w:t xml:space="preserve">explain what Jesus did. In the first three weeks, then, we are going to </w:t>
      </w:r>
      <w:r w:rsidR="00AB0C90" w:rsidRPr="00134A5B">
        <w:rPr>
          <w:szCs w:val="24"/>
        </w:rPr>
        <w:t>consider three sites in Scripture that can help us understand</w:t>
      </w:r>
      <w:r w:rsidR="008820E5">
        <w:rPr>
          <w:szCs w:val="24"/>
        </w:rPr>
        <w:t xml:space="preserve"> those sacrifices</w:t>
      </w:r>
      <w:r w:rsidR="00AB0C90" w:rsidRPr="00134A5B">
        <w:rPr>
          <w:szCs w:val="24"/>
        </w:rPr>
        <w:t xml:space="preserve">. </w:t>
      </w:r>
    </w:p>
    <w:p w14:paraId="1D1EAF34" w14:textId="77777777" w:rsidR="00E27736" w:rsidRDefault="00E27736" w:rsidP="000257B6">
      <w:pPr>
        <w:pStyle w:val="NoSpacing"/>
        <w:rPr>
          <w:szCs w:val="24"/>
        </w:rPr>
      </w:pPr>
    </w:p>
    <w:p w14:paraId="41DC1B90" w14:textId="60B5A4BD" w:rsidR="00F964F9" w:rsidRDefault="00AB0C90" w:rsidP="000257B6">
      <w:pPr>
        <w:pStyle w:val="NoSpacing"/>
        <w:rPr>
          <w:szCs w:val="24"/>
        </w:rPr>
      </w:pPr>
      <w:r w:rsidRPr="00134A5B">
        <w:rPr>
          <w:szCs w:val="24"/>
        </w:rPr>
        <w:t xml:space="preserve">In Week 3, we will encounter the workings of the </w:t>
      </w:r>
      <w:r w:rsidR="00E265ED" w:rsidRPr="00134A5B">
        <w:rPr>
          <w:szCs w:val="24"/>
        </w:rPr>
        <w:t>Temple as presented in Leviticus</w:t>
      </w:r>
      <w:r w:rsidR="0011478A">
        <w:rPr>
          <w:szCs w:val="24"/>
        </w:rPr>
        <w:t xml:space="preserve">. When God gave the Law of Israel to Moses, he gave restrictions for living righteously, but </w:t>
      </w:r>
      <w:r w:rsidR="006B78C4">
        <w:rPr>
          <w:szCs w:val="24"/>
        </w:rPr>
        <w:t xml:space="preserve">also </w:t>
      </w:r>
      <w:r w:rsidR="0011478A">
        <w:rPr>
          <w:szCs w:val="24"/>
        </w:rPr>
        <w:t>pr</w:t>
      </w:r>
      <w:r w:rsidR="00721A77">
        <w:rPr>
          <w:szCs w:val="24"/>
        </w:rPr>
        <w:t>e</w:t>
      </w:r>
      <w:r w:rsidR="0011478A">
        <w:rPr>
          <w:szCs w:val="24"/>
        </w:rPr>
        <w:t xml:space="preserve">scriptions for </w:t>
      </w:r>
      <w:r w:rsidR="008C1321">
        <w:rPr>
          <w:szCs w:val="24"/>
        </w:rPr>
        <w:t xml:space="preserve">living a rich liturgical relationship with Him. </w:t>
      </w:r>
      <w:r w:rsidR="00C32347">
        <w:rPr>
          <w:szCs w:val="24"/>
        </w:rPr>
        <w:t xml:space="preserve">But the legal matter in the Torah is quite spare about </w:t>
      </w:r>
      <w:r w:rsidR="00721A77">
        <w:rPr>
          <w:szCs w:val="24"/>
        </w:rPr>
        <w:t xml:space="preserve">the meaning behind the actions they prescribe. </w:t>
      </w:r>
      <w:r w:rsidR="0045384F">
        <w:rPr>
          <w:szCs w:val="24"/>
        </w:rPr>
        <w:t xml:space="preserve">Traditionally, the </w:t>
      </w:r>
      <w:r w:rsidR="00EE0B38">
        <w:rPr>
          <w:szCs w:val="24"/>
        </w:rPr>
        <w:t xml:space="preserve">Church has seen Israel’s </w:t>
      </w:r>
      <w:r w:rsidR="0045384F">
        <w:rPr>
          <w:szCs w:val="24"/>
        </w:rPr>
        <w:t xml:space="preserve">sacrificial system </w:t>
      </w:r>
      <w:r w:rsidR="00863F5D">
        <w:rPr>
          <w:szCs w:val="24"/>
        </w:rPr>
        <w:t xml:space="preserve">as a spiritual training ground to prepare </w:t>
      </w:r>
      <w:r w:rsidR="00EE0B38">
        <w:rPr>
          <w:szCs w:val="24"/>
        </w:rPr>
        <w:t>God’s people</w:t>
      </w:r>
      <w:r w:rsidR="00863F5D">
        <w:rPr>
          <w:szCs w:val="24"/>
        </w:rPr>
        <w:t xml:space="preserve"> to appreciate Christ’s sacrifice, and </w:t>
      </w:r>
      <w:r w:rsidR="00EE0B38">
        <w:rPr>
          <w:szCs w:val="24"/>
        </w:rPr>
        <w:t xml:space="preserve">so </w:t>
      </w:r>
      <w:r w:rsidR="00863F5D">
        <w:rPr>
          <w:szCs w:val="24"/>
        </w:rPr>
        <w:t>to embrace the directly effective system of sacraments He instituted. But for this training to start working, t</w:t>
      </w:r>
      <w:r w:rsidR="00721A77">
        <w:rPr>
          <w:szCs w:val="24"/>
        </w:rPr>
        <w:t>he Israelites must already have had some understanding of what they were doing</w:t>
      </w:r>
      <w:r w:rsidR="00D50658">
        <w:rPr>
          <w:szCs w:val="24"/>
        </w:rPr>
        <w:t xml:space="preserve">. Part of this, I will contend, is because the signs involved in Israelite sacrifices are </w:t>
      </w:r>
      <w:r w:rsidR="00D50658">
        <w:rPr>
          <w:i/>
          <w:iCs/>
          <w:szCs w:val="24"/>
        </w:rPr>
        <w:t>natural</w:t>
      </w:r>
      <w:r w:rsidR="00D50658">
        <w:rPr>
          <w:szCs w:val="24"/>
        </w:rPr>
        <w:t xml:space="preserve">, not merely </w:t>
      </w:r>
      <w:r w:rsidR="00D50658">
        <w:rPr>
          <w:i/>
          <w:iCs/>
          <w:szCs w:val="24"/>
        </w:rPr>
        <w:t>conventional</w:t>
      </w:r>
      <w:r w:rsidR="00D50658">
        <w:rPr>
          <w:szCs w:val="24"/>
        </w:rPr>
        <w:t xml:space="preserve">. </w:t>
      </w:r>
      <w:r w:rsidR="006056B2">
        <w:rPr>
          <w:szCs w:val="24"/>
        </w:rPr>
        <w:t xml:space="preserve">A </w:t>
      </w:r>
      <w:r w:rsidR="006056B2" w:rsidRPr="00946F84">
        <w:rPr>
          <w:i/>
          <w:iCs/>
          <w:szCs w:val="24"/>
        </w:rPr>
        <w:t>natural sign</w:t>
      </w:r>
      <w:r w:rsidR="006056B2">
        <w:rPr>
          <w:szCs w:val="24"/>
        </w:rPr>
        <w:t xml:space="preserve"> is an action</w:t>
      </w:r>
      <w:r w:rsidR="00F964F9">
        <w:rPr>
          <w:szCs w:val="24"/>
        </w:rPr>
        <w:t xml:space="preserve"> which means what it does not </w:t>
      </w:r>
      <w:r w:rsidR="005359A4">
        <w:rPr>
          <w:szCs w:val="24"/>
        </w:rPr>
        <w:t xml:space="preserve">just because of an arbitrary social convention that could have been otherwise, but because of the way </w:t>
      </w:r>
      <w:r w:rsidR="004E2524">
        <w:rPr>
          <w:szCs w:val="24"/>
        </w:rPr>
        <w:t xml:space="preserve">we and the world work </w:t>
      </w:r>
      <w:r w:rsidR="00946F84">
        <w:rPr>
          <w:szCs w:val="24"/>
        </w:rPr>
        <w:t xml:space="preserve">inherently: for example, a kiss is a </w:t>
      </w:r>
      <w:r w:rsidR="00946F84">
        <w:rPr>
          <w:i/>
          <w:iCs/>
          <w:szCs w:val="24"/>
        </w:rPr>
        <w:t>natural sign</w:t>
      </w:r>
      <w:r w:rsidR="00946F84">
        <w:rPr>
          <w:szCs w:val="24"/>
        </w:rPr>
        <w:t xml:space="preserve"> of intimacy</w:t>
      </w:r>
      <w:r w:rsidR="003D7D66">
        <w:rPr>
          <w:szCs w:val="24"/>
        </w:rPr>
        <w:t xml:space="preserve"> and trust,</w:t>
      </w:r>
      <w:r w:rsidR="00946F84">
        <w:rPr>
          <w:szCs w:val="24"/>
        </w:rPr>
        <w:t xml:space="preserve"> because two bodies touch </w:t>
      </w:r>
      <w:r w:rsidR="003D7D66">
        <w:rPr>
          <w:szCs w:val="24"/>
        </w:rPr>
        <w:t xml:space="preserve">sensitive areas that carry infection risk and are used for speaking – telling, promising, asking. </w:t>
      </w:r>
      <w:r w:rsidR="000615E1">
        <w:rPr>
          <w:szCs w:val="24"/>
        </w:rPr>
        <w:t xml:space="preserve">The actions involved in ancient </w:t>
      </w:r>
      <w:r w:rsidR="000615E1">
        <w:rPr>
          <w:szCs w:val="24"/>
        </w:rPr>
        <w:lastRenderedPageBreak/>
        <w:t>ritual are like this: fo</w:t>
      </w:r>
      <w:r w:rsidR="008D1ED2">
        <w:rPr>
          <w:szCs w:val="24"/>
        </w:rPr>
        <w:t>r example, when you kneel and bow your head, you expose your neck to someone and make yourself vulnerable, showing you trust them and subject yourself to their will.</w:t>
      </w:r>
    </w:p>
    <w:p w14:paraId="3D5E6F33" w14:textId="77777777" w:rsidR="00AB6FF7" w:rsidRDefault="00AB6FF7" w:rsidP="00721A77">
      <w:pPr>
        <w:pStyle w:val="NoSpacing"/>
        <w:rPr>
          <w:szCs w:val="24"/>
        </w:rPr>
      </w:pPr>
    </w:p>
    <w:p w14:paraId="3F71D728" w14:textId="2D700437" w:rsidR="00E61A5A" w:rsidRDefault="00D50658" w:rsidP="00721A77">
      <w:pPr>
        <w:pStyle w:val="NoSpacing"/>
        <w:rPr>
          <w:szCs w:val="24"/>
        </w:rPr>
      </w:pPr>
      <w:r>
        <w:rPr>
          <w:szCs w:val="24"/>
        </w:rPr>
        <w:t xml:space="preserve">But </w:t>
      </w:r>
      <w:r w:rsidR="00EF4E36">
        <w:rPr>
          <w:szCs w:val="24"/>
        </w:rPr>
        <w:t>th</w:t>
      </w:r>
      <w:r w:rsidR="006954B3">
        <w:rPr>
          <w:szCs w:val="24"/>
        </w:rPr>
        <w:t>e</w:t>
      </w:r>
      <w:r w:rsidR="003D7D66">
        <w:rPr>
          <w:szCs w:val="24"/>
        </w:rPr>
        <w:t xml:space="preserve"> Israelites’</w:t>
      </w:r>
      <w:r w:rsidR="00EF4E36">
        <w:rPr>
          <w:szCs w:val="24"/>
        </w:rPr>
        <w:t xml:space="preserve"> ability to understand the meaning of the rituals God gave them</w:t>
      </w:r>
      <w:r w:rsidR="006954B3">
        <w:rPr>
          <w:szCs w:val="24"/>
        </w:rPr>
        <w:t xml:space="preserve"> was also rooted in the experience they already had.</w:t>
      </w:r>
      <w:r w:rsidR="00B9156D">
        <w:rPr>
          <w:szCs w:val="24"/>
        </w:rPr>
        <w:t xml:space="preserve"> We don’t know how syncretized Israelite practice had become during </w:t>
      </w:r>
      <w:r w:rsidR="00455B62">
        <w:rPr>
          <w:szCs w:val="24"/>
        </w:rPr>
        <w:t xml:space="preserve">their slavery in Egypt – we know that God calls them out </w:t>
      </w:r>
      <w:r w:rsidR="00455B62">
        <w:rPr>
          <w:i/>
          <w:iCs/>
          <w:szCs w:val="24"/>
        </w:rPr>
        <w:t>into the desert</w:t>
      </w:r>
      <w:r w:rsidR="00455B62">
        <w:rPr>
          <w:szCs w:val="24"/>
        </w:rPr>
        <w:t xml:space="preserve"> to worship Him, suggesting that something isn’t working</w:t>
      </w:r>
      <w:r w:rsidR="005B758B">
        <w:rPr>
          <w:szCs w:val="24"/>
        </w:rPr>
        <w:t xml:space="preserve"> right</w:t>
      </w:r>
      <w:r w:rsidR="00455B62">
        <w:rPr>
          <w:szCs w:val="24"/>
        </w:rPr>
        <w:t xml:space="preserve"> </w:t>
      </w:r>
      <w:r w:rsidR="005B758B">
        <w:rPr>
          <w:szCs w:val="24"/>
        </w:rPr>
        <w:t xml:space="preserve">in their ghetto </w:t>
      </w:r>
      <w:r w:rsidR="003909A8">
        <w:rPr>
          <w:szCs w:val="24"/>
        </w:rPr>
        <w:t>in Goshen</w:t>
      </w:r>
      <w:r w:rsidR="005E1CD5">
        <w:rPr>
          <w:szCs w:val="24"/>
        </w:rPr>
        <w:t>. But whatever was going on</w:t>
      </w:r>
      <w:r w:rsidR="00C333FC">
        <w:rPr>
          <w:szCs w:val="24"/>
        </w:rPr>
        <w:t xml:space="preserve"> by the time of Moses</w:t>
      </w:r>
      <w:r w:rsidR="005E1CD5">
        <w:rPr>
          <w:szCs w:val="24"/>
        </w:rPr>
        <w:t xml:space="preserve">, </w:t>
      </w:r>
      <w:r w:rsidR="00470D5C">
        <w:rPr>
          <w:szCs w:val="24"/>
        </w:rPr>
        <w:t xml:space="preserve">the Biblical narrative presents the </w:t>
      </w:r>
      <w:r w:rsidR="00470D5C">
        <w:rPr>
          <w:i/>
          <w:iCs/>
          <w:szCs w:val="24"/>
        </w:rPr>
        <w:t>Passover</w:t>
      </w:r>
      <w:r w:rsidR="00470D5C">
        <w:rPr>
          <w:szCs w:val="24"/>
        </w:rPr>
        <w:t xml:space="preserve"> as the first detailed, effective sacrificial ritual God institutes</w:t>
      </w:r>
      <w:r w:rsidR="00C333FC">
        <w:rPr>
          <w:szCs w:val="24"/>
        </w:rPr>
        <w:t xml:space="preserve">. </w:t>
      </w:r>
    </w:p>
    <w:p w14:paraId="012C002E" w14:textId="77777777" w:rsidR="00E61A5A" w:rsidRDefault="00E61A5A" w:rsidP="00721A77">
      <w:pPr>
        <w:pStyle w:val="NoSpacing"/>
        <w:rPr>
          <w:szCs w:val="24"/>
        </w:rPr>
      </w:pPr>
    </w:p>
    <w:p w14:paraId="5179207C" w14:textId="4260251A" w:rsidR="007F53FB" w:rsidRDefault="00C333FC" w:rsidP="00721A77">
      <w:pPr>
        <w:pStyle w:val="NoSpacing"/>
        <w:rPr>
          <w:szCs w:val="24"/>
        </w:rPr>
      </w:pPr>
      <w:r>
        <w:rPr>
          <w:szCs w:val="24"/>
        </w:rPr>
        <w:t>So</w:t>
      </w:r>
      <w:r w:rsidR="00AB6FF7">
        <w:rPr>
          <w:szCs w:val="24"/>
        </w:rPr>
        <w:t>,</w:t>
      </w:r>
      <w:r>
        <w:rPr>
          <w:szCs w:val="24"/>
        </w:rPr>
        <w:t xml:space="preserve"> in our second week</w:t>
      </w:r>
      <w:r w:rsidR="00AB6FF7">
        <w:rPr>
          <w:szCs w:val="24"/>
        </w:rPr>
        <w:t>,</w:t>
      </w:r>
      <w:r>
        <w:rPr>
          <w:szCs w:val="24"/>
        </w:rPr>
        <w:t xml:space="preserve"> we will try to work out what the point of the </w:t>
      </w:r>
      <w:r>
        <w:rPr>
          <w:i/>
          <w:iCs/>
          <w:szCs w:val="24"/>
        </w:rPr>
        <w:t>Passover</w:t>
      </w:r>
      <w:r>
        <w:rPr>
          <w:szCs w:val="24"/>
        </w:rPr>
        <w:t xml:space="preserve"> is</w:t>
      </w:r>
      <w:r w:rsidR="00B919EC">
        <w:rPr>
          <w:szCs w:val="24"/>
        </w:rPr>
        <w:t xml:space="preserve">. The Passover is especially important because it’s one of two sacrificial rituals that are </w:t>
      </w:r>
      <w:r w:rsidR="00B919EC">
        <w:rPr>
          <w:i/>
          <w:iCs/>
          <w:szCs w:val="24"/>
        </w:rPr>
        <w:t>explicitly</w:t>
      </w:r>
      <w:r w:rsidR="00B919EC">
        <w:rPr>
          <w:szCs w:val="24"/>
        </w:rPr>
        <w:t xml:space="preserve"> invoked by New Testament writers as the model for Christ’s Passion.</w:t>
      </w:r>
      <w:r w:rsidR="00295B63">
        <w:rPr>
          <w:szCs w:val="24"/>
        </w:rPr>
        <w:t xml:space="preserve"> But the Biblical narrative sweeps past the Israelites’ time in Egypt to connect Moses to </w:t>
      </w:r>
      <w:r w:rsidR="00261C0F">
        <w:rPr>
          <w:szCs w:val="24"/>
        </w:rPr>
        <w:t>his ancestors journeying in Canaan – Abraham, Isaac and Jacob. And in the legendary material in Genesis, we find a cult of sacrifice</w:t>
      </w:r>
      <w:r w:rsidR="00380B1D">
        <w:rPr>
          <w:szCs w:val="24"/>
        </w:rPr>
        <w:t xml:space="preserve"> to Yahweh already fully functioning</w:t>
      </w:r>
      <w:r w:rsidR="00A803A1">
        <w:rPr>
          <w:szCs w:val="24"/>
        </w:rPr>
        <w:t xml:space="preserve">, with some detailed rituals presented. </w:t>
      </w:r>
    </w:p>
    <w:p w14:paraId="65432527" w14:textId="77777777" w:rsidR="007F53FB" w:rsidRDefault="007F53FB" w:rsidP="00721A77">
      <w:pPr>
        <w:pStyle w:val="NoSpacing"/>
        <w:rPr>
          <w:szCs w:val="24"/>
        </w:rPr>
      </w:pPr>
    </w:p>
    <w:p w14:paraId="1E434FF7" w14:textId="7EB2964C" w:rsidR="00721A77" w:rsidRDefault="00A803A1" w:rsidP="00721A77">
      <w:pPr>
        <w:pStyle w:val="NoSpacing"/>
        <w:rPr>
          <w:szCs w:val="24"/>
        </w:rPr>
      </w:pPr>
      <w:r>
        <w:rPr>
          <w:szCs w:val="24"/>
        </w:rPr>
        <w:t xml:space="preserve">In this lecture, I will restrict myself to </w:t>
      </w:r>
      <w:r w:rsidR="00A2546C">
        <w:rPr>
          <w:szCs w:val="24"/>
        </w:rPr>
        <w:t xml:space="preserve">one </w:t>
      </w:r>
      <w:r>
        <w:rPr>
          <w:szCs w:val="24"/>
        </w:rPr>
        <w:t>sacrifice presented in the chapters concerning Abraham</w:t>
      </w:r>
      <w:r w:rsidR="00A2546C">
        <w:rPr>
          <w:szCs w:val="24"/>
        </w:rPr>
        <w:t xml:space="preserve">: </w:t>
      </w:r>
      <w:r w:rsidR="00E51ACF">
        <w:rPr>
          <w:szCs w:val="24"/>
        </w:rPr>
        <w:t>the most famous – or infamous – sacrifice Abraham undertakes</w:t>
      </w:r>
      <w:r w:rsidR="00494796">
        <w:rPr>
          <w:szCs w:val="24"/>
        </w:rPr>
        <w:t>,</w:t>
      </w:r>
      <w:r w:rsidR="00E51ACF">
        <w:rPr>
          <w:szCs w:val="24"/>
        </w:rPr>
        <w:t xml:space="preserve"> the so-called “Binding” of Isaac</w:t>
      </w:r>
      <w:r w:rsidR="00535363">
        <w:rPr>
          <w:szCs w:val="24"/>
        </w:rPr>
        <w:t xml:space="preserve">, or </w:t>
      </w:r>
      <w:r w:rsidR="00535363">
        <w:rPr>
          <w:i/>
          <w:iCs/>
          <w:szCs w:val="24"/>
        </w:rPr>
        <w:t xml:space="preserve">Akedah </w:t>
      </w:r>
      <w:r w:rsidR="00535363">
        <w:rPr>
          <w:szCs w:val="24"/>
        </w:rPr>
        <w:t>in Hebrew</w:t>
      </w:r>
      <w:r w:rsidR="00E51ACF">
        <w:rPr>
          <w:szCs w:val="24"/>
        </w:rPr>
        <w:t>.</w:t>
      </w:r>
    </w:p>
    <w:p w14:paraId="5DC62EC1" w14:textId="77777777" w:rsidR="00E51ACF" w:rsidRDefault="00E51ACF" w:rsidP="00721A77">
      <w:pPr>
        <w:pStyle w:val="NoSpacing"/>
        <w:rPr>
          <w:szCs w:val="24"/>
        </w:rPr>
      </w:pPr>
    </w:p>
    <w:p w14:paraId="56598B76" w14:textId="342BAF39" w:rsidR="00F3412E" w:rsidRDefault="00E51ACF" w:rsidP="00721A77">
      <w:pPr>
        <w:pStyle w:val="NoSpacing"/>
        <w:rPr>
          <w:szCs w:val="24"/>
        </w:rPr>
      </w:pPr>
      <w:r>
        <w:rPr>
          <w:szCs w:val="24"/>
        </w:rPr>
        <w:t xml:space="preserve">Before we zoom in on this passage, </w:t>
      </w:r>
      <w:r w:rsidR="00480A71">
        <w:rPr>
          <w:szCs w:val="24"/>
        </w:rPr>
        <w:t xml:space="preserve">one more piece of preamble: methodology. There are many ways of interpreting the Old Testament. </w:t>
      </w:r>
      <w:r w:rsidR="004F5DA3">
        <w:rPr>
          <w:szCs w:val="24"/>
        </w:rPr>
        <w:t xml:space="preserve">But if we can be confident that </w:t>
      </w:r>
      <w:r w:rsidR="004F5DA3">
        <w:rPr>
          <w:i/>
          <w:iCs/>
          <w:szCs w:val="24"/>
        </w:rPr>
        <w:t xml:space="preserve">Jesus </w:t>
      </w:r>
      <w:r w:rsidR="004F5DA3">
        <w:rPr>
          <w:szCs w:val="24"/>
        </w:rPr>
        <w:t xml:space="preserve">understood it a certain way, His interpretation should dominate any </w:t>
      </w:r>
      <w:r w:rsidR="00A26A6C">
        <w:rPr>
          <w:szCs w:val="24"/>
        </w:rPr>
        <w:t xml:space="preserve">opinion from a critical academic, or even a distinguished theologian, which </w:t>
      </w:r>
      <w:r w:rsidR="00A26A6C">
        <w:rPr>
          <w:i/>
          <w:iCs/>
          <w:szCs w:val="24"/>
        </w:rPr>
        <w:t xml:space="preserve">clearly </w:t>
      </w:r>
      <w:r w:rsidR="00A26A6C">
        <w:rPr>
          <w:szCs w:val="24"/>
        </w:rPr>
        <w:t>contradicts it.</w:t>
      </w:r>
      <w:r w:rsidR="00535363">
        <w:rPr>
          <w:szCs w:val="24"/>
        </w:rPr>
        <w:t xml:space="preserve"> </w:t>
      </w:r>
      <w:r w:rsidR="00A26A6C">
        <w:rPr>
          <w:szCs w:val="24"/>
        </w:rPr>
        <w:t>I want to make a weaker claim for St Paul: some critical readers of St Paul like to imagine that they understand the Old Testament better than he did, because he often seems uninterested in the</w:t>
      </w:r>
      <w:r w:rsidR="00241361">
        <w:rPr>
          <w:szCs w:val="24"/>
        </w:rPr>
        <w:t xml:space="preserve"> authorial intentions of many of the passages he discusses – and that is standard practice for the New Testament authors. But these authors are the apostles and their immediate disciples, and their writings are canonical because they express the inspired faith of the apostolic era. </w:t>
      </w:r>
      <w:proofErr w:type="gramStart"/>
      <w:r w:rsidR="00866885">
        <w:rPr>
          <w:szCs w:val="24"/>
        </w:rPr>
        <w:t>So</w:t>
      </w:r>
      <w:proofErr w:type="gramEnd"/>
      <w:r w:rsidR="00866885">
        <w:rPr>
          <w:szCs w:val="24"/>
        </w:rPr>
        <w:t xml:space="preserve"> in later weeks I will be drawing on the anonymous author of</w:t>
      </w:r>
      <w:r w:rsidR="00D309D0">
        <w:rPr>
          <w:szCs w:val="24"/>
        </w:rPr>
        <w:t xml:space="preserve"> the epistle to the</w:t>
      </w:r>
      <w:r w:rsidR="00866885">
        <w:rPr>
          <w:szCs w:val="24"/>
        </w:rPr>
        <w:t xml:space="preserve"> Hebrews – and </w:t>
      </w:r>
      <w:proofErr w:type="gramStart"/>
      <w:r w:rsidR="00866885">
        <w:rPr>
          <w:szCs w:val="24"/>
        </w:rPr>
        <w:t>whether or not</w:t>
      </w:r>
      <w:proofErr w:type="gramEnd"/>
      <w:r w:rsidR="00866885">
        <w:rPr>
          <w:szCs w:val="24"/>
        </w:rPr>
        <w:t xml:space="preserve"> he was Paul, or a bishop, or someone else, the </w:t>
      </w:r>
      <w:r w:rsidR="00866885">
        <w:rPr>
          <w:i/>
          <w:iCs/>
          <w:szCs w:val="24"/>
        </w:rPr>
        <w:t>Church</w:t>
      </w:r>
      <w:r w:rsidR="00866885">
        <w:rPr>
          <w:szCs w:val="24"/>
        </w:rPr>
        <w:t xml:space="preserve"> </w:t>
      </w:r>
      <w:r w:rsidR="00D309D0">
        <w:rPr>
          <w:szCs w:val="24"/>
        </w:rPr>
        <w:t>has given Hebrews the highest imprimatur it can give, by including it in the canon of Scripture. Having said all this, I am going to inevitably draw on s</w:t>
      </w:r>
      <w:r w:rsidR="00185C13">
        <w:rPr>
          <w:szCs w:val="24"/>
        </w:rPr>
        <w:t xml:space="preserve">ome of what we can learn from archaeology and ancient comparative literature. But I want you to be assured that the arguments given for scepticism about the details of the Old Testament narrative </w:t>
      </w:r>
      <w:r w:rsidR="00F3412E">
        <w:rPr>
          <w:szCs w:val="24"/>
        </w:rPr>
        <w:t xml:space="preserve">are not strong ones </w:t>
      </w:r>
      <w:r w:rsidR="0016563D">
        <w:rPr>
          <w:szCs w:val="24"/>
        </w:rPr>
        <w:t>– at least where it becomes legend, rather than aetiological myth, from Genesis 12 onward</w:t>
      </w:r>
      <w:r w:rsidR="00F3412E">
        <w:rPr>
          <w:szCs w:val="24"/>
        </w:rPr>
        <w:t>. We can dig into this debate in the seminars if you are concerned about it.</w:t>
      </w:r>
      <w:r w:rsidR="00F3412E">
        <w:rPr>
          <w:rStyle w:val="FootnoteReference"/>
          <w:szCs w:val="24"/>
        </w:rPr>
        <w:footnoteReference w:id="1"/>
      </w:r>
      <w:r w:rsidR="00CE54A5">
        <w:rPr>
          <w:szCs w:val="24"/>
        </w:rPr>
        <w:t xml:space="preserve"> If you started trying to understand ancient Israelite sacrificial rituals by </w:t>
      </w:r>
      <w:r w:rsidR="0000523E">
        <w:rPr>
          <w:szCs w:val="24"/>
        </w:rPr>
        <w:t xml:space="preserve">putting questions </w:t>
      </w:r>
      <w:r w:rsidR="0000523E">
        <w:rPr>
          <w:szCs w:val="24"/>
        </w:rPr>
        <w:lastRenderedPageBreak/>
        <w:t>into Google</w:t>
      </w:r>
      <w:r w:rsidR="00CE54A5">
        <w:rPr>
          <w:szCs w:val="24"/>
        </w:rPr>
        <w:t>, your results would be polluted with highly speculative interpretations</w:t>
      </w:r>
      <w:r w:rsidR="005E40BE">
        <w:rPr>
          <w:szCs w:val="24"/>
        </w:rPr>
        <w:t xml:space="preserve">, which get their main support from </w:t>
      </w:r>
      <w:r w:rsidR="003E72E5">
        <w:rPr>
          <w:szCs w:val="24"/>
        </w:rPr>
        <w:t>the</w:t>
      </w:r>
      <w:r w:rsidR="005E40BE">
        <w:rPr>
          <w:szCs w:val="24"/>
        </w:rPr>
        <w:t xml:space="preserve"> desire </w:t>
      </w:r>
      <w:r w:rsidR="003E72E5">
        <w:rPr>
          <w:szCs w:val="24"/>
        </w:rPr>
        <w:t xml:space="preserve">of those frightened by the action of the Lord in history, </w:t>
      </w:r>
      <w:r w:rsidR="005E40BE">
        <w:rPr>
          <w:szCs w:val="24"/>
        </w:rPr>
        <w:t xml:space="preserve">to believe </w:t>
      </w:r>
      <w:r w:rsidR="005E40BE" w:rsidRPr="003E72E5">
        <w:rPr>
          <w:i/>
          <w:iCs/>
          <w:szCs w:val="24"/>
        </w:rPr>
        <w:t>anything</w:t>
      </w:r>
      <w:r w:rsidR="005E40BE">
        <w:rPr>
          <w:szCs w:val="24"/>
        </w:rPr>
        <w:t xml:space="preserve"> about the Old Testament texts </w:t>
      </w:r>
      <w:r w:rsidR="005E40BE">
        <w:rPr>
          <w:i/>
          <w:iCs/>
          <w:szCs w:val="24"/>
        </w:rPr>
        <w:t>other</w:t>
      </w:r>
      <w:r w:rsidR="005E40BE">
        <w:rPr>
          <w:szCs w:val="24"/>
        </w:rPr>
        <w:t xml:space="preserve"> than that they report events which really happened. </w:t>
      </w:r>
      <w:r w:rsidR="0000523E">
        <w:rPr>
          <w:szCs w:val="24"/>
        </w:rPr>
        <w:t>We’ll address some of these interpretations along the way</w:t>
      </w:r>
      <w:r w:rsidR="003E72E5">
        <w:rPr>
          <w:szCs w:val="24"/>
        </w:rPr>
        <w:t>, so that you can see there are usually good reasons to discount them</w:t>
      </w:r>
      <w:r w:rsidR="00BD6780">
        <w:rPr>
          <w:szCs w:val="24"/>
        </w:rPr>
        <w:t>.</w:t>
      </w:r>
    </w:p>
    <w:p w14:paraId="64EE36A9" w14:textId="77777777" w:rsidR="00BD6780" w:rsidRDefault="00BD6780" w:rsidP="00721A77">
      <w:pPr>
        <w:pStyle w:val="NoSpacing"/>
        <w:rPr>
          <w:szCs w:val="24"/>
        </w:rPr>
      </w:pPr>
    </w:p>
    <w:p w14:paraId="0CBBC99D" w14:textId="2198365A" w:rsidR="00BD6780" w:rsidRPr="00A40C4D" w:rsidRDefault="00BD6780" w:rsidP="00721A77">
      <w:pPr>
        <w:pStyle w:val="NoSpacing"/>
        <w:rPr>
          <w:szCs w:val="24"/>
        </w:rPr>
      </w:pPr>
      <w:r>
        <w:rPr>
          <w:szCs w:val="24"/>
        </w:rPr>
        <w:t xml:space="preserve">On the other hand, my goal in this course is not to present the Church’s teaching on how to understand these </w:t>
      </w:r>
      <w:r w:rsidR="00A40C4D">
        <w:rPr>
          <w:szCs w:val="24"/>
        </w:rPr>
        <w:t>rituals</w:t>
      </w:r>
      <w:r>
        <w:rPr>
          <w:szCs w:val="24"/>
        </w:rPr>
        <w:t xml:space="preserve">. This is because, for the most part, I can’t: </w:t>
      </w:r>
      <w:r w:rsidR="00A40C4D">
        <w:rPr>
          <w:szCs w:val="24"/>
        </w:rPr>
        <w:t xml:space="preserve">I have found researching these topics that the boundaries of orthodoxy leave my questions unanswered. </w:t>
      </w:r>
      <w:r w:rsidR="00A40C4D">
        <w:rPr>
          <w:szCs w:val="24"/>
        </w:rPr>
        <w:lastRenderedPageBreak/>
        <w:t xml:space="preserve">Certainly, there are </w:t>
      </w:r>
      <w:r w:rsidR="00A40C4D">
        <w:rPr>
          <w:i/>
          <w:iCs/>
          <w:szCs w:val="24"/>
        </w:rPr>
        <w:t>tendencies</w:t>
      </w:r>
      <w:r w:rsidR="00A40C4D">
        <w:rPr>
          <w:szCs w:val="24"/>
        </w:rPr>
        <w:t xml:space="preserve"> in the </w:t>
      </w:r>
      <w:proofErr w:type="gramStart"/>
      <w:r w:rsidR="00A40C4D">
        <w:rPr>
          <w:szCs w:val="24"/>
        </w:rPr>
        <w:t>Fathers</w:t>
      </w:r>
      <w:proofErr w:type="gramEnd"/>
      <w:r w:rsidR="00A40C4D">
        <w:rPr>
          <w:szCs w:val="24"/>
        </w:rPr>
        <w:t xml:space="preserve"> and </w:t>
      </w:r>
      <w:r w:rsidR="00203BC7">
        <w:rPr>
          <w:szCs w:val="24"/>
        </w:rPr>
        <w:t>pre-modern</w:t>
      </w:r>
      <w:r w:rsidR="00A40C4D">
        <w:rPr>
          <w:szCs w:val="24"/>
        </w:rPr>
        <w:t xml:space="preserve"> </w:t>
      </w:r>
      <w:r w:rsidR="00203BC7">
        <w:rPr>
          <w:szCs w:val="24"/>
        </w:rPr>
        <w:t xml:space="preserve">commentators </w:t>
      </w:r>
      <w:r w:rsidR="001F0E85">
        <w:rPr>
          <w:szCs w:val="24"/>
        </w:rPr>
        <w:t xml:space="preserve">to understand them in a certain way, usually </w:t>
      </w:r>
      <w:proofErr w:type="gramStart"/>
      <w:r w:rsidR="001F0E85">
        <w:rPr>
          <w:szCs w:val="24"/>
        </w:rPr>
        <w:t>in light of</w:t>
      </w:r>
      <w:proofErr w:type="gramEnd"/>
      <w:r w:rsidR="001F0E85">
        <w:rPr>
          <w:szCs w:val="24"/>
        </w:rPr>
        <w:t xml:space="preserve"> </w:t>
      </w:r>
      <w:r w:rsidR="00027289">
        <w:rPr>
          <w:szCs w:val="24"/>
        </w:rPr>
        <w:t xml:space="preserve">the most </w:t>
      </w:r>
      <w:r w:rsidR="001F0E85">
        <w:rPr>
          <w:szCs w:val="24"/>
        </w:rPr>
        <w:t>fashionable</w:t>
      </w:r>
      <w:r w:rsidR="00027289">
        <w:rPr>
          <w:szCs w:val="24"/>
        </w:rPr>
        <w:t xml:space="preserve"> </w:t>
      </w:r>
      <w:r w:rsidR="001F0E85">
        <w:rPr>
          <w:szCs w:val="24"/>
        </w:rPr>
        <w:t>theory of the atonement</w:t>
      </w:r>
      <w:r w:rsidR="00027289">
        <w:rPr>
          <w:szCs w:val="24"/>
        </w:rPr>
        <w:t xml:space="preserve"> at the time of the theologian’s writing. But </w:t>
      </w:r>
      <w:r w:rsidR="00AF3832">
        <w:rPr>
          <w:szCs w:val="24"/>
        </w:rPr>
        <w:t>although a couple of these theories have been anathematized, none of them have been dogmatically defined.</w:t>
      </w:r>
      <w:r w:rsidR="00203BC7">
        <w:rPr>
          <w:szCs w:val="24"/>
        </w:rPr>
        <w:t xml:space="preserve"> Once the Reformation kicks in, interpretation of Israelite sacrifice becomes a jungle</w:t>
      </w:r>
      <w:r w:rsidR="00585142">
        <w:rPr>
          <w:szCs w:val="24"/>
        </w:rPr>
        <w:t xml:space="preserve"> of confusion</w:t>
      </w:r>
      <w:r w:rsidR="005E0A69">
        <w:rPr>
          <w:szCs w:val="24"/>
        </w:rPr>
        <w:t>, and we’ll hunt some of the tigers lurking there in the latter weeks of the course.</w:t>
      </w:r>
    </w:p>
    <w:p w14:paraId="5329DE0C" w14:textId="77777777" w:rsidR="005E40BE" w:rsidRPr="005E40BE" w:rsidRDefault="005E40BE" w:rsidP="00721A77">
      <w:pPr>
        <w:pStyle w:val="NoSpacing"/>
        <w:rPr>
          <w:szCs w:val="24"/>
        </w:rPr>
      </w:pPr>
    </w:p>
    <w:p w14:paraId="2D448D8E" w14:textId="6558A7FE" w:rsidR="00DF08D6" w:rsidRDefault="00F616F3" w:rsidP="00134A5B">
      <w:pPr>
        <w:pStyle w:val="NoSpacing"/>
      </w:pPr>
      <w:r>
        <w:t>First, let’s present the immediate narrative context for the narrative of the binding of Isaac</w:t>
      </w:r>
      <w:r w:rsidR="00073AC1">
        <w:t>. At this point, Abraham has travelled to Canaan;</w:t>
      </w:r>
      <w:r w:rsidR="009430FF">
        <w:t xml:space="preserve"> </w:t>
      </w:r>
      <w:r w:rsidR="003056C4">
        <w:t xml:space="preserve">God has formalized </w:t>
      </w:r>
      <w:r w:rsidR="007F03B5">
        <w:t>his promise to give him Canaan, and an heir to inherit it</w:t>
      </w:r>
      <w:r w:rsidR="00935175">
        <w:t xml:space="preserve"> from him;</w:t>
      </w:r>
      <w:r w:rsidR="00073AC1">
        <w:t xml:space="preserve"> he has had Ishmael by Haga</w:t>
      </w:r>
      <w:r w:rsidR="009430FF">
        <w:t>r</w:t>
      </w:r>
      <w:r w:rsidR="00A82B5F">
        <w:t xml:space="preserve">; </w:t>
      </w:r>
      <w:r w:rsidR="00290A9E">
        <w:t>and Isaac by Sarah</w:t>
      </w:r>
      <w:r w:rsidR="00CC0100">
        <w:t xml:space="preserve">. </w:t>
      </w:r>
      <w:r w:rsidR="00E21310">
        <w:t xml:space="preserve">Then, </w:t>
      </w:r>
      <w:r w:rsidR="00E21310" w:rsidRPr="00060299">
        <w:t>Genesis 22 tells us that “Some time later</w:t>
      </w:r>
      <w:r w:rsidR="009C652B">
        <w:t>,</w:t>
      </w:r>
      <w:r w:rsidR="00367F44" w:rsidRPr="00060299">
        <w:t xml:space="preserve"> God tested Abraham”</w:t>
      </w:r>
      <w:r w:rsidR="00367F44">
        <w:t>.</w:t>
      </w:r>
      <w:r w:rsidR="00344593">
        <w:t xml:space="preserve"> How much later than Isaac’s birth, the binding of Isaac occurs, is rather important</w:t>
      </w:r>
      <w:r w:rsidR="00B800A9">
        <w:t xml:space="preserve"> – </w:t>
      </w:r>
      <w:r w:rsidR="0040558D">
        <w:t xml:space="preserve">but </w:t>
      </w:r>
      <w:r w:rsidR="00B800A9">
        <w:t>the events the narrative records between this point and the birth don’t give us a good sense</w:t>
      </w:r>
      <w:r w:rsidR="00344593">
        <w:t>.</w:t>
      </w:r>
      <w:r w:rsidR="00B800A9">
        <w:t xml:space="preserve"> </w:t>
      </w:r>
      <w:r w:rsidR="007B001C">
        <w:t xml:space="preserve">Depictions of this episode from the earliest times show Isaac as a child, but the term often translated as “boy”, </w:t>
      </w:r>
      <w:proofErr w:type="spellStart"/>
      <w:r w:rsidR="00522E23">
        <w:rPr>
          <w:i/>
          <w:iCs/>
        </w:rPr>
        <w:t>na’ar</w:t>
      </w:r>
      <w:proofErr w:type="spellEnd"/>
      <w:r w:rsidR="00522E23">
        <w:t xml:space="preserve">, is really the male equivalent of “maiden” – it doesn’t specify childhood, but youth. </w:t>
      </w:r>
    </w:p>
    <w:p w14:paraId="30AB0772" w14:textId="77777777" w:rsidR="00217B6C" w:rsidRDefault="00217B6C" w:rsidP="00134A5B">
      <w:pPr>
        <w:pStyle w:val="NoSpacing"/>
      </w:pPr>
    </w:p>
    <w:p w14:paraId="539E74F7" w14:textId="77777777" w:rsidR="009C652B" w:rsidRDefault="009C652B">
      <w:pPr>
        <w:rPr>
          <w:kern w:val="0"/>
          <w:szCs w:val="22"/>
          <w14:ligatures w14:val="none"/>
        </w:rPr>
      </w:pPr>
      <w:r>
        <w:br w:type="page"/>
      </w:r>
    </w:p>
    <w:p w14:paraId="18EC6A6B" w14:textId="7F88DD2E" w:rsidR="004B05CD" w:rsidRDefault="009C652B" w:rsidP="00134A5B">
      <w:pPr>
        <w:pStyle w:val="NoSpacing"/>
      </w:pPr>
      <w:r>
        <w:lastRenderedPageBreak/>
        <w:t>I</w:t>
      </w:r>
      <w:r w:rsidR="00522E23">
        <w:t xml:space="preserve">n comparison to Abraham, that could leave Isaac quite old – the eldest he could </w:t>
      </w:r>
      <w:proofErr w:type="gramStart"/>
      <w:r w:rsidR="00522E23">
        <w:t>have been is</w:t>
      </w:r>
      <w:proofErr w:type="gramEnd"/>
      <w:r w:rsidR="00522E23">
        <w:t xml:space="preserve"> 37, </w:t>
      </w:r>
      <w:r w:rsidR="00DF08D6">
        <w:t xml:space="preserve">given Sarah’s age when he is born and her age when she dies. But he had to be old enough to travel to Moriah for four days with his elderly father, and to carry the wood for the fire up the mountain. </w:t>
      </w:r>
      <w:proofErr w:type="gramStart"/>
      <w:r w:rsidR="00DF08D6">
        <w:t>So</w:t>
      </w:r>
      <w:proofErr w:type="gramEnd"/>
      <w:r w:rsidR="00DF08D6">
        <w:t xml:space="preserve"> we </w:t>
      </w:r>
      <w:r w:rsidR="00941FEF">
        <w:t xml:space="preserve">really are talking about a young man here. He knows what is going on – even though Abraham doesn’t tell him, he </w:t>
      </w:r>
      <w:r w:rsidR="007C4688">
        <w:t>knows how sacrifices work</w:t>
      </w:r>
      <w:r w:rsidR="001C56ED">
        <w:t>,</w:t>
      </w:r>
      <w:r w:rsidR="007C4688">
        <w:t xml:space="preserve"> and can see there is no animal at the point where they are building the pyre. </w:t>
      </w:r>
    </w:p>
    <w:p w14:paraId="41F67A67" w14:textId="77777777" w:rsidR="00907361" w:rsidRDefault="00907361" w:rsidP="00134A5B">
      <w:pPr>
        <w:pStyle w:val="NoSpacing"/>
      </w:pPr>
    </w:p>
    <w:p w14:paraId="6FDF3C68" w14:textId="77777777" w:rsidR="00FC7C49" w:rsidRDefault="00907361" w:rsidP="00134A5B">
      <w:pPr>
        <w:pStyle w:val="NoSpacing"/>
      </w:pPr>
      <w:r>
        <w:t>Now, r</w:t>
      </w:r>
      <w:r w:rsidR="000A0259">
        <w:t xml:space="preserve">ather than </w:t>
      </w:r>
      <w:r>
        <w:t>my read out the whole passage, I invite you to have it in front of you</w:t>
      </w:r>
      <w:r w:rsidR="00CE3542">
        <w:t xml:space="preserve"> for reference</w:t>
      </w:r>
      <w:r>
        <w:t>: it</w:t>
      </w:r>
      <w:r w:rsidR="00CE3542">
        <w:t xml:space="preserve">’s short enough to fit on one page. Just </w:t>
      </w:r>
      <w:proofErr w:type="gramStart"/>
      <w:r w:rsidR="00CE3542">
        <w:t>pause, and</w:t>
      </w:r>
      <w:proofErr w:type="gramEnd"/>
      <w:r w:rsidR="00CE3542">
        <w:t xml:space="preserve"> fetch it</w:t>
      </w:r>
      <w:r w:rsidR="003957C9">
        <w:t>; read it through, then press play after</w:t>
      </w:r>
      <w:r w:rsidR="00CE3542">
        <w:t xml:space="preserve">. </w:t>
      </w:r>
    </w:p>
    <w:p w14:paraId="193F9529" w14:textId="77777777" w:rsidR="00FC7C49" w:rsidRDefault="00FC7C49" w:rsidP="00134A5B">
      <w:pPr>
        <w:pStyle w:val="NoSpacing"/>
      </w:pPr>
    </w:p>
    <w:p w14:paraId="55C6CA77" w14:textId="621D4DD3" w:rsidR="00083038" w:rsidRDefault="00CE3542" w:rsidP="00134A5B">
      <w:pPr>
        <w:pStyle w:val="NoSpacing"/>
      </w:pPr>
      <w:r>
        <w:t>The puzzle of the Akedah is t</w:t>
      </w:r>
      <w:r w:rsidR="004F42E9">
        <w:t>wofold</w:t>
      </w:r>
      <w:r>
        <w:t xml:space="preserve">: why does Abraham agree to </w:t>
      </w:r>
      <w:r w:rsidR="004F42E9">
        <w:t xml:space="preserve">kill his son, when God asks him? And why does God demand the sacrifice? </w:t>
      </w:r>
      <w:r w:rsidR="00A759DA">
        <w:t xml:space="preserve">I </w:t>
      </w:r>
      <w:r w:rsidR="00124E5E">
        <w:t>would argue</w:t>
      </w:r>
      <w:r w:rsidR="00A759DA">
        <w:t xml:space="preserve"> that there needs to be one solution to both questions – God cannot </w:t>
      </w:r>
      <w:r w:rsidR="00124E5E">
        <w:t xml:space="preserve">have an ulterior motive. We’re going to </w:t>
      </w:r>
      <w:r w:rsidR="005A1E47">
        <w:t>have to dispense with some responses as being inconsistent with fundamental theology, or at least incomplete on their own.</w:t>
      </w:r>
    </w:p>
    <w:p w14:paraId="45DE88BA" w14:textId="77777777" w:rsidR="00EF2188" w:rsidRDefault="00EF2188" w:rsidP="00134A5B">
      <w:pPr>
        <w:pStyle w:val="NoSpacing"/>
      </w:pPr>
    </w:p>
    <w:p w14:paraId="2D5D92C3" w14:textId="77777777" w:rsidR="00FC7C49" w:rsidRDefault="00FC7C49">
      <w:pPr>
        <w:rPr>
          <w:kern w:val="0"/>
          <w:szCs w:val="22"/>
          <w14:ligatures w14:val="none"/>
        </w:rPr>
      </w:pPr>
      <w:r>
        <w:br w:type="page"/>
      </w:r>
    </w:p>
    <w:p w14:paraId="20D62402" w14:textId="77777777" w:rsidR="003D6C6B" w:rsidRDefault="005A1E47" w:rsidP="00134A5B">
      <w:pPr>
        <w:pStyle w:val="NoSpacing"/>
      </w:pPr>
      <w:r>
        <w:lastRenderedPageBreak/>
        <w:t xml:space="preserve">The first </w:t>
      </w:r>
      <w:r w:rsidR="00761CF2">
        <w:t>response</w:t>
      </w:r>
      <w:r w:rsidR="00B95B9E">
        <w:t xml:space="preserve"> is this: that the </w:t>
      </w:r>
      <w:r w:rsidR="00986DBD">
        <w:t xml:space="preserve">request to sacrifice Isaac is a test, like a school exam, to find out whether Abraham has sufficient trust in God to be worthy of </w:t>
      </w:r>
      <w:r w:rsidR="00FF1020">
        <w:t>God ‘s keeping the covenant God made with Him earlier. This</w:t>
      </w:r>
      <w:r w:rsidR="00761CF2">
        <w:t xml:space="preserve"> seems legitimated by the text itself: “</w:t>
      </w:r>
      <w:proofErr w:type="spellStart"/>
      <w:r w:rsidR="00761CF2">
        <w:t>Some time</w:t>
      </w:r>
      <w:proofErr w:type="spellEnd"/>
      <w:r w:rsidR="00761CF2">
        <w:t xml:space="preserve"> later, God </w:t>
      </w:r>
      <w:r w:rsidR="00761CF2">
        <w:rPr>
          <w:i/>
          <w:iCs/>
        </w:rPr>
        <w:t xml:space="preserve">tested </w:t>
      </w:r>
      <w:r w:rsidR="00761CF2">
        <w:t>Abraham”, it begins; and it ends with God saying “</w:t>
      </w:r>
      <w:r w:rsidR="00A1224C">
        <w:t>because you have done this and have not withheld your son, your only son, I will surely bless you</w:t>
      </w:r>
      <w:r w:rsidR="00B95B9E">
        <w:t xml:space="preserve">,” and God goes on to list the other terms of the covenant He has </w:t>
      </w:r>
      <w:r w:rsidR="00B95B9E">
        <w:rPr>
          <w:i/>
          <w:iCs/>
        </w:rPr>
        <w:t>already</w:t>
      </w:r>
      <w:r w:rsidR="00B95B9E">
        <w:t xml:space="preserve"> made. </w:t>
      </w:r>
    </w:p>
    <w:p w14:paraId="19308451" w14:textId="77777777" w:rsidR="003D6C6B" w:rsidRDefault="003D6C6B" w:rsidP="00134A5B">
      <w:pPr>
        <w:pStyle w:val="NoSpacing"/>
      </w:pPr>
    </w:p>
    <w:p w14:paraId="4BF1D2E1" w14:textId="59D819EF" w:rsidR="005A1E47" w:rsidRDefault="00E43760" w:rsidP="003D6C6B">
      <w:pPr>
        <w:pStyle w:val="NoSpacing"/>
      </w:pPr>
      <w:r>
        <w:t>Th</w:t>
      </w:r>
      <w:r w:rsidR="007A4B1D">
        <w:t xml:space="preserve">is interpretation faces a dilemma: </w:t>
      </w:r>
      <w:r w:rsidR="007A3A62">
        <w:t xml:space="preserve">on the one hand, Abraham does not trust God </w:t>
      </w:r>
      <w:r w:rsidR="007A3A62">
        <w:rPr>
          <w:i/>
          <w:iCs/>
        </w:rPr>
        <w:t>with respect to any specific outcome</w:t>
      </w:r>
      <w:r w:rsidR="007A3A62">
        <w:t xml:space="preserve"> of his following the command. Then, Abraham’s faith becomes a matter of raw, irrational obedienc</w:t>
      </w:r>
      <w:r w:rsidR="005077B4">
        <w:t xml:space="preserve">e, as the correct response to God’s sovereignty. This is the traditional interpretation in Islam. </w:t>
      </w:r>
      <w:r w:rsidR="00C12492">
        <w:t>True f</w:t>
      </w:r>
      <w:r w:rsidR="005077B4">
        <w:t xml:space="preserve">aith in God means obedient defiance of whatever </w:t>
      </w:r>
      <w:r w:rsidR="005077B4">
        <w:rPr>
          <w:i/>
          <w:iCs/>
        </w:rPr>
        <w:t xml:space="preserve">we might think </w:t>
      </w:r>
      <w:r w:rsidR="005077B4">
        <w:t>love and justice and rationality demand of us</w:t>
      </w:r>
      <w:r w:rsidR="00C12492">
        <w:t xml:space="preserve">, all of which </w:t>
      </w:r>
      <w:r w:rsidR="001D2B28">
        <w:t>are a temptation from the Devil</w:t>
      </w:r>
      <w:r w:rsidR="00CA2799">
        <w:t>,</w:t>
      </w:r>
      <w:r w:rsidR="001D2B28">
        <w:t xml:space="preserve"> or a compromise with the world.</w:t>
      </w:r>
    </w:p>
    <w:p w14:paraId="593FD993" w14:textId="77777777" w:rsidR="00EA191B" w:rsidRDefault="00EA191B" w:rsidP="00EA191B">
      <w:pPr>
        <w:pStyle w:val="NoSpacing"/>
      </w:pPr>
    </w:p>
    <w:p w14:paraId="793A912E" w14:textId="671608BF" w:rsidR="001D2B28" w:rsidRPr="00A875D4" w:rsidRDefault="001D2B28" w:rsidP="00EA191B">
      <w:pPr>
        <w:pStyle w:val="NoSpacing"/>
      </w:pPr>
      <w:r>
        <w:t>This is clearly unacceptable</w:t>
      </w:r>
      <w:r w:rsidR="00D2029E">
        <w:t xml:space="preserve">. And it also makes Abraham into a monster, not because we do </w:t>
      </w:r>
      <w:r w:rsidR="00D2029E">
        <w:rPr>
          <w:i/>
          <w:iCs/>
        </w:rPr>
        <w:t xml:space="preserve">not </w:t>
      </w:r>
      <w:r w:rsidR="00D2029E">
        <w:t xml:space="preserve">owe God this kind of obedience, but because in the narrative context, Abraham’s primary evidence that El is </w:t>
      </w:r>
      <w:r w:rsidR="00ED02E1">
        <w:t xml:space="preserve">the perfectly righteous creator of the universe is </w:t>
      </w:r>
      <w:r w:rsidR="00CA2799">
        <w:t xml:space="preserve">El’s own claims, and the fact </w:t>
      </w:r>
      <w:r w:rsidR="00ED02E1">
        <w:t>that El has helped him win various battles and have some heirs in his old age</w:t>
      </w:r>
      <w:r w:rsidR="00CA2799">
        <w:t>.</w:t>
      </w:r>
      <w:r w:rsidR="002B3084">
        <w:t xml:space="preserve"> The “proof” that El is God only really kicks in in Exodus, with the ten plagues narrative.</w:t>
      </w:r>
    </w:p>
    <w:p w14:paraId="554418D9" w14:textId="77777777" w:rsidR="00EA191B" w:rsidRDefault="00EA191B" w:rsidP="00EA191B">
      <w:pPr>
        <w:pStyle w:val="NoSpacing"/>
      </w:pPr>
    </w:p>
    <w:p w14:paraId="1E298F2E" w14:textId="43169AF9" w:rsidR="00C9718A" w:rsidRDefault="00C9718A" w:rsidP="00EA191B">
      <w:pPr>
        <w:pStyle w:val="NoSpacing"/>
      </w:pPr>
      <w:r>
        <w:lastRenderedPageBreak/>
        <w:t xml:space="preserve">The second horn of the dilemma is that Abraham trusts God </w:t>
      </w:r>
      <w:r>
        <w:rPr>
          <w:i/>
          <w:iCs/>
        </w:rPr>
        <w:t>to react in some way which makes trust a reasonable risk</w:t>
      </w:r>
      <w:r>
        <w:t xml:space="preserve">. </w:t>
      </w:r>
      <w:r w:rsidR="005D0CFD">
        <w:t xml:space="preserve">Now, we might think that given any uncertainty about God’s reliability and power, no such offer could be worth the risk of killing your own son for nothing. Indeed, we should probably think that </w:t>
      </w:r>
      <w:r w:rsidR="005D0CFD">
        <w:rPr>
          <w:i/>
          <w:iCs/>
        </w:rPr>
        <w:t>no outcome could be worth killing your own son at all!</w:t>
      </w:r>
    </w:p>
    <w:p w14:paraId="29447A5A" w14:textId="77777777" w:rsidR="00EA191B" w:rsidRDefault="00EA191B" w:rsidP="00EA191B">
      <w:pPr>
        <w:pStyle w:val="NoSpacing"/>
      </w:pPr>
    </w:p>
    <w:p w14:paraId="05A095D3" w14:textId="26028FA7" w:rsidR="0016464B" w:rsidRDefault="00404D2C" w:rsidP="00EA191B">
      <w:pPr>
        <w:pStyle w:val="NoSpacing"/>
      </w:pPr>
      <w:r>
        <w:t xml:space="preserve">Finally, if we are assuming that El </w:t>
      </w:r>
      <w:r>
        <w:rPr>
          <w:i/>
          <w:iCs/>
        </w:rPr>
        <w:t>really is God</w:t>
      </w:r>
      <w:r>
        <w:t xml:space="preserve">, this interpretation is absurd because </w:t>
      </w:r>
      <w:r w:rsidR="00DF0B1B">
        <w:t>God does not need to make us sit any exams to find out how strong our faith is.</w:t>
      </w:r>
      <w:r w:rsidR="00BC030D">
        <w:t xml:space="preserve"> God knows our inmost heart – this is not just a claim Scripture makes elsewhere; it’s an analytic truth</w:t>
      </w:r>
      <w:r w:rsidR="00D0799F">
        <w:t xml:space="preserve"> </w:t>
      </w:r>
      <w:r w:rsidR="00CE0B98">
        <w:t xml:space="preserve">entailed by </w:t>
      </w:r>
      <w:r w:rsidR="00D0799F">
        <w:t xml:space="preserve">God’s </w:t>
      </w:r>
      <w:proofErr w:type="gramStart"/>
      <w:r w:rsidR="00D0799F">
        <w:t>perfection,</w:t>
      </w:r>
      <w:proofErr w:type="gramEnd"/>
      <w:r w:rsidR="00D0799F">
        <w:t xml:space="preserve"> the kind of perfection that would justify the kind of trust Abraham is expressing.</w:t>
      </w:r>
      <w:r w:rsidR="00A875D4">
        <w:t xml:space="preserve"> This reasoning might strike you as an imposition on the text. But here’s a confusion in the text which forces the reader to question the motivation implied </w:t>
      </w:r>
      <w:r w:rsidR="006379F1">
        <w:t xml:space="preserve">in verse 1. In verse 22, we read God </w:t>
      </w:r>
      <w:proofErr w:type="gramStart"/>
      <w:r w:rsidR="006379F1">
        <w:t>saying</w:t>
      </w:r>
      <w:proofErr w:type="gramEnd"/>
      <w:r w:rsidR="006379F1">
        <w:t xml:space="preserve"> “Do not lay your hand on the boy or do anything to him, for now I know that you </w:t>
      </w:r>
      <w:r w:rsidR="006379F1">
        <w:rPr>
          <w:i/>
          <w:iCs/>
        </w:rPr>
        <w:t xml:space="preserve">fear </w:t>
      </w:r>
      <w:r w:rsidR="006379F1">
        <w:t xml:space="preserve">God, seeing you have not withheld your son, your only son from me.” </w:t>
      </w:r>
      <w:r w:rsidR="00525198">
        <w:t xml:space="preserve">But we cannot read </w:t>
      </w:r>
      <w:r w:rsidR="00525198">
        <w:rPr>
          <w:i/>
          <w:iCs/>
        </w:rPr>
        <w:t xml:space="preserve">fear </w:t>
      </w:r>
      <w:r w:rsidR="00525198">
        <w:t xml:space="preserve">in its normal sense here. </w:t>
      </w:r>
      <w:r w:rsidR="006379F1">
        <w:t xml:space="preserve">El has never threatened to harm Abraham; and </w:t>
      </w:r>
      <w:r w:rsidR="006379F1">
        <w:rPr>
          <w:i/>
          <w:iCs/>
        </w:rPr>
        <w:t xml:space="preserve">fear </w:t>
      </w:r>
      <w:r w:rsidR="006379F1">
        <w:t xml:space="preserve">would be a completely </w:t>
      </w:r>
      <w:r w:rsidR="00AB3B40">
        <w:t>new motivation from trust</w:t>
      </w:r>
      <w:r w:rsidR="006379F1">
        <w:t xml:space="preserve">. </w:t>
      </w:r>
      <w:r w:rsidR="002D08EE">
        <w:t>Being willing to kill his own son to protect his own skin from an invisible monster would not make Abraham the father of faith – it would make him a coward</w:t>
      </w:r>
      <w:r w:rsidR="000302B9">
        <w:t xml:space="preserve">. </w:t>
      </w:r>
      <w:r w:rsidR="00DC7514">
        <w:t xml:space="preserve">To make sense of </w:t>
      </w:r>
      <w:r w:rsidR="00E94F8F">
        <w:t xml:space="preserve">this verse, we </w:t>
      </w:r>
      <w:proofErr w:type="gramStart"/>
      <w:r w:rsidR="00E94F8F">
        <w:t>have to</w:t>
      </w:r>
      <w:proofErr w:type="gramEnd"/>
      <w:r w:rsidR="00E94F8F">
        <w:t xml:space="preserve"> make </w:t>
      </w:r>
      <w:r w:rsidR="00E94F8F">
        <w:rPr>
          <w:i/>
          <w:iCs/>
        </w:rPr>
        <w:t xml:space="preserve">fear </w:t>
      </w:r>
      <w:r w:rsidR="00E94F8F">
        <w:t xml:space="preserve">mean </w:t>
      </w:r>
      <w:r w:rsidR="00E94F8F">
        <w:rPr>
          <w:i/>
          <w:iCs/>
        </w:rPr>
        <w:t xml:space="preserve">awe </w:t>
      </w:r>
      <w:r w:rsidR="00E94F8F">
        <w:t xml:space="preserve">or </w:t>
      </w:r>
      <w:r w:rsidR="00E94F8F">
        <w:rPr>
          <w:i/>
          <w:iCs/>
        </w:rPr>
        <w:t>respect</w:t>
      </w:r>
      <w:r w:rsidR="00E94F8F">
        <w:t xml:space="preserve">. </w:t>
      </w:r>
      <w:r w:rsidR="00610F77">
        <w:t>But then,</w:t>
      </w:r>
      <w:r w:rsidR="00E94F8F">
        <w:t xml:space="preserve"> it is not faith in the sense of </w:t>
      </w:r>
      <w:r w:rsidR="00E94F8F">
        <w:rPr>
          <w:i/>
          <w:iCs/>
        </w:rPr>
        <w:t>trust to fulfil a promise</w:t>
      </w:r>
      <w:r w:rsidR="00E94F8F">
        <w:t xml:space="preserve"> which is at stake.</w:t>
      </w:r>
      <w:r w:rsidR="0016464B">
        <w:t xml:space="preserve"> </w:t>
      </w:r>
    </w:p>
    <w:p w14:paraId="31AA1375" w14:textId="77777777" w:rsidR="0016464B" w:rsidRDefault="0016464B" w:rsidP="00EA191B">
      <w:pPr>
        <w:pStyle w:val="NoSpacing"/>
      </w:pPr>
    </w:p>
    <w:p w14:paraId="23F9163B" w14:textId="02E69D36" w:rsidR="00BD6455" w:rsidRPr="00BC7C4E" w:rsidRDefault="0016464B" w:rsidP="0016464B">
      <w:pPr>
        <w:pStyle w:val="NoSpacing"/>
      </w:pPr>
      <w:r>
        <w:lastRenderedPageBreak/>
        <w:t xml:space="preserve">The same problem occurs for the way the </w:t>
      </w:r>
      <w:r>
        <w:rPr>
          <w:i/>
          <w:iCs/>
        </w:rPr>
        <w:t>Akedah</w:t>
      </w:r>
      <w:r>
        <w:t xml:space="preserve"> is softened by the author of Hebrews: he writes </w:t>
      </w:r>
      <w:r w:rsidR="00BD6455">
        <w:t xml:space="preserve">that </w:t>
      </w:r>
      <w:r w:rsidR="00CA31F0">
        <w:t>Abraham could infer from God’s existing promises, that He would raise Isaac from the dead after the sacrifice.</w:t>
      </w:r>
      <w:r w:rsidR="00054A8F">
        <w:t xml:space="preserve"> This</w:t>
      </w:r>
      <w:r w:rsidR="00BE5CC6">
        <w:t>, however</w:t>
      </w:r>
      <w:r w:rsidR="00BC7C4E">
        <w:t xml:space="preserve">, leaves the </w:t>
      </w:r>
      <w:r w:rsidR="00BC7C4E">
        <w:rPr>
          <w:i/>
          <w:iCs/>
        </w:rPr>
        <w:t>Akedah</w:t>
      </w:r>
      <w:r w:rsidR="00BC7C4E">
        <w:t xml:space="preserve"> as </w:t>
      </w:r>
      <w:r w:rsidR="006748FE">
        <w:t>a test to see</w:t>
      </w:r>
      <w:r w:rsidR="00296B59">
        <w:t xml:space="preserve"> whether Abraham</w:t>
      </w:r>
      <w:r w:rsidR="001F7749">
        <w:t xml:space="preserve"> trust</w:t>
      </w:r>
      <w:r w:rsidR="00296B59">
        <w:t xml:space="preserve">s how </w:t>
      </w:r>
      <w:r w:rsidR="00296B59">
        <w:rPr>
          <w:i/>
          <w:iCs/>
        </w:rPr>
        <w:t xml:space="preserve">powerful </w:t>
      </w:r>
      <w:r w:rsidR="00296B59">
        <w:t>God is</w:t>
      </w:r>
      <w:r w:rsidR="001F5494">
        <w:t>.</w:t>
      </w:r>
      <w:r w:rsidR="004B4EA7">
        <w:t xml:space="preserve"> </w:t>
      </w:r>
      <w:r w:rsidR="000F2429">
        <w:t xml:space="preserve">A tradition of Christian commentary from Hebrews down to Soren Kierkegaard takes this line, but the difficulty is that </w:t>
      </w:r>
      <w:r w:rsidR="00493D19">
        <w:t>it leaves the</w:t>
      </w:r>
      <w:r w:rsidR="000F2429">
        <w:t xml:space="preserve"> </w:t>
      </w:r>
      <w:r w:rsidR="007E3779">
        <w:t>killing</w:t>
      </w:r>
      <w:r w:rsidR="000F2429">
        <w:t xml:space="preserve"> of Isaac itself</w:t>
      </w:r>
      <w:r w:rsidR="007E3779">
        <w:t xml:space="preserve"> as an intrinsically</w:t>
      </w:r>
      <w:r w:rsidR="00493D19">
        <w:t xml:space="preserve"> </w:t>
      </w:r>
      <w:r w:rsidR="000F2429">
        <w:t>pointless</w:t>
      </w:r>
      <w:r w:rsidR="00493D19">
        <w:t xml:space="preserve"> chore</w:t>
      </w:r>
      <w:r w:rsidR="000A5B9D">
        <w:t>;</w:t>
      </w:r>
      <w:r w:rsidR="00A20A5D">
        <w:t xml:space="preserve"> </w:t>
      </w:r>
      <w:r w:rsidR="009311BE">
        <w:t>Abraham’s only reason to</w:t>
      </w:r>
      <w:r w:rsidR="00FC12BF">
        <w:t xml:space="preserve"> do this horrible task is because God asks Him to.</w:t>
      </w:r>
    </w:p>
    <w:p w14:paraId="0302DC0D" w14:textId="77777777" w:rsidR="00610F77" w:rsidRDefault="00610F77" w:rsidP="0071403C">
      <w:pPr>
        <w:pStyle w:val="NoSpacing"/>
      </w:pPr>
    </w:p>
    <w:p w14:paraId="62EE1489" w14:textId="77777777" w:rsidR="00574A93" w:rsidRDefault="00BD6455" w:rsidP="00574A93">
      <w:pPr>
        <w:pStyle w:val="NoSpacing"/>
      </w:pPr>
      <w:r>
        <w:t>A</w:t>
      </w:r>
      <w:r w:rsidR="00A20A5D">
        <w:t xml:space="preserve"> different</w:t>
      </w:r>
      <w:r w:rsidR="0071403C">
        <w:t xml:space="preserve"> way of mitigating the </w:t>
      </w:r>
      <w:r w:rsidR="00171603">
        <w:t xml:space="preserve">severity of the narrative is to </w:t>
      </w:r>
      <w:r w:rsidR="005B09CD">
        <w:t>emphasise Isaac’s maturity, and readiness to die</w:t>
      </w:r>
      <w:r w:rsidR="00F953C5">
        <w:t xml:space="preserve">; </w:t>
      </w:r>
      <w:r w:rsidR="00FC12BF">
        <w:t xml:space="preserve">but </w:t>
      </w:r>
      <w:r w:rsidR="00F953C5">
        <w:t>th</w:t>
      </w:r>
      <w:r w:rsidR="00FC12BF">
        <w:t>is</w:t>
      </w:r>
      <w:r w:rsidR="00F953C5">
        <w:t xml:space="preserve"> </w:t>
      </w:r>
      <w:r w:rsidR="00FC12BF">
        <w:t>emphasis</w:t>
      </w:r>
      <w:r w:rsidR="00F953C5">
        <w:t xml:space="preserve"> only repeats</w:t>
      </w:r>
      <w:r w:rsidR="00202DC9">
        <w:t>, in Isaac’s own case,</w:t>
      </w:r>
      <w:r w:rsidR="00F953C5">
        <w:t xml:space="preserve"> </w:t>
      </w:r>
      <w:r w:rsidR="00FC12BF">
        <w:t>Abraham’s irrational</w:t>
      </w:r>
      <w:r w:rsidR="00F953C5">
        <w:t xml:space="preserve"> </w:t>
      </w:r>
      <w:r w:rsidR="00A0745A">
        <w:t xml:space="preserve">readiness to kill him. </w:t>
      </w:r>
    </w:p>
    <w:p w14:paraId="493C5942" w14:textId="77777777" w:rsidR="00574A93" w:rsidRDefault="00574A93" w:rsidP="00574A93">
      <w:pPr>
        <w:pStyle w:val="NoSpacing"/>
      </w:pPr>
    </w:p>
    <w:p w14:paraId="2FCE73FF" w14:textId="77777777" w:rsidR="00FC3FA7" w:rsidRDefault="00A0745A" w:rsidP="00574A93">
      <w:pPr>
        <w:pStyle w:val="NoSpacing"/>
      </w:pPr>
      <w:r>
        <w:t xml:space="preserve">Another </w:t>
      </w:r>
      <w:r w:rsidR="00202DC9">
        <w:t xml:space="preserve">way </w:t>
      </w:r>
      <w:r>
        <w:t xml:space="preserve">is to suggest that Abraham’s faith consists in trusting God to </w:t>
      </w:r>
      <w:r w:rsidRPr="00574A93">
        <w:rPr>
          <w:i/>
          <w:iCs/>
        </w:rPr>
        <w:t>reject</w:t>
      </w:r>
      <w:r>
        <w:t xml:space="preserve"> the sacrifice </w:t>
      </w:r>
      <w:r w:rsidR="00894682">
        <w:t xml:space="preserve">– this is </w:t>
      </w:r>
      <w:r w:rsidR="00B7536A">
        <w:t xml:space="preserve">one </w:t>
      </w:r>
      <w:r w:rsidR="00894682">
        <w:t xml:space="preserve">Talmudic interpretation. The request to kill Isaac is </w:t>
      </w:r>
      <w:r w:rsidR="00574A93">
        <w:t xml:space="preserve">really </w:t>
      </w:r>
      <w:r w:rsidR="00894682">
        <w:t xml:space="preserve">a request for Abraham to </w:t>
      </w:r>
      <w:r w:rsidR="000162AD">
        <w:t xml:space="preserve">give up a possession at least as precious </w:t>
      </w:r>
      <w:r w:rsidR="00A20E4F">
        <w:t xml:space="preserve">as what would be demanded by the most demanding pagan deity. </w:t>
      </w:r>
      <w:r w:rsidR="00D4402D">
        <w:t xml:space="preserve">Child sacrifice was practiced by the Phoenicians, </w:t>
      </w:r>
      <w:r w:rsidR="00D36A4C">
        <w:t>Moabit</w:t>
      </w:r>
      <w:r w:rsidR="00FC3FA7">
        <w:t>e</w:t>
      </w:r>
      <w:r w:rsidR="00D36A4C">
        <w:t>s and Ammonites</w:t>
      </w:r>
      <w:r w:rsidR="000761AA">
        <w:t>.</w:t>
      </w:r>
      <w:r w:rsidR="00D36A4C">
        <w:t xml:space="preserve"> </w:t>
      </w:r>
      <w:r w:rsidR="00974B21">
        <w:t xml:space="preserve">Abraham’s faith in El is a trust that El, in His goodness, will </w:t>
      </w:r>
      <w:r w:rsidR="00974B21">
        <w:rPr>
          <w:i/>
          <w:iCs/>
        </w:rPr>
        <w:t xml:space="preserve">not </w:t>
      </w:r>
      <w:r w:rsidR="00974B21">
        <w:t xml:space="preserve">finally make this demand. </w:t>
      </w:r>
      <w:r w:rsidR="00733FCC">
        <w:t xml:space="preserve">God stops Abraham at the last minute to show him He </w:t>
      </w:r>
      <w:r w:rsidR="00733FCC" w:rsidRPr="00FC3FA7">
        <w:rPr>
          <w:i/>
          <w:iCs/>
        </w:rPr>
        <w:t>wants just as much devotion</w:t>
      </w:r>
      <w:r w:rsidR="00733FCC">
        <w:t xml:space="preserve"> as </w:t>
      </w:r>
      <w:r w:rsidR="00FC3FA7">
        <w:t>any other deity</w:t>
      </w:r>
      <w:r w:rsidR="00733FCC">
        <w:t>,</w:t>
      </w:r>
      <w:r w:rsidR="00B7536A">
        <w:t xml:space="preserve"> but that he </w:t>
      </w:r>
      <w:r w:rsidR="00B7536A" w:rsidRPr="00FC3FA7">
        <w:rPr>
          <w:i/>
          <w:iCs/>
        </w:rPr>
        <w:t xml:space="preserve">rejects </w:t>
      </w:r>
      <w:r w:rsidR="003F33F3">
        <w:t xml:space="preserve">child sacrifice. </w:t>
      </w:r>
    </w:p>
    <w:p w14:paraId="23BF82C2" w14:textId="702E004D" w:rsidR="0071403C" w:rsidRDefault="00FA1AF8" w:rsidP="00574A93">
      <w:pPr>
        <w:pStyle w:val="NoSpacing"/>
      </w:pPr>
      <w:r>
        <w:lastRenderedPageBreak/>
        <w:t xml:space="preserve">The question </w:t>
      </w:r>
      <w:r w:rsidR="00DF25A8">
        <w:t>remains</w:t>
      </w:r>
      <w:r>
        <w:t xml:space="preserve">, however, </w:t>
      </w:r>
      <w:r>
        <w:rPr>
          <w:i/>
          <w:iCs/>
        </w:rPr>
        <w:t xml:space="preserve">why </w:t>
      </w:r>
      <w:r w:rsidR="00DF25A8">
        <w:t xml:space="preserve">a </w:t>
      </w:r>
      <w:r w:rsidR="00DF25A8">
        <w:rPr>
          <w:i/>
          <w:iCs/>
        </w:rPr>
        <w:t>child sacrifice</w:t>
      </w:r>
      <w:r w:rsidR="00DF25A8">
        <w:t xml:space="preserve"> is the proper </w:t>
      </w:r>
      <w:r w:rsidR="00030023">
        <w:t>expression of</w:t>
      </w:r>
      <w:r w:rsidR="00DF25A8">
        <w:t xml:space="preserve"> this devotion;</w:t>
      </w:r>
      <w:r w:rsidR="00030023">
        <w:t xml:space="preserve"> and how God can be both consistent in demanding it in the first </w:t>
      </w:r>
      <w:proofErr w:type="gramStart"/>
      <w:r w:rsidR="00030023">
        <w:t>place, and</w:t>
      </w:r>
      <w:proofErr w:type="gramEnd"/>
      <w:r w:rsidR="00030023">
        <w:t xml:space="preserve"> rejecting it at the last minute.</w:t>
      </w:r>
    </w:p>
    <w:p w14:paraId="09E12596" w14:textId="77777777" w:rsidR="00030023" w:rsidRDefault="00030023" w:rsidP="0071403C">
      <w:pPr>
        <w:pStyle w:val="NoSpacing"/>
      </w:pPr>
    </w:p>
    <w:p w14:paraId="44962394" w14:textId="18979852" w:rsidR="00030023" w:rsidRDefault="00030023" w:rsidP="0071403C">
      <w:pPr>
        <w:pStyle w:val="NoSpacing"/>
      </w:pPr>
      <w:r>
        <w:t xml:space="preserve">Before I attempt to address this riddle, I want to say something about commentary on the </w:t>
      </w:r>
      <w:r>
        <w:rPr>
          <w:i/>
          <w:iCs/>
        </w:rPr>
        <w:t xml:space="preserve">Akedah </w:t>
      </w:r>
      <w:r w:rsidR="00205327">
        <w:t>in the Church Fathers</w:t>
      </w:r>
      <w:r w:rsidR="008F79C1">
        <w:t>. Following a hint in St Paul’s letter to the Romans, they read the binding of Isaac typologically – and much Christian sacrifice has followed suit. It is easy to flesh out the parallels: Isaac and Jesus are</w:t>
      </w:r>
      <w:r w:rsidR="00D402BB">
        <w:t xml:space="preserve"> in the same life stage</w:t>
      </w:r>
      <w:r w:rsidR="008F79C1">
        <w:t xml:space="preserve"> when they climb the hill; the hills are traditionally very close, if not, according to some traditions, </w:t>
      </w:r>
      <w:r w:rsidR="008F79C1">
        <w:rPr>
          <w:i/>
          <w:iCs/>
        </w:rPr>
        <w:t>the same hill</w:t>
      </w:r>
      <w:r w:rsidR="00D402BB">
        <w:t xml:space="preserve">; </w:t>
      </w:r>
      <w:r w:rsidR="00D136D3">
        <w:t xml:space="preserve">Jesus bears a load of wood on his shoulders as he climbs; </w:t>
      </w:r>
      <w:r w:rsidR="00D402BB">
        <w:t xml:space="preserve">Jesus is bidden to </w:t>
      </w:r>
      <w:r w:rsidR="00D136D3">
        <w:t>carry, climb and die by His father</w:t>
      </w:r>
      <w:r w:rsidR="00547616">
        <w:t xml:space="preserve">. </w:t>
      </w:r>
    </w:p>
    <w:p w14:paraId="6A1CF923" w14:textId="77777777" w:rsidR="00547616" w:rsidRDefault="00547616" w:rsidP="0071403C">
      <w:pPr>
        <w:pStyle w:val="NoSpacing"/>
      </w:pPr>
    </w:p>
    <w:p w14:paraId="2017E160" w14:textId="7B008E60" w:rsidR="00547616" w:rsidRDefault="00547616" w:rsidP="0071403C">
      <w:pPr>
        <w:pStyle w:val="NoSpacing"/>
      </w:pPr>
      <w:r>
        <w:t xml:space="preserve">The danger for us is to note these parallels and think they help us explain the passage: that God organized the episode </w:t>
      </w:r>
      <w:proofErr w:type="gramStart"/>
      <w:r>
        <w:t>in order to</w:t>
      </w:r>
      <w:proofErr w:type="gramEnd"/>
      <w:r>
        <w:t xml:space="preserve"> prophecy </w:t>
      </w:r>
      <w:r w:rsidR="00243C16">
        <w:t xml:space="preserve">by </w:t>
      </w:r>
      <w:proofErr w:type="gramStart"/>
      <w:r w:rsidR="00243C16">
        <w:t>type</w:t>
      </w:r>
      <w:r w:rsidR="00EA6773">
        <w:t>, and</w:t>
      </w:r>
      <w:proofErr w:type="gramEnd"/>
      <w:r w:rsidR="00EA6773">
        <w:t xml:space="preserve"> pick out Jesus as the singular seed of Abraham, by similarity to Isaac.</w:t>
      </w:r>
      <w:r w:rsidR="00702B88">
        <w:t xml:space="preserve"> By </w:t>
      </w:r>
      <w:r w:rsidR="00702B88">
        <w:rPr>
          <w:i/>
          <w:iCs/>
        </w:rPr>
        <w:t>type</w:t>
      </w:r>
      <w:r w:rsidR="00702B88">
        <w:t xml:space="preserve">, here, I’m referring to a method of New Testament and Patristic exegesis called </w:t>
      </w:r>
      <w:r w:rsidR="00702B88">
        <w:rPr>
          <w:i/>
          <w:iCs/>
        </w:rPr>
        <w:t>typology</w:t>
      </w:r>
      <w:r w:rsidR="00702B88">
        <w:t xml:space="preserve">. This understands events in the Old Testament which are </w:t>
      </w:r>
      <w:r w:rsidR="00702B88">
        <w:rPr>
          <w:i/>
          <w:iCs/>
        </w:rPr>
        <w:t xml:space="preserve">not </w:t>
      </w:r>
      <w:r w:rsidR="00702B88">
        <w:t xml:space="preserve">prophetic in their authors intention – who may be transcribing a legend or recording history – as a type or </w:t>
      </w:r>
      <w:proofErr w:type="spellStart"/>
      <w:r w:rsidR="00702B88">
        <w:rPr>
          <w:i/>
          <w:iCs/>
        </w:rPr>
        <w:t>tupos</w:t>
      </w:r>
      <w:proofErr w:type="spellEnd"/>
      <w:r w:rsidR="00702B88">
        <w:t xml:space="preserve"> of an event in the New</w:t>
      </w:r>
      <w:r w:rsidR="00F604F3">
        <w:t xml:space="preserve"> Testament</w:t>
      </w:r>
      <w:r w:rsidR="00702B88">
        <w:t xml:space="preserve">, </w:t>
      </w:r>
      <w:r w:rsidR="00F604F3">
        <w:t xml:space="preserve">called </w:t>
      </w:r>
      <w:r w:rsidR="00702B88">
        <w:t xml:space="preserve">the </w:t>
      </w:r>
      <w:r w:rsidR="00702B88">
        <w:rPr>
          <w:i/>
          <w:iCs/>
        </w:rPr>
        <w:t>antitype</w:t>
      </w:r>
      <w:r w:rsidR="00702B88">
        <w:t xml:space="preserve">. </w:t>
      </w:r>
      <w:proofErr w:type="spellStart"/>
      <w:r w:rsidR="00702B88">
        <w:rPr>
          <w:i/>
          <w:iCs/>
        </w:rPr>
        <w:t>Tupos</w:t>
      </w:r>
      <w:proofErr w:type="spellEnd"/>
      <w:r w:rsidR="00702B88">
        <w:rPr>
          <w:i/>
          <w:iCs/>
        </w:rPr>
        <w:t xml:space="preserve"> </w:t>
      </w:r>
      <w:r w:rsidR="00702B88">
        <w:t xml:space="preserve">is the Greek term for the stamp a </w:t>
      </w:r>
      <w:proofErr w:type="spellStart"/>
      <w:r w:rsidR="00702B88">
        <w:t>coinmaker</w:t>
      </w:r>
      <w:proofErr w:type="spellEnd"/>
      <w:r w:rsidR="00702B88">
        <w:t xml:space="preserve"> presses into the metal; </w:t>
      </w:r>
      <w:r w:rsidR="00A25135">
        <w:t xml:space="preserve">the image realised, the antitype; in the metaphor, history itself is the hot metal. </w:t>
      </w:r>
    </w:p>
    <w:p w14:paraId="394C36FA" w14:textId="33C03FD5" w:rsidR="00A25135" w:rsidRDefault="00A25135" w:rsidP="0071403C">
      <w:pPr>
        <w:pStyle w:val="NoSpacing"/>
      </w:pPr>
    </w:p>
    <w:p w14:paraId="7A5C067E" w14:textId="063D83C9" w:rsidR="00E26344" w:rsidRDefault="00A25135" w:rsidP="00E26344">
      <w:pPr>
        <w:pStyle w:val="NoSpacing"/>
      </w:pPr>
      <w:r>
        <w:t xml:space="preserve">Typological </w:t>
      </w:r>
      <w:r w:rsidR="00B406CA">
        <w:t xml:space="preserve">interpretation of the Old Testament can be exciting, and its results a thing to delight in, for appreciating the craft God has put into our salvation. But </w:t>
      </w:r>
      <w:r w:rsidR="00A82217">
        <w:t>it does not help us understand what was meant by the human author of texts in the Hebrew Bible; nor does it often help us understand how Jesus or the other New Testament writers would have understood those texts, except where th</w:t>
      </w:r>
      <w:r w:rsidR="005723E6">
        <w:t xml:space="preserve">ey propose </w:t>
      </w:r>
      <w:r w:rsidR="00C114F2">
        <w:t>such interpretations themselves</w:t>
      </w:r>
      <w:r w:rsidR="00A82217">
        <w:t>. Now, I am assuming</w:t>
      </w:r>
      <w:r w:rsidR="00246C44">
        <w:t xml:space="preserve"> throughout </w:t>
      </w:r>
      <w:r w:rsidR="00A82217">
        <w:t xml:space="preserve">that we should assume Jesus carefully planned the way </w:t>
      </w:r>
      <w:r w:rsidR="00FC4F2C">
        <w:t xml:space="preserve">His life was ended; and </w:t>
      </w:r>
      <w:proofErr w:type="gramStart"/>
      <w:r w:rsidR="00FC4F2C">
        <w:t>so</w:t>
      </w:r>
      <w:proofErr w:type="gramEnd"/>
      <w:r w:rsidR="00FC4F2C">
        <w:t xml:space="preserve"> the parallels between the </w:t>
      </w:r>
      <w:r w:rsidR="00FC4F2C">
        <w:rPr>
          <w:i/>
          <w:iCs/>
        </w:rPr>
        <w:t>Akedah</w:t>
      </w:r>
      <w:r w:rsidR="00FC4F2C">
        <w:t xml:space="preserve"> and His Passion can help us understand His int</w:t>
      </w:r>
      <w:r w:rsidR="00246C44">
        <w:t xml:space="preserve">entions in it. </w:t>
      </w:r>
      <w:r w:rsidR="00041CFB">
        <w:t>Paul clearly understood the intention for Jesus to identify Himself with Isaac</w:t>
      </w:r>
      <w:r w:rsidR="00DC66E8">
        <w:t xml:space="preserve"> – but in what way? We cannot answer that question through typology. We need to understand how an Israelite might have read the </w:t>
      </w:r>
      <w:r w:rsidR="00DC66E8">
        <w:rPr>
          <w:i/>
          <w:iCs/>
        </w:rPr>
        <w:t>Akedah</w:t>
      </w:r>
      <w:r w:rsidR="00DC66E8">
        <w:t xml:space="preserve">; how God and the </w:t>
      </w:r>
      <w:r w:rsidR="00086C26">
        <w:t xml:space="preserve">human authors of Genesis present the narrative to make it clear why God asks for Isaac, and why Abraham agrees. </w:t>
      </w:r>
    </w:p>
    <w:p w14:paraId="2AF33CFD" w14:textId="77777777" w:rsidR="00E26344" w:rsidRDefault="00E26344" w:rsidP="00E26344">
      <w:pPr>
        <w:pStyle w:val="NoSpacing"/>
      </w:pPr>
    </w:p>
    <w:p w14:paraId="2166F4F4" w14:textId="77777777" w:rsidR="00BE673A" w:rsidRDefault="00BE673A">
      <w:pPr>
        <w:rPr>
          <w:kern w:val="0"/>
          <w:szCs w:val="22"/>
          <w14:ligatures w14:val="none"/>
        </w:rPr>
      </w:pPr>
      <w:r>
        <w:br w:type="page"/>
      </w:r>
    </w:p>
    <w:p w14:paraId="5862C36E" w14:textId="2B5F9408" w:rsidR="00E26344" w:rsidRDefault="00086C26" w:rsidP="00E26344">
      <w:pPr>
        <w:pStyle w:val="NoSpacing"/>
      </w:pPr>
      <w:r>
        <w:lastRenderedPageBreak/>
        <w:t>Only if we already understand the purpos</w:t>
      </w:r>
      <w:r w:rsidR="00E26344">
        <w:t xml:space="preserve">e of the </w:t>
      </w:r>
      <w:r w:rsidR="00E26344">
        <w:rPr>
          <w:i/>
          <w:iCs/>
        </w:rPr>
        <w:t>akedah</w:t>
      </w:r>
      <w:r w:rsidR="00E26344">
        <w:t xml:space="preserve">, can we understand what Jesus is trying to say about why He dies. The alternative is that we take our working theory about Jesus’ purposes for His </w:t>
      </w:r>
      <w:proofErr w:type="gramStart"/>
      <w:r w:rsidR="00E26344">
        <w:t>crucifixion, and</w:t>
      </w:r>
      <w:proofErr w:type="gramEnd"/>
      <w:r w:rsidR="00E26344">
        <w:t xml:space="preserve"> then impose </w:t>
      </w:r>
      <w:r w:rsidR="00E26344">
        <w:rPr>
          <w:i/>
          <w:iCs/>
        </w:rPr>
        <w:t xml:space="preserve">them </w:t>
      </w:r>
      <w:r w:rsidR="00E26344">
        <w:t>on Genesis.</w:t>
      </w:r>
      <w:r w:rsidR="009475EE">
        <w:t xml:space="preserve"> We will see that back-to-front habit of </w:t>
      </w:r>
      <w:r w:rsidR="00486680">
        <w:t xml:space="preserve">interpretation </w:t>
      </w:r>
      <w:r w:rsidR="009475EE">
        <w:t xml:space="preserve">all over attempts to </w:t>
      </w:r>
      <w:r w:rsidR="00C87968">
        <w:t>find Biblical support for</w:t>
      </w:r>
      <w:r w:rsidR="009475EE">
        <w:t xml:space="preserve"> the idea that Jesus’ crucifixion is some kind of punishment</w:t>
      </w:r>
      <w:r w:rsidR="00C87968">
        <w:t xml:space="preserve">, and Jesus a substitute for us. In the </w:t>
      </w:r>
      <w:r w:rsidR="00C87968">
        <w:rPr>
          <w:i/>
          <w:iCs/>
        </w:rPr>
        <w:t>Akedah</w:t>
      </w:r>
      <w:r w:rsidR="00C87968">
        <w:t xml:space="preserve">, just as in other </w:t>
      </w:r>
      <w:r w:rsidR="00BE673A">
        <w:t>Israelite sacrifices</w:t>
      </w:r>
      <w:r w:rsidR="00F820E6">
        <w:t xml:space="preserve">, there is no </w:t>
      </w:r>
      <w:r w:rsidR="00BE673A">
        <w:t xml:space="preserve">indication that the victim is being </w:t>
      </w:r>
      <w:r w:rsidR="00BE673A">
        <w:rPr>
          <w:i/>
          <w:iCs/>
        </w:rPr>
        <w:t>punished</w:t>
      </w:r>
      <w:r w:rsidR="00F820E6">
        <w:t>.</w:t>
      </w:r>
      <w:r w:rsidR="00E6581C">
        <w:t xml:space="preserve"> God does not tell Abraham to beat Isaac; neither Abraham nor Isaac nor their clan are </w:t>
      </w:r>
      <w:r w:rsidR="006112A6">
        <w:t>accused of any sin by God</w:t>
      </w:r>
      <w:r w:rsidR="00E6581C">
        <w:t>; and the ram killed in Isaac’s stead is not punished: he is sla</w:t>
      </w:r>
      <w:r w:rsidR="002B2C88">
        <w:t>ughtered normally</w:t>
      </w:r>
      <w:r w:rsidR="000A29E0">
        <w:t>, then burnt whole.</w:t>
      </w:r>
    </w:p>
    <w:p w14:paraId="5F7CF3E6" w14:textId="77777777" w:rsidR="000A29E0" w:rsidRDefault="000A29E0" w:rsidP="00E26344">
      <w:pPr>
        <w:pStyle w:val="NoSpacing"/>
      </w:pPr>
    </w:p>
    <w:p w14:paraId="096C2E7E" w14:textId="125DA3A5" w:rsidR="000A29E0" w:rsidRPr="00035B53" w:rsidRDefault="000A29E0" w:rsidP="00E26344">
      <w:pPr>
        <w:pStyle w:val="NoSpacing"/>
      </w:pPr>
      <w:r>
        <w:t xml:space="preserve">This final fate of the ram is, I argue, the key to understanding the point of the </w:t>
      </w:r>
      <w:r>
        <w:rPr>
          <w:i/>
          <w:iCs/>
        </w:rPr>
        <w:t>Akedah</w:t>
      </w:r>
      <w:r>
        <w:t xml:space="preserve">, and </w:t>
      </w:r>
      <w:r w:rsidR="00D174A1">
        <w:t xml:space="preserve">raises a detail of the passage which is often </w:t>
      </w:r>
      <w:proofErr w:type="gramStart"/>
      <w:r w:rsidR="00D174A1">
        <w:t>overlooked, and</w:t>
      </w:r>
      <w:proofErr w:type="gramEnd"/>
      <w:r w:rsidR="00D174A1">
        <w:t xml:space="preserve"> makes the </w:t>
      </w:r>
      <w:r w:rsidR="00D174A1">
        <w:rPr>
          <w:i/>
          <w:iCs/>
        </w:rPr>
        <w:t xml:space="preserve">Akedah </w:t>
      </w:r>
      <w:r w:rsidR="00D174A1">
        <w:t xml:space="preserve">such a great example to begin </w:t>
      </w:r>
      <w:r w:rsidR="00BD7DB2">
        <w:t>our investigation with.</w:t>
      </w:r>
      <w:r w:rsidR="0071524C">
        <w:t xml:space="preserve"> </w:t>
      </w:r>
      <w:r w:rsidR="0099640F">
        <w:t xml:space="preserve">In the Old Testament we find a range of terms for </w:t>
      </w:r>
      <w:r w:rsidR="005C35D1">
        <w:t xml:space="preserve">different kinds of sacrifice, </w:t>
      </w:r>
      <w:r w:rsidR="009D2A55">
        <w:t>more</w:t>
      </w:r>
      <w:r w:rsidR="005C35D1">
        <w:t xml:space="preserve"> literally </w:t>
      </w:r>
      <w:r w:rsidR="005C35D1">
        <w:rPr>
          <w:i/>
          <w:iCs/>
        </w:rPr>
        <w:t>offering</w:t>
      </w:r>
      <w:r w:rsidR="005C35D1">
        <w:t>, and</w:t>
      </w:r>
      <w:r w:rsidR="0099640F">
        <w:t xml:space="preserve"> each has a term corresponding to its purpose</w:t>
      </w:r>
      <w:r w:rsidR="009D2A55">
        <w:t xml:space="preserve"> in the Israelite’s relationship with God</w:t>
      </w:r>
      <w:r w:rsidR="0099640F">
        <w:t>.</w:t>
      </w:r>
      <w:r w:rsidR="008F579F">
        <w:t xml:space="preserve"> In Genesis 22</w:t>
      </w:r>
      <w:r w:rsidR="00B03BD9">
        <w:t xml:space="preserve"> verse </w:t>
      </w:r>
      <w:r w:rsidR="00157F02">
        <w:t>2</w:t>
      </w:r>
      <w:r w:rsidR="008F579F">
        <w:t xml:space="preserve">, </w:t>
      </w:r>
      <w:r w:rsidR="00B03BD9">
        <w:t>translated as literally as I can</w:t>
      </w:r>
      <w:r w:rsidR="00157F02">
        <w:t xml:space="preserve">, God tells Abraham to </w:t>
      </w:r>
      <w:r w:rsidR="00035B53">
        <w:rPr>
          <w:i/>
          <w:iCs/>
        </w:rPr>
        <w:t xml:space="preserve">offer him </w:t>
      </w:r>
      <w:r w:rsidR="00035B53">
        <w:t xml:space="preserve">as a </w:t>
      </w:r>
      <w:r w:rsidR="00035B53">
        <w:rPr>
          <w:i/>
          <w:iCs/>
        </w:rPr>
        <w:t>burnt offering</w:t>
      </w:r>
      <w:r w:rsidR="00035B53">
        <w:t>.</w:t>
      </w:r>
    </w:p>
    <w:p w14:paraId="2FAE25CA" w14:textId="77777777" w:rsidR="00D36A4C" w:rsidRDefault="00D36A4C" w:rsidP="0071403C">
      <w:pPr>
        <w:pStyle w:val="NoSpacing"/>
      </w:pPr>
    </w:p>
    <w:p w14:paraId="0FA5BDB3" w14:textId="77777777" w:rsidR="002B2C88" w:rsidRDefault="002B2C88">
      <w:pPr>
        <w:rPr>
          <w:kern w:val="0"/>
          <w:szCs w:val="22"/>
          <w14:ligatures w14:val="none"/>
        </w:rPr>
      </w:pPr>
      <w:r>
        <w:br w:type="page"/>
      </w:r>
    </w:p>
    <w:p w14:paraId="733750AE" w14:textId="0CBED2B2" w:rsidR="00BE32A3" w:rsidRDefault="00BE32A3" w:rsidP="0071403C">
      <w:pPr>
        <w:pStyle w:val="NoSpacing"/>
      </w:pPr>
      <w:r>
        <w:lastRenderedPageBreak/>
        <w:t xml:space="preserve">Of course, Abraham </w:t>
      </w:r>
      <w:r>
        <w:rPr>
          <w:i/>
          <w:iCs/>
        </w:rPr>
        <w:t xml:space="preserve">understands </w:t>
      </w:r>
      <w:r>
        <w:t xml:space="preserve">this to mean killing his son and </w:t>
      </w:r>
      <w:r w:rsidR="00D71CE7">
        <w:t xml:space="preserve">burning his whole body on the pyre, without eating any himself. It’s obvious because that’s </w:t>
      </w:r>
      <w:r w:rsidR="00EB38CD">
        <w:t>what people in the Ancient Near East did when they g</w:t>
      </w:r>
      <w:r w:rsidR="00BA0C16">
        <w:t>a</w:t>
      </w:r>
      <w:r w:rsidR="00EB38CD">
        <w:t>ve their sons as gifts to a god.</w:t>
      </w:r>
      <w:r w:rsidR="00601D69">
        <w:t xml:space="preserve"> Indeed, it seems he’s right to understand it this way: </w:t>
      </w:r>
      <w:r w:rsidR="002A342D">
        <w:t>God reacts to the binding of Isaac</w:t>
      </w:r>
      <w:r w:rsidR="009E5D28">
        <w:t xml:space="preserve">, and to Abraham’s drawing the knife, when he intervenes to tell </w:t>
      </w:r>
      <w:proofErr w:type="gramStart"/>
      <w:r w:rsidR="009E5D28">
        <w:t>Abraham</w:t>
      </w:r>
      <w:proofErr w:type="gramEnd"/>
      <w:r w:rsidR="009E5D28">
        <w:t xml:space="preserve"> “because you have not withheld from me your only son”. But</w:t>
      </w:r>
      <w:r w:rsidR="00F47A89">
        <w:t xml:space="preserve"> the binding and killing is only the </w:t>
      </w:r>
      <w:r w:rsidR="00F47A89">
        <w:rPr>
          <w:i/>
          <w:iCs/>
        </w:rPr>
        <w:t>means to an end</w:t>
      </w:r>
      <w:r w:rsidR="00F47A89">
        <w:t xml:space="preserve">: it’s not what God is </w:t>
      </w:r>
      <w:r w:rsidR="00F47A89">
        <w:rPr>
          <w:i/>
          <w:iCs/>
        </w:rPr>
        <w:t xml:space="preserve">after </w:t>
      </w:r>
      <w:r w:rsidR="00F47A89">
        <w:t xml:space="preserve">when he </w:t>
      </w:r>
      <w:r w:rsidR="001E57D1">
        <w:t xml:space="preserve">“tests” Abraham. To understand </w:t>
      </w:r>
      <w:proofErr w:type="gramStart"/>
      <w:r w:rsidR="001E57D1">
        <w:t>that,</w:t>
      </w:r>
      <w:proofErr w:type="gramEnd"/>
      <w:r w:rsidR="001E57D1">
        <w:t xml:space="preserve"> we need to understand what is meant by a </w:t>
      </w:r>
      <w:r w:rsidR="001E57D1">
        <w:rPr>
          <w:i/>
          <w:iCs/>
        </w:rPr>
        <w:t>burnt offering</w:t>
      </w:r>
      <w:r w:rsidR="001E57D1">
        <w:t xml:space="preserve">, in Hebrew an </w:t>
      </w:r>
      <w:proofErr w:type="spellStart"/>
      <w:r w:rsidR="001E57D1">
        <w:rPr>
          <w:i/>
          <w:iCs/>
        </w:rPr>
        <w:t>olah</w:t>
      </w:r>
      <w:proofErr w:type="spellEnd"/>
      <w:r w:rsidR="001E57D1">
        <w:t>.</w:t>
      </w:r>
    </w:p>
    <w:p w14:paraId="2E5E8801" w14:textId="77777777" w:rsidR="00A077B1" w:rsidRDefault="00A077B1" w:rsidP="0071403C">
      <w:pPr>
        <w:pStyle w:val="NoSpacing"/>
      </w:pPr>
    </w:p>
    <w:p w14:paraId="4538E9CA" w14:textId="17451A21" w:rsidR="007A553C" w:rsidRDefault="00A077B1" w:rsidP="001F5494">
      <w:pPr>
        <w:pStyle w:val="NoSpacing"/>
      </w:pPr>
      <w:r>
        <w:t xml:space="preserve">Helpfully, </w:t>
      </w:r>
      <w:r w:rsidR="00462BEE">
        <w:t>Leviticus</w:t>
      </w:r>
      <w:r>
        <w:t xml:space="preserve"> presents us with a catalogue of different rituals we can call “sacrifice” because they involve setting consumables apart for </w:t>
      </w:r>
      <w:proofErr w:type="gramStart"/>
      <w:r>
        <w:t>God, and</w:t>
      </w:r>
      <w:proofErr w:type="gramEnd"/>
      <w:r>
        <w:t xml:space="preserve"> destroying them</w:t>
      </w:r>
      <w:r w:rsidR="004F5E4D">
        <w:t>.</w:t>
      </w:r>
      <w:r w:rsidR="00765EA5">
        <w:t xml:space="preserve"> Less helpfully, it says very little about the purpose of each ritual. </w:t>
      </w:r>
      <w:proofErr w:type="gramStart"/>
      <w:r w:rsidR="00765EA5">
        <w:t>So</w:t>
      </w:r>
      <w:proofErr w:type="gramEnd"/>
      <w:r w:rsidR="00765EA5">
        <w:t xml:space="preserve"> we </w:t>
      </w:r>
      <w:proofErr w:type="gramStart"/>
      <w:r w:rsidR="00765EA5">
        <w:t>have to</w:t>
      </w:r>
      <w:proofErr w:type="gramEnd"/>
      <w:r w:rsidR="00765EA5">
        <w:t xml:space="preserve"> glean that by comparing </w:t>
      </w:r>
      <w:r w:rsidR="00165E06">
        <w:t>them</w:t>
      </w:r>
      <w:r w:rsidR="00765EA5">
        <w:t xml:space="preserve"> with </w:t>
      </w:r>
      <w:r w:rsidR="00165E06">
        <w:t xml:space="preserve">each </w:t>
      </w:r>
      <w:r w:rsidR="00765EA5">
        <w:t>other,</w:t>
      </w:r>
      <w:r w:rsidR="000573A4">
        <w:t xml:space="preserve"> with rituals Israelites might have been familiar with from their neighbours,</w:t>
      </w:r>
      <w:r w:rsidR="00165E06">
        <w:t xml:space="preserve"> and with hints elsewhere in Scripture. The </w:t>
      </w:r>
      <w:proofErr w:type="spellStart"/>
      <w:r w:rsidR="0077532B">
        <w:rPr>
          <w:i/>
          <w:iCs/>
        </w:rPr>
        <w:t>olah</w:t>
      </w:r>
      <w:proofErr w:type="spellEnd"/>
      <w:r w:rsidR="0077532B">
        <w:rPr>
          <w:i/>
          <w:iCs/>
        </w:rPr>
        <w:t xml:space="preserve"> </w:t>
      </w:r>
      <w:r w:rsidR="0077532B">
        <w:t xml:space="preserve">ritual has </w:t>
      </w:r>
      <w:r w:rsidR="0013174B">
        <w:t>some distinctive features: firstly, the anima</w:t>
      </w:r>
      <w:r w:rsidR="00840D44">
        <w:t>l must be the best the worshiper can find and afford – if they can afford livestock, it must be unblemished. Secondly, unlike many other animal sacrifices, the entire body</w:t>
      </w:r>
      <w:r w:rsidR="005D1CF7">
        <w:t xml:space="preserve"> is burnt up. None of the meat is eaten by the priest or worshiper.</w:t>
      </w:r>
      <w:r w:rsidR="00871E16">
        <w:rPr>
          <w:rStyle w:val="FootnoteReference"/>
        </w:rPr>
        <w:footnoteReference w:id="2"/>
      </w:r>
      <w:r w:rsidR="00046F7B">
        <w:t xml:space="preserve"> </w:t>
      </w:r>
      <w:r w:rsidR="00AA2306">
        <w:t xml:space="preserve">A burnt offering is made on two occasions </w:t>
      </w:r>
      <w:r w:rsidR="00914FD7">
        <w:t>–</w:t>
      </w:r>
      <w:r w:rsidR="00AA2306">
        <w:t xml:space="preserve"> </w:t>
      </w:r>
      <w:r w:rsidR="00914FD7">
        <w:t xml:space="preserve">on the one hand, </w:t>
      </w:r>
      <w:r w:rsidR="00B96CB3">
        <w:t>by</w:t>
      </w:r>
      <w:r w:rsidR="00914FD7">
        <w:t xml:space="preserve"> any Israelite</w:t>
      </w:r>
      <w:r w:rsidR="00B96CB3">
        <w:t xml:space="preserve"> when they choose</w:t>
      </w:r>
      <w:r w:rsidR="00914FD7">
        <w:t>, for a range of different reasons</w:t>
      </w:r>
      <w:r w:rsidR="00C2244F">
        <w:t xml:space="preserve">: to beg for </w:t>
      </w:r>
      <w:r w:rsidR="00E4122D">
        <w:t>help, or to repent of a sin one knew about – we don’t have a list of the</w:t>
      </w:r>
      <w:r w:rsidR="0009065D">
        <w:t xml:space="preserve"> types of</w:t>
      </w:r>
      <w:r w:rsidR="00E4122D">
        <w:t xml:space="preserve"> sins a burnt offering </w:t>
      </w:r>
      <w:r w:rsidR="0009065D">
        <w:t xml:space="preserve">was thought to suffice for – or just </w:t>
      </w:r>
      <w:r w:rsidR="003A491B">
        <w:t xml:space="preserve">as a “freewill offering”, that is, ‘just to say I love you’ to God. The second occasion is </w:t>
      </w:r>
      <w:r w:rsidR="007E608D">
        <w:lastRenderedPageBreak/>
        <w:t xml:space="preserve">mandatory: the priests had to offer </w:t>
      </w:r>
      <w:r w:rsidR="003A491B">
        <w:t xml:space="preserve">a lamb or kid every morning and evening – </w:t>
      </w:r>
      <w:r w:rsidR="007711A0">
        <w:t>practically</w:t>
      </w:r>
      <w:r w:rsidR="003A491B">
        <w:t xml:space="preserve">, this meant there was </w:t>
      </w:r>
      <w:r w:rsidR="003A491B">
        <w:rPr>
          <w:i/>
          <w:iCs/>
        </w:rPr>
        <w:t>always</w:t>
      </w:r>
      <w:r w:rsidR="003A491B">
        <w:t xml:space="preserve"> an animal on the altar</w:t>
      </w:r>
      <w:r w:rsidR="00915FD2">
        <w:t>,</w:t>
      </w:r>
      <w:r w:rsidR="00B661CB">
        <w:t xml:space="preserve"> burning away</w:t>
      </w:r>
      <w:r w:rsidR="00915FD2">
        <w:t xml:space="preserve"> day and night</w:t>
      </w:r>
      <w:r w:rsidR="00B661CB">
        <w:t>.</w:t>
      </w:r>
    </w:p>
    <w:p w14:paraId="1A961F07" w14:textId="77777777" w:rsidR="001F5494" w:rsidRDefault="001F5494" w:rsidP="007A553C">
      <w:pPr>
        <w:pStyle w:val="NoSpacing"/>
      </w:pPr>
    </w:p>
    <w:p w14:paraId="4A7D643E" w14:textId="567FB670" w:rsidR="00BA1469" w:rsidRDefault="00452081" w:rsidP="007A553C">
      <w:pPr>
        <w:pStyle w:val="NoSpacing"/>
      </w:pPr>
      <w:r>
        <w:t>The</w:t>
      </w:r>
      <w:r w:rsidR="00796DB0">
        <w:t xml:space="preserve"> first</w:t>
      </w:r>
      <w:r>
        <w:t xml:space="preserve"> occasion</w:t>
      </w:r>
      <w:r w:rsidR="00796DB0">
        <w:t>, or range of occasions,</w:t>
      </w:r>
      <w:r>
        <w:t xml:space="preserve"> make</w:t>
      </w:r>
      <w:r w:rsidR="00796DB0">
        <w:t>s</w:t>
      </w:r>
      <w:r>
        <w:t xml:space="preserve"> clear the purpose of a</w:t>
      </w:r>
      <w:r w:rsidR="00D856F1">
        <w:t xml:space="preserve"> burnt offering: that it is, fundamentally, a gift. A</w:t>
      </w:r>
      <w:r w:rsidR="00786F58">
        <w:t xml:space="preserve">nd we give gifts for a range of reasons. </w:t>
      </w:r>
      <w:r w:rsidR="00E31E68">
        <w:t xml:space="preserve">Gifts are not </w:t>
      </w:r>
      <w:r w:rsidR="00E31E68">
        <w:rPr>
          <w:i/>
          <w:iCs/>
        </w:rPr>
        <w:t>symbols</w:t>
      </w:r>
      <w:r w:rsidR="00E31E68">
        <w:t xml:space="preserve"> of the action we perform by giving them. They are </w:t>
      </w:r>
      <w:r w:rsidR="00E31E68">
        <w:rPr>
          <w:i/>
          <w:iCs/>
        </w:rPr>
        <w:t xml:space="preserve">essential </w:t>
      </w:r>
      <w:r w:rsidR="00E31E68">
        <w:t xml:space="preserve">to the action. </w:t>
      </w:r>
      <w:r w:rsidR="000C6EE8">
        <w:t xml:space="preserve">The second occasion </w:t>
      </w:r>
      <w:r w:rsidR="00046843">
        <w:t xml:space="preserve">suggests an explanation of the </w:t>
      </w:r>
      <w:r w:rsidR="00916535">
        <w:t xml:space="preserve">distinctive details of the </w:t>
      </w:r>
      <w:proofErr w:type="spellStart"/>
      <w:r w:rsidR="00916535">
        <w:rPr>
          <w:i/>
          <w:iCs/>
        </w:rPr>
        <w:t>olah</w:t>
      </w:r>
      <w:proofErr w:type="spellEnd"/>
      <w:r w:rsidR="00916535">
        <w:t>, but also of God’s request of Isaac in the</w:t>
      </w:r>
      <w:r w:rsidR="00916535">
        <w:rPr>
          <w:i/>
          <w:iCs/>
        </w:rPr>
        <w:t xml:space="preserve"> </w:t>
      </w:r>
      <w:r w:rsidR="00046843">
        <w:rPr>
          <w:i/>
          <w:iCs/>
        </w:rPr>
        <w:t xml:space="preserve">Akedah </w:t>
      </w:r>
      <w:r w:rsidR="00046843">
        <w:t>– and, in turn, of one of the roles of the Crucifixion in reconciling humanity to God.</w:t>
      </w:r>
      <w:r w:rsidR="00916535">
        <w:t xml:space="preserve"> Why would there need to be a burnt offering being constantly offered?</w:t>
      </w:r>
      <w:r w:rsidR="00A44116">
        <w:t xml:space="preserve"> Because our right relationship to God is such that we have every reason to give Him a gift</w:t>
      </w:r>
      <w:r w:rsidR="00753F05">
        <w:t>,</w:t>
      </w:r>
      <w:r w:rsidR="00A44116">
        <w:t xml:space="preserve"> </w:t>
      </w:r>
      <w:proofErr w:type="gramStart"/>
      <w:r w:rsidR="00A44116">
        <w:t>at all times</w:t>
      </w:r>
      <w:proofErr w:type="gramEnd"/>
      <w:r w:rsidR="00A44116">
        <w:t xml:space="preserve"> – everything we hope for </w:t>
      </w:r>
      <w:r w:rsidR="00E714D7">
        <w:t xml:space="preserve">will come from Him, and we can never trade or bargain; </w:t>
      </w:r>
      <w:proofErr w:type="gramStart"/>
      <w:r w:rsidR="00E714D7">
        <w:t>so</w:t>
      </w:r>
      <w:proofErr w:type="gramEnd"/>
      <w:r w:rsidR="00E714D7">
        <w:t xml:space="preserve"> we are always in a state of begging. Everything we have is </w:t>
      </w:r>
      <w:r w:rsidR="00E26EEA">
        <w:t xml:space="preserve">given by Him, so we always owe gratitude. And the loyalty and obedience we owe Him is absolute, so that if we can </w:t>
      </w:r>
      <w:r w:rsidR="00A976F4">
        <w:t>express sufficient contrition</w:t>
      </w:r>
      <w:r w:rsidR="00E26EEA">
        <w:t xml:space="preserve"> thro</w:t>
      </w:r>
      <w:r w:rsidR="00774243">
        <w:t>ugh giving</w:t>
      </w:r>
      <w:r w:rsidR="00E26EEA">
        <w:t xml:space="preserve"> a heartfelt, penitent gift, we should try.</w:t>
      </w:r>
      <w:r w:rsidR="003A2CE6">
        <w:t xml:space="preserve"> A gift can be a simple expression of love; God is worthy of the limit case of our love, that is, </w:t>
      </w:r>
      <w:r w:rsidR="003A2CE6">
        <w:rPr>
          <w:i/>
          <w:iCs/>
        </w:rPr>
        <w:t>worship</w:t>
      </w:r>
      <w:r w:rsidR="003A2CE6">
        <w:t>.</w:t>
      </w:r>
      <w:r w:rsidR="00C42B77">
        <w:t xml:space="preserve"> </w:t>
      </w:r>
      <w:r w:rsidR="003666E3">
        <w:t xml:space="preserve">In </w:t>
      </w:r>
      <w:r w:rsidR="005F2191">
        <w:t xml:space="preserve">other words, the facts about the difference between God and us, and what God is to us, mean that </w:t>
      </w:r>
      <w:r w:rsidR="008835BA">
        <w:t>a right relationship between</w:t>
      </w:r>
      <w:r w:rsidR="003666E3">
        <w:t xml:space="preserve"> us and God involves us giving the best we can give, as far as we can</w:t>
      </w:r>
      <w:r w:rsidR="005F3FFD">
        <w:t xml:space="preserve"> – the unblemished lamb, the firstborn son – a</w:t>
      </w:r>
      <w:r w:rsidR="00FF45B5">
        <w:t>nd giving it over completely, laying it on the altar to go up entirely in smoke, without remainder.</w:t>
      </w:r>
      <w:r w:rsidR="00915FD2">
        <w:t xml:space="preserve"> Whatever we give God, we cannot give </w:t>
      </w:r>
      <w:r w:rsidR="00915FD2">
        <w:rPr>
          <w:i/>
          <w:iCs/>
        </w:rPr>
        <w:t xml:space="preserve">enough </w:t>
      </w:r>
      <w:r w:rsidR="00915FD2">
        <w:t xml:space="preserve">to </w:t>
      </w:r>
      <w:r w:rsidR="00915FD2">
        <w:lastRenderedPageBreak/>
        <w:t xml:space="preserve">meet a </w:t>
      </w:r>
      <w:r w:rsidR="00915FD2">
        <w:rPr>
          <w:i/>
          <w:iCs/>
        </w:rPr>
        <w:t>debt</w:t>
      </w:r>
      <w:r w:rsidR="00915FD2">
        <w:t xml:space="preserve">; we can only give our </w:t>
      </w:r>
      <w:r w:rsidR="00915FD2">
        <w:rPr>
          <w:i/>
          <w:iCs/>
        </w:rPr>
        <w:t>best</w:t>
      </w:r>
      <w:r w:rsidR="00915FD2">
        <w:t xml:space="preserve">, as </w:t>
      </w:r>
      <w:r w:rsidR="00915FD2">
        <w:rPr>
          <w:i/>
          <w:iCs/>
        </w:rPr>
        <w:t>best we can</w:t>
      </w:r>
      <w:r w:rsidR="00915FD2">
        <w:t xml:space="preserve">. In the end, even that is only </w:t>
      </w:r>
      <w:r w:rsidR="001C0764">
        <w:t>one tiny piece returned from all that God has given us.</w:t>
      </w:r>
    </w:p>
    <w:p w14:paraId="0A59DD54" w14:textId="77777777" w:rsidR="00782215" w:rsidRDefault="00782215" w:rsidP="0071403C">
      <w:pPr>
        <w:pStyle w:val="NoSpacing"/>
      </w:pPr>
    </w:p>
    <w:p w14:paraId="1F77B981" w14:textId="58E9B6F6" w:rsidR="00C21398" w:rsidRDefault="001C0764" w:rsidP="0071403C">
      <w:pPr>
        <w:pStyle w:val="NoSpacing"/>
      </w:pPr>
      <w:r>
        <w:t xml:space="preserve">There is evidence </w:t>
      </w:r>
      <w:r w:rsidR="00482335">
        <w:t xml:space="preserve">in the narrative context of the </w:t>
      </w:r>
      <w:r w:rsidR="00482335">
        <w:rPr>
          <w:i/>
          <w:iCs/>
        </w:rPr>
        <w:t>Akedah</w:t>
      </w:r>
      <w:r w:rsidR="00482335">
        <w:t xml:space="preserve"> that we should understand Abraham’s sacrifice in this way – that is, as a trial not of </w:t>
      </w:r>
      <w:r w:rsidR="00456738">
        <w:t>irrational obedience, or terror of an invisible monster, or selfish willingness to trade a child’s life for future victories in battle – but as a</w:t>
      </w:r>
      <w:r w:rsidR="00EA0405">
        <w:t xml:space="preserve">n absolute gift of love, doing any or all of the things we must give gifts to do, in a loving relationship. </w:t>
      </w:r>
      <w:r w:rsidR="004C2DA1">
        <w:t xml:space="preserve">It is not a test for God to </w:t>
      </w:r>
      <w:r w:rsidR="004C2DA1">
        <w:rPr>
          <w:i/>
          <w:iCs/>
        </w:rPr>
        <w:t xml:space="preserve">find </w:t>
      </w:r>
      <w:r w:rsidR="004C2DA1" w:rsidRPr="004C2DA1">
        <w:rPr>
          <w:i/>
          <w:iCs/>
        </w:rPr>
        <w:t>out</w:t>
      </w:r>
      <w:r w:rsidR="004C2DA1">
        <w:t xml:space="preserve"> what Abraham is like, but a trial </w:t>
      </w:r>
      <w:r w:rsidR="00951F5C">
        <w:t xml:space="preserve">for </w:t>
      </w:r>
      <w:r w:rsidR="00951F5C">
        <w:rPr>
          <w:i/>
          <w:iCs/>
        </w:rPr>
        <w:t xml:space="preserve">Abraham to find out, and become in its taking, </w:t>
      </w:r>
      <w:r w:rsidR="0091069B">
        <w:t>an adequate lover of God.</w:t>
      </w:r>
      <w:r w:rsidR="004C2DA1">
        <w:t xml:space="preserve"> </w:t>
      </w:r>
      <w:r w:rsidR="00EA0405" w:rsidRPr="004C2DA1">
        <w:t>Throughout</w:t>
      </w:r>
      <w:r w:rsidR="00EA0405">
        <w:t xml:space="preserve"> the narrative, Abraham is required to give up </w:t>
      </w:r>
      <w:proofErr w:type="gramStart"/>
      <w:r w:rsidR="00EA0405">
        <w:t>more and more</w:t>
      </w:r>
      <w:proofErr w:type="gramEnd"/>
      <w:r w:rsidR="00BA1469">
        <w:t xml:space="preserve"> to grow closer to God: first his home, and the social place it means; then, from his own wealth, as he sacrifices livestock; then, from his own flesh, as he is circumcised</w:t>
      </w:r>
      <w:r w:rsidR="00082D0D">
        <w:t xml:space="preserve">. Isaac, his long-awaited heir, is </w:t>
      </w:r>
      <w:r w:rsidR="00C21398">
        <w:t xml:space="preserve">himself the top of a mountain of giving Abraham has climbed. Understanding </w:t>
      </w:r>
      <w:r w:rsidR="00610D3D">
        <w:t>this allows us to interpret properly God’s saying that “</w:t>
      </w:r>
      <w:r w:rsidR="0023703E">
        <w:t xml:space="preserve">now I know that you </w:t>
      </w:r>
      <w:r w:rsidR="0023703E">
        <w:rPr>
          <w:i/>
          <w:iCs/>
        </w:rPr>
        <w:t xml:space="preserve">fear </w:t>
      </w:r>
      <w:r w:rsidR="0023703E">
        <w:t xml:space="preserve">God, seeing you have not withheld your son, your only son from me.” We are to read </w:t>
      </w:r>
      <w:r w:rsidR="0023703E">
        <w:rPr>
          <w:i/>
          <w:iCs/>
        </w:rPr>
        <w:t xml:space="preserve">fear </w:t>
      </w:r>
      <w:r w:rsidR="0023703E">
        <w:t xml:space="preserve">here as the word that expresses the absolute devotion </w:t>
      </w:r>
      <w:r w:rsidR="00CE0E06">
        <w:t>God deserves from us.</w:t>
      </w:r>
      <w:r w:rsidR="00805E7C">
        <w:t xml:space="preserve"> It also allows us to understand how God can be both consistent in asking for </w:t>
      </w:r>
      <w:proofErr w:type="gramStart"/>
      <w:r w:rsidR="00805E7C">
        <w:t>Isaac, and</w:t>
      </w:r>
      <w:proofErr w:type="gramEnd"/>
      <w:r w:rsidR="00805E7C">
        <w:t xml:space="preserve"> rejecting his killing. </w:t>
      </w:r>
      <w:r w:rsidR="00F60BB2">
        <w:t xml:space="preserve">What God </w:t>
      </w:r>
      <w:r w:rsidR="00F60BB2">
        <w:rPr>
          <w:i/>
          <w:iCs/>
        </w:rPr>
        <w:t xml:space="preserve">literally asks for </w:t>
      </w:r>
      <w:r w:rsidR="00F60BB2">
        <w:t xml:space="preserve">is </w:t>
      </w:r>
      <w:r w:rsidR="00B966C5">
        <w:t>this: “</w:t>
      </w:r>
      <w:r w:rsidR="00A6231E" w:rsidRPr="00A6231E">
        <w:t xml:space="preserve">Take your son, your only son, whom you love—Isaac—and go to the region of Moriah. </w:t>
      </w:r>
      <w:r w:rsidR="00A6231E">
        <w:rPr>
          <w:i/>
          <w:iCs/>
        </w:rPr>
        <w:t>Offer</w:t>
      </w:r>
      <w:r w:rsidR="00A6231E" w:rsidRPr="00A6231E">
        <w:t xml:space="preserve"> him there as a burnt offering on a mountain I will show you.</w:t>
      </w:r>
      <w:r w:rsidR="00A6231E">
        <w:t xml:space="preserve">” Many English translations just take the term </w:t>
      </w:r>
      <w:r w:rsidR="00A6231E">
        <w:rPr>
          <w:i/>
          <w:iCs/>
        </w:rPr>
        <w:t>offer</w:t>
      </w:r>
      <w:r w:rsidR="00A6231E">
        <w:t xml:space="preserve"> and interpret it with reference to the </w:t>
      </w:r>
      <w:proofErr w:type="spellStart"/>
      <w:r w:rsidR="00A6231E">
        <w:rPr>
          <w:i/>
          <w:iCs/>
        </w:rPr>
        <w:t>olah</w:t>
      </w:r>
      <w:proofErr w:type="spellEnd"/>
      <w:r w:rsidR="00A6231E">
        <w:t xml:space="preserve"> ritual, so giving us “sacrifice him there”. </w:t>
      </w:r>
      <w:r w:rsidR="00D87F2C">
        <w:t xml:space="preserve">And God knows this is how Abraham will understand it, since in the </w:t>
      </w:r>
      <w:r w:rsidR="00D87F2C">
        <w:lastRenderedPageBreak/>
        <w:t xml:space="preserve">surrounding culture child sacrifice is normal – in fact, it’s the highest form of sacrifice, which shows to </w:t>
      </w:r>
      <w:r w:rsidR="00FB0301">
        <w:t>spirits the most fear, the most need, the most gratitude. God cannot explicitly ask for less, while still asking Abraham for the kind of gift Abraham needs to be ready to give.</w:t>
      </w:r>
      <w:r w:rsidR="00957AF3">
        <w:t xml:space="preserve"> But </w:t>
      </w:r>
      <w:r w:rsidR="00FC6107">
        <w:t>God</w:t>
      </w:r>
      <w:r w:rsidR="00957AF3">
        <w:t xml:space="preserve"> can wait until Abraham has fully committed, has expressed and developed his </w:t>
      </w:r>
      <w:r w:rsidR="00FC6107">
        <w:t xml:space="preserve">devotion, before teaching him that God is faithful to His promises, and faithful to </w:t>
      </w:r>
      <w:r w:rsidR="00171FC8">
        <w:t>His own expressed will for humans</w:t>
      </w:r>
      <w:r w:rsidR="00A72CAF">
        <w:t>’</w:t>
      </w:r>
      <w:r w:rsidR="00866819">
        <w:t xml:space="preserve"> dignity</w:t>
      </w:r>
      <w:r w:rsidR="00171FC8">
        <w:t>. Remember that in Genesis 9, God has told Noah that</w:t>
      </w:r>
      <w:r w:rsidR="00866819">
        <w:t xml:space="preserve"> He has created humans with such a dignity that</w:t>
      </w:r>
      <w:r w:rsidR="00171FC8">
        <w:t xml:space="preserve"> </w:t>
      </w:r>
      <w:r w:rsidR="00866819">
        <w:t>anyone who sheds human blood must have his blood shed in turn.</w:t>
      </w:r>
    </w:p>
    <w:p w14:paraId="53AD0189" w14:textId="77777777" w:rsidR="00824059" w:rsidRDefault="00824059" w:rsidP="0071403C">
      <w:pPr>
        <w:pStyle w:val="NoSpacing"/>
      </w:pPr>
    </w:p>
    <w:p w14:paraId="7D546C40" w14:textId="77777777" w:rsidR="003A54F3" w:rsidRDefault="00824059" w:rsidP="0071403C">
      <w:pPr>
        <w:pStyle w:val="NoSpacing"/>
      </w:pPr>
      <w:r>
        <w:t xml:space="preserve">The last issue I need to discuss is how understanding the </w:t>
      </w:r>
      <w:r>
        <w:rPr>
          <w:i/>
          <w:iCs/>
        </w:rPr>
        <w:t>Akedah</w:t>
      </w:r>
      <w:r>
        <w:t xml:space="preserve"> can then help us understand Jesus’ sacrifice on the cross. Jesus identifies Himself with Isaac by </w:t>
      </w:r>
      <w:r w:rsidR="00831CE0">
        <w:t>arranging to carry his own pile of wood up a mountain in the region of Moriah</w:t>
      </w:r>
      <w:r w:rsidR="00FD7933">
        <w:t>: the wood on which he will go up. The sacrifice of the Cross is the only way humanity can give a total gift good enough for God: by giving God Himself.</w:t>
      </w:r>
      <w:r w:rsidR="00CF7180">
        <w:t xml:space="preserve"> Consider this: </w:t>
      </w:r>
      <w:r w:rsidR="00CF7180">
        <w:rPr>
          <w:i/>
          <w:iCs/>
        </w:rPr>
        <w:t>even if</w:t>
      </w:r>
      <w:r w:rsidR="00CF7180">
        <w:t xml:space="preserve"> Adam had never sinned, it would </w:t>
      </w:r>
      <w:r w:rsidR="00CF7180">
        <w:rPr>
          <w:i/>
          <w:iCs/>
        </w:rPr>
        <w:t xml:space="preserve">still </w:t>
      </w:r>
      <w:r w:rsidR="00CF7180">
        <w:t xml:space="preserve">be appropriate for Adam to give God such a gift. We might not talk of </w:t>
      </w:r>
      <w:r w:rsidR="00CF7180">
        <w:rPr>
          <w:i/>
          <w:iCs/>
        </w:rPr>
        <w:t>owing</w:t>
      </w:r>
      <w:r w:rsidR="00CF7180">
        <w:t xml:space="preserve"> someone a </w:t>
      </w:r>
      <w:r w:rsidR="00481001">
        <w:t xml:space="preserve">gift when they are expressing gratitude, or praise; but it is still </w:t>
      </w:r>
      <w:r w:rsidR="003A54F3">
        <w:rPr>
          <w:i/>
          <w:iCs/>
        </w:rPr>
        <w:t>right and just</w:t>
      </w:r>
      <w:r w:rsidR="00481001">
        <w:rPr>
          <w:i/>
          <w:iCs/>
        </w:rPr>
        <w:t xml:space="preserve"> </w:t>
      </w:r>
      <w:r w:rsidR="003A54F3">
        <w:t xml:space="preserve">to give it. </w:t>
      </w:r>
    </w:p>
    <w:p w14:paraId="1832A3F6" w14:textId="77777777" w:rsidR="003A54F3" w:rsidRDefault="003A54F3" w:rsidP="0071403C">
      <w:pPr>
        <w:pStyle w:val="NoSpacing"/>
      </w:pPr>
    </w:p>
    <w:p w14:paraId="166296AA" w14:textId="41FC5ADF" w:rsidR="00824059" w:rsidRPr="003A54F3" w:rsidRDefault="003A54F3" w:rsidP="0071403C">
      <w:pPr>
        <w:pStyle w:val="NoSpacing"/>
      </w:pPr>
      <w:r>
        <w:t xml:space="preserve">But there are, of course, some important differences between the Crucifixion and a burnt offering ritual. </w:t>
      </w:r>
      <w:r w:rsidR="00553E86">
        <w:t xml:space="preserve">Pointing out these crucial differences paves the way for the next </w:t>
      </w:r>
      <w:r w:rsidR="00BB2F72">
        <w:t xml:space="preserve">week’s lecture, on the Passover. </w:t>
      </w:r>
      <w:r w:rsidR="007E10C7">
        <w:t>Jesus goes up on the cross, but it will take him another 42 days to take his life and body up to heaven in smoke</w:t>
      </w:r>
      <w:r w:rsidR="00721D1B">
        <w:t xml:space="preserve">. Perhaps his suffering on the way to the Cross is His way of showing He is giving over </w:t>
      </w:r>
      <w:r w:rsidR="00721D1B">
        <w:lastRenderedPageBreak/>
        <w:t xml:space="preserve">everything about His humanity – all His human desires for comfort and dignity – even though He cannot make </w:t>
      </w:r>
      <w:r w:rsidR="00602C34">
        <w:t xml:space="preserve">it more obvious that He is giving Himself as a burnt offering by having His body burnt on the altar outside the Temple. </w:t>
      </w:r>
      <w:r w:rsidR="009D650C">
        <w:t xml:space="preserve">His blood, too, is not splashed against the altar of the Temple – it goes straight on the rock of Moriah – and to two other places: </w:t>
      </w:r>
      <w:r w:rsidR="00553E86">
        <w:t>up to the heavenly Temple, and into the gullets of the faithful. One final,</w:t>
      </w:r>
      <w:r w:rsidR="00BB2F72">
        <w:t xml:space="preserve"> crucial difference: Jesus’ life, body and blood are a gift for all of us to give. But none of us could bring Him to the mountain like Isaac, or the Temple like an Israelite</w:t>
      </w:r>
      <w:r w:rsidR="00760243">
        <w:t xml:space="preserve">. </w:t>
      </w:r>
      <w:proofErr w:type="gramStart"/>
      <w:r w:rsidR="00760243">
        <w:t>So</w:t>
      </w:r>
      <w:proofErr w:type="gramEnd"/>
      <w:r w:rsidR="00760243">
        <w:t xml:space="preserve"> He needs to implement a way for all of us to share in</w:t>
      </w:r>
      <w:r w:rsidR="008D09FF">
        <w:t xml:space="preserve"> His act of giving</w:t>
      </w:r>
      <w:r w:rsidR="00760243">
        <w:t>.</w:t>
      </w:r>
      <w:r w:rsidR="00D230A9">
        <w:t xml:space="preserve"> The antecedent of the Passover is going to allow Jesus to design a mechanism for this His immediate audience would have understood.</w:t>
      </w:r>
    </w:p>
    <w:p w14:paraId="5F9BAF08" w14:textId="0EE38653" w:rsidR="008341A3" w:rsidRDefault="008341A3" w:rsidP="003436AD"/>
    <w:sectPr w:rsidR="008341A3" w:rsidSect="00D53D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91BE" w14:textId="77777777" w:rsidR="006963A3" w:rsidRDefault="006963A3" w:rsidP="00B66B1D">
      <w:pPr>
        <w:spacing w:after="0" w:line="240" w:lineRule="auto"/>
      </w:pPr>
      <w:r>
        <w:separator/>
      </w:r>
    </w:p>
  </w:endnote>
  <w:endnote w:type="continuationSeparator" w:id="0">
    <w:p w14:paraId="04615E15" w14:textId="77777777" w:rsidR="006963A3" w:rsidRDefault="006963A3" w:rsidP="00B6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744E" w14:textId="77777777" w:rsidR="006963A3" w:rsidRDefault="006963A3" w:rsidP="00B66B1D">
      <w:pPr>
        <w:spacing w:after="0" w:line="240" w:lineRule="auto"/>
      </w:pPr>
      <w:r>
        <w:separator/>
      </w:r>
    </w:p>
  </w:footnote>
  <w:footnote w:type="continuationSeparator" w:id="0">
    <w:p w14:paraId="6A9915CC" w14:textId="77777777" w:rsidR="006963A3" w:rsidRDefault="006963A3" w:rsidP="00B66B1D">
      <w:pPr>
        <w:spacing w:after="0" w:line="240" w:lineRule="auto"/>
      </w:pPr>
      <w:r>
        <w:continuationSeparator/>
      </w:r>
    </w:p>
  </w:footnote>
  <w:footnote w:id="1">
    <w:p w14:paraId="516A31BD" w14:textId="77777777" w:rsidR="00E3293F" w:rsidRDefault="00F3412E" w:rsidP="00E3293F">
      <w:pPr>
        <w:pStyle w:val="FootnoteText"/>
      </w:pPr>
      <w:r>
        <w:rPr>
          <w:rStyle w:val="FootnoteReference"/>
        </w:rPr>
        <w:footnoteRef/>
      </w:r>
      <w:r>
        <w:t xml:space="preserve"> </w:t>
      </w:r>
      <w:r w:rsidR="00E3293F">
        <w:t xml:space="preserve">Similarly, the dating of texts, and the hypothesis that the Old Testament texts as we have them are edited during or after the Exile by a school of scribes drawing on multiple sources, representing opposed perspectives. The arguments for the “source hypothesis”, and for late dates of the composition of Genesis or Exodus, are not strong ones. We should read Scripture as a unified whole, with one author; but when the words or expressions are unclear, we are free to try and use our knowledge of the historical cultural context to work out the public meaning of those words and expressions at the time they were written, or at least at the time of Christ and the apostles, whose interpretations are authoritative. </w:t>
      </w:r>
    </w:p>
    <w:p w14:paraId="720304A9" w14:textId="77777777" w:rsidR="00E3293F" w:rsidRDefault="00E3293F" w:rsidP="00E3293F">
      <w:pPr>
        <w:pStyle w:val="FootnoteText"/>
      </w:pPr>
    </w:p>
    <w:p w14:paraId="40AB231E" w14:textId="78D6C1E6" w:rsidR="00F3412E" w:rsidRDefault="00E3293F" w:rsidP="00E3293F">
      <w:pPr>
        <w:pStyle w:val="FootnoteText"/>
      </w:pPr>
      <w:r>
        <w:t xml:space="preserve">In case you are smelling the whiff of fideism here, I will give you two examples to illustrate the weakness of arguments for positions that have become baked into Old Testament scholarship – working hypotheses held even by clergy who are orthodox in their spiritual lives. It is a popular view that the legendary material in Genesis, concerning Abraham, Jacob and Isaac, was unknown to the ancient Israelites, who only had the terms “Jacob” and “Israel” to refer to themselves as a nation, and the vague implication of common descent. The basic argument for this is that specific narratives about Abraham, Isaac and Jacob are not referred to in texts which we can be confident have roots in the times they are traditionally thought to have been composed – such as the Psalms; that the political and social scene described in these legends is not corroborated by archaeological evidence; and that there are other explanations for why we would have a genealogy of the tribes onto which fictional legends could be hung. But the first of these arguments assumes that Biblical authors would be selecting the narratives they want to draw on for imagery, or comment on for theology, in an inclusive or egalitarian way. There </w:t>
      </w:r>
      <w:proofErr w:type="gramStart"/>
      <w:r>
        <w:t>is</w:t>
      </w:r>
      <w:proofErr w:type="gramEnd"/>
      <w:r>
        <w:t xml:space="preserve"> no grounds for such an assumption. The second is essentially an argument from silence, or from very partial archaeological evidence. A few cuneiform stellae left by Canaanite kings should not be presumed to be more reliable just because they are not canonized by Israel and the Church. As for alternative explanations of these legends – other than an oral tradition, that is – they often rely on circumstantial analogies and hand-waving. For example, we know enough about the history of near-eastern tribes in modernity to know that when they make alliances, they confect a common ancestor to justify the alliance as grounded in shared kinship rather than political convenience. As alliance groups get larger, the shared kinship tree stretches back further. But to say that the Israelites must have been following a similar practice during the time of the Judges – around 1200BC – sounds to me, as an outsider to the field, to be ethnic stereotyping of the most extreme sort. All middle eastern culture is the same, apparently, even with a 3000-year gap.</w:t>
      </w:r>
    </w:p>
  </w:footnote>
  <w:footnote w:id="2">
    <w:p w14:paraId="7E538E87" w14:textId="72DA2FB1" w:rsidR="00871E16" w:rsidRDefault="00871E16">
      <w:pPr>
        <w:pStyle w:val="FootnoteText"/>
      </w:pPr>
      <w:r>
        <w:rPr>
          <w:rStyle w:val="FootnoteReference"/>
        </w:rPr>
        <w:footnoteRef/>
      </w:r>
      <w:r>
        <w:t xml:space="preserve"> </w:t>
      </w:r>
      <w:r w:rsidR="008F2FAB">
        <w:t xml:space="preserve">The blood is drained and splashed at the altar. </w:t>
      </w:r>
      <w:r>
        <w:t>In this case, it could be to expiate for killing the animal. Or it could be a gift of the blood, whether as part of the animal</w:t>
      </w:r>
      <w:r w:rsidR="00E53D76">
        <w:t>’s life/value, or as a magical reagent handed over. The altar isn’t being cleaned of accumulated impurity, so it’s the side not the horns.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9C"/>
    <w:rsid w:val="00002432"/>
    <w:rsid w:val="0000523E"/>
    <w:rsid w:val="000145D6"/>
    <w:rsid w:val="000162AD"/>
    <w:rsid w:val="00024ECC"/>
    <w:rsid w:val="000257B6"/>
    <w:rsid w:val="00027289"/>
    <w:rsid w:val="00030023"/>
    <w:rsid w:val="000302B9"/>
    <w:rsid w:val="00031C31"/>
    <w:rsid w:val="00035B53"/>
    <w:rsid w:val="00041CFB"/>
    <w:rsid w:val="000429D9"/>
    <w:rsid w:val="00046843"/>
    <w:rsid w:val="00046F7B"/>
    <w:rsid w:val="00054A8F"/>
    <w:rsid w:val="000573A4"/>
    <w:rsid w:val="00060299"/>
    <w:rsid w:val="000615E1"/>
    <w:rsid w:val="00073AC1"/>
    <w:rsid w:val="000761AA"/>
    <w:rsid w:val="00082D0D"/>
    <w:rsid w:val="00083038"/>
    <w:rsid w:val="00086C26"/>
    <w:rsid w:val="0009065D"/>
    <w:rsid w:val="0009585E"/>
    <w:rsid w:val="000A0259"/>
    <w:rsid w:val="000A179D"/>
    <w:rsid w:val="000A29E0"/>
    <w:rsid w:val="000A5B9D"/>
    <w:rsid w:val="000C6EE8"/>
    <w:rsid w:val="000D738C"/>
    <w:rsid w:val="000F2429"/>
    <w:rsid w:val="001132F8"/>
    <w:rsid w:val="0011478A"/>
    <w:rsid w:val="00122BA5"/>
    <w:rsid w:val="00124E5E"/>
    <w:rsid w:val="0013174B"/>
    <w:rsid w:val="00134A5B"/>
    <w:rsid w:val="00140976"/>
    <w:rsid w:val="00157F02"/>
    <w:rsid w:val="001605AF"/>
    <w:rsid w:val="00160EBC"/>
    <w:rsid w:val="0016464B"/>
    <w:rsid w:val="0016563D"/>
    <w:rsid w:val="00165E06"/>
    <w:rsid w:val="00171603"/>
    <w:rsid w:val="00171FC8"/>
    <w:rsid w:val="00185C13"/>
    <w:rsid w:val="00194050"/>
    <w:rsid w:val="001C0764"/>
    <w:rsid w:val="001C0A9F"/>
    <w:rsid w:val="001C56ED"/>
    <w:rsid w:val="001C629E"/>
    <w:rsid w:val="001D2B28"/>
    <w:rsid w:val="001E57D1"/>
    <w:rsid w:val="001F0E85"/>
    <w:rsid w:val="001F53FC"/>
    <w:rsid w:val="001F5494"/>
    <w:rsid w:val="001F7749"/>
    <w:rsid w:val="00202DC9"/>
    <w:rsid w:val="00203BC7"/>
    <w:rsid w:val="00205327"/>
    <w:rsid w:val="00205604"/>
    <w:rsid w:val="002128D7"/>
    <w:rsid w:val="00217B6C"/>
    <w:rsid w:val="0023703E"/>
    <w:rsid w:val="00241361"/>
    <w:rsid w:val="00243C16"/>
    <w:rsid w:val="00246C44"/>
    <w:rsid w:val="00261C0F"/>
    <w:rsid w:val="00283B13"/>
    <w:rsid w:val="00290A9E"/>
    <w:rsid w:val="00291739"/>
    <w:rsid w:val="00295B63"/>
    <w:rsid w:val="00296B59"/>
    <w:rsid w:val="002A342D"/>
    <w:rsid w:val="002B2C88"/>
    <w:rsid w:val="002B3084"/>
    <w:rsid w:val="002D08EE"/>
    <w:rsid w:val="002F680A"/>
    <w:rsid w:val="003056C4"/>
    <w:rsid w:val="00315445"/>
    <w:rsid w:val="0032669F"/>
    <w:rsid w:val="003436AD"/>
    <w:rsid w:val="00344593"/>
    <w:rsid w:val="00355B33"/>
    <w:rsid w:val="003565FB"/>
    <w:rsid w:val="003666E3"/>
    <w:rsid w:val="00367F44"/>
    <w:rsid w:val="00380B1D"/>
    <w:rsid w:val="003828D0"/>
    <w:rsid w:val="003909A8"/>
    <w:rsid w:val="003957C9"/>
    <w:rsid w:val="003A184C"/>
    <w:rsid w:val="003A2CE6"/>
    <w:rsid w:val="003A491B"/>
    <w:rsid w:val="003A54F3"/>
    <w:rsid w:val="003A59AC"/>
    <w:rsid w:val="003B35CD"/>
    <w:rsid w:val="003D6C6B"/>
    <w:rsid w:val="003D7D66"/>
    <w:rsid w:val="003E107E"/>
    <w:rsid w:val="003E72E5"/>
    <w:rsid w:val="003F28E1"/>
    <w:rsid w:val="003F33F3"/>
    <w:rsid w:val="003F57FB"/>
    <w:rsid w:val="00404D2C"/>
    <w:rsid w:val="0040558D"/>
    <w:rsid w:val="004059EE"/>
    <w:rsid w:val="00443E49"/>
    <w:rsid w:val="00452081"/>
    <w:rsid w:val="0045384F"/>
    <w:rsid w:val="00455B62"/>
    <w:rsid w:val="00456738"/>
    <w:rsid w:val="00462BEE"/>
    <w:rsid w:val="00470D5C"/>
    <w:rsid w:val="00480A71"/>
    <w:rsid w:val="00481001"/>
    <w:rsid w:val="00482335"/>
    <w:rsid w:val="00486680"/>
    <w:rsid w:val="00493D19"/>
    <w:rsid w:val="00494796"/>
    <w:rsid w:val="004B05CD"/>
    <w:rsid w:val="004B0BD8"/>
    <w:rsid w:val="004B4EA7"/>
    <w:rsid w:val="004C2DA1"/>
    <w:rsid w:val="004E2524"/>
    <w:rsid w:val="004E30C3"/>
    <w:rsid w:val="004F42E9"/>
    <w:rsid w:val="004F5DA3"/>
    <w:rsid w:val="004F5E4D"/>
    <w:rsid w:val="005077B4"/>
    <w:rsid w:val="00522E23"/>
    <w:rsid w:val="00525198"/>
    <w:rsid w:val="00527BA3"/>
    <w:rsid w:val="00535363"/>
    <w:rsid w:val="005359A4"/>
    <w:rsid w:val="00547616"/>
    <w:rsid w:val="00553E86"/>
    <w:rsid w:val="00557153"/>
    <w:rsid w:val="005723E6"/>
    <w:rsid w:val="00574A93"/>
    <w:rsid w:val="00585142"/>
    <w:rsid w:val="005A1E47"/>
    <w:rsid w:val="005A3BB7"/>
    <w:rsid w:val="005B09CD"/>
    <w:rsid w:val="005B3C86"/>
    <w:rsid w:val="005B758B"/>
    <w:rsid w:val="005C35D1"/>
    <w:rsid w:val="005D0CFD"/>
    <w:rsid w:val="005D1CF7"/>
    <w:rsid w:val="005E0A69"/>
    <w:rsid w:val="005E1CD5"/>
    <w:rsid w:val="005E40BE"/>
    <w:rsid w:val="005E4112"/>
    <w:rsid w:val="005F2191"/>
    <w:rsid w:val="005F3FFD"/>
    <w:rsid w:val="005F41E8"/>
    <w:rsid w:val="00601D69"/>
    <w:rsid w:val="00602C34"/>
    <w:rsid w:val="006056B2"/>
    <w:rsid w:val="00610D3D"/>
    <w:rsid w:val="00610F77"/>
    <w:rsid w:val="006112A6"/>
    <w:rsid w:val="006379F1"/>
    <w:rsid w:val="00643B84"/>
    <w:rsid w:val="00644A5B"/>
    <w:rsid w:val="00650126"/>
    <w:rsid w:val="006748FE"/>
    <w:rsid w:val="00680DC0"/>
    <w:rsid w:val="006954B3"/>
    <w:rsid w:val="006963A3"/>
    <w:rsid w:val="006A302C"/>
    <w:rsid w:val="006B2FFE"/>
    <w:rsid w:val="006B78C4"/>
    <w:rsid w:val="006D25C5"/>
    <w:rsid w:val="006E1EFB"/>
    <w:rsid w:val="00702B88"/>
    <w:rsid w:val="007107BA"/>
    <w:rsid w:val="0071403C"/>
    <w:rsid w:val="0071524C"/>
    <w:rsid w:val="00721A77"/>
    <w:rsid w:val="00721D1B"/>
    <w:rsid w:val="007327DE"/>
    <w:rsid w:val="00733FCC"/>
    <w:rsid w:val="007414D7"/>
    <w:rsid w:val="00747386"/>
    <w:rsid w:val="00753F05"/>
    <w:rsid w:val="00760243"/>
    <w:rsid w:val="00761CF2"/>
    <w:rsid w:val="007631AE"/>
    <w:rsid w:val="00765EA5"/>
    <w:rsid w:val="00770EEF"/>
    <w:rsid w:val="007711A0"/>
    <w:rsid w:val="00774243"/>
    <w:rsid w:val="0077532B"/>
    <w:rsid w:val="00782215"/>
    <w:rsid w:val="00786F58"/>
    <w:rsid w:val="00796DB0"/>
    <w:rsid w:val="007A3A62"/>
    <w:rsid w:val="007A4B1D"/>
    <w:rsid w:val="007A553C"/>
    <w:rsid w:val="007B001C"/>
    <w:rsid w:val="007C4688"/>
    <w:rsid w:val="007E004C"/>
    <w:rsid w:val="007E10C7"/>
    <w:rsid w:val="007E3779"/>
    <w:rsid w:val="007E608D"/>
    <w:rsid w:val="007F03B5"/>
    <w:rsid w:val="007F53FB"/>
    <w:rsid w:val="007F551A"/>
    <w:rsid w:val="00805E7C"/>
    <w:rsid w:val="008120C3"/>
    <w:rsid w:val="00824059"/>
    <w:rsid w:val="00831CE0"/>
    <w:rsid w:val="008341A3"/>
    <w:rsid w:val="008360C9"/>
    <w:rsid w:val="00840D44"/>
    <w:rsid w:val="0084159B"/>
    <w:rsid w:val="00846C5F"/>
    <w:rsid w:val="00863F5D"/>
    <w:rsid w:val="00865B43"/>
    <w:rsid w:val="00866819"/>
    <w:rsid w:val="00866885"/>
    <w:rsid w:val="008677DF"/>
    <w:rsid w:val="00871E16"/>
    <w:rsid w:val="008820E5"/>
    <w:rsid w:val="008835BA"/>
    <w:rsid w:val="00885CCB"/>
    <w:rsid w:val="00894682"/>
    <w:rsid w:val="008C1321"/>
    <w:rsid w:val="008C2134"/>
    <w:rsid w:val="008D09FF"/>
    <w:rsid w:val="008D1ED2"/>
    <w:rsid w:val="008D47D0"/>
    <w:rsid w:val="008F2FAB"/>
    <w:rsid w:val="008F579F"/>
    <w:rsid w:val="008F79C1"/>
    <w:rsid w:val="00907361"/>
    <w:rsid w:val="0091069B"/>
    <w:rsid w:val="00914FD7"/>
    <w:rsid w:val="00915FD2"/>
    <w:rsid w:val="00916535"/>
    <w:rsid w:val="00922023"/>
    <w:rsid w:val="0092563A"/>
    <w:rsid w:val="009311BE"/>
    <w:rsid w:val="00935175"/>
    <w:rsid w:val="00941FEF"/>
    <w:rsid w:val="009430FF"/>
    <w:rsid w:val="00946F84"/>
    <w:rsid w:val="009475EE"/>
    <w:rsid w:val="00951F5C"/>
    <w:rsid w:val="00957AF3"/>
    <w:rsid w:val="00974B21"/>
    <w:rsid w:val="00980A89"/>
    <w:rsid w:val="00986DBD"/>
    <w:rsid w:val="00987822"/>
    <w:rsid w:val="00991B8C"/>
    <w:rsid w:val="0099640F"/>
    <w:rsid w:val="009A48F7"/>
    <w:rsid w:val="009C16DF"/>
    <w:rsid w:val="009C652B"/>
    <w:rsid w:val="009D2A55"/>
    <w:rsid w:val="009D650C"/>
    <w:rsid w:val="009E5D28"/>
    <w:rsid w:val="00A01893"/>
    <w:rsid w:val="00A066C9"/>
    <w:rsid w:val="00A0745A"/>
    <w:rsid w:val="00A077B1"/>
    <w:rsid w:val="00A1224C"/>
    <w:rsid w:val="00A20A5D"/>
    <w:rsid w:val="00A20E4F"/>
    <w:rsid w:val="00A25135"/>
    <w:rsid w:val="00A2546C"/>
    <w:rsid w:val="00A26A6C"/>
    <w:rsid w:val="00A35E3D"/>
    <w:rsid w:val="00A40C4D"/>
    <w:rsid w:val="00A424BA"/>
    <w:rsid w:val="00A44116"/>
    <w:rsid w:val="00A6231E"/>
    <w:rsid w:val="00A72CAF"/>
    <w:rsid w:val="00A759DA"/>
    <w:rsid w:val="00A803A1"/>
    <w:rsid w:val="00A8136C"/>
    <w:rsid w:val="00A82217"/>
    <w:rsid w:val="00A82B5F"/>
    <w:rsid w:val="00A875D4"/>
    <w:rsid w:val="00A95064"/>
    <w:rsid w:val="00A976F4"/>
    <w:rsid w:val="00AA2306"/>
    <w:rsid w:val="00AB0C90"/>
    <w:rsid w:val="00AB3B40"/>
    <w:rsid w:val="00AB6FF7"/>
    <w:rsid w:val="00AC4C17"/>
    <w:rsid w:val="00AE127B"/>
    <w:rsid w:val="00AF3832"/>
    <w:rsid w:val="00B03A1E"/>
    <w:rsid w:val="00B03BD9"/>
    <w:rsid w:val="00B074EB"/>
    <w:rsid w:val="00B1605C"/>
    <w:rsid w:val="00B37D60"/>
    <w:rsid w:val="00B406CA"/>
    <w:rsid w:val="00B661CB"/>
    <w:rsid w:val="00B66B1D"/>
    <w:rsid w:val="00B67FD4"/>
    <w:rsid w:val="00B7536A"/>
    <w:rsid w:val="00B800A9"/>
    <w:rsid w:val="00B9156D"/>
    <w:rsid w:val="00B919EC"/>
    <w:rsid w:val="00B95B9E"/>
    <w:rsid w:val="00B966C5"/>
    <w:rsid w:val="00B96CB3"/>
    <w:rsid w:val="00BA0C16"/>
    <w:rsid w:val="00BA1469"/>
    <w:rsid w:val="00BA55B5"/>
    <w:rsid w:val="00BB00E5"/>
    <w:rsid w:val="00BB0754"/>
    <w:rsid w:val="00BB2F72"/>
    <w:rsid w:val="00BB30A2"/>
    <w:rsid w:val="00BC030D"/>
    <w:rsid w:val="00BC4590"/>
    <w:rsid w:val="00BC7C4E"/>
    <w:rsid w:val="00BD6455"/>
    <w:rsid w:val="00BD6780"/>
    <w:rsid w:val="00BD7DB2"/>
    <w:rsid w:val="00BE32A3"/>
    <w:rsid w:val="00BE5CC6"/>
    <w:rsid w:val="00BE673A"/>
    <w:rsid w:val="00C114F2"/>
    <w:rsid w:val="00C12492"/>
    <w:rsid w:val="00C150E4"/>
    <w:rsid w:val="00C21398"/>
    <w:rsid w:val="00C2244F"/>
    <w:rsid w:val="00C32347"/>
    <w:rsid w:val="00C333FC"/>
    <w:rsid w:val="00C42B77"/>
    <w:rsid w:val="00C87968"/>
    <w:rsid w:val="00C952F4"/>
    <w:rsid w:val="00C9718A"/>
    <w:rsid w:val="00CA07E0"/>
    <w:rsid w:val="00CA2799"/>
    <w:rsid w:val="00CA31F0"/>
    <w:rsid w:val="00CB136F"/>
    <w:rsid w:val="00CC0100"/>
    <w:rsid w:val="00CE0B98"/>
    <w:rsid w:val="00CE0E06"/>
    <w:rsid w:val="00CE3542"/>
    <w:rsid w:val="00CE54A5"/>
    <w:rsid w:val="00CE7F4D"/>
    <w:rsid w:val="00CF0E03"/>
    <w:rsid w:val="00CF7180"/>
    <w:rsid w:val="00D0799F"/>
    <w:rsid w:val="00D136D3"/>
    <w:rsid w:val="00D14F69"/>
    <w:rsid w:val="00D174A1"/>
    <w:rsid w:val="00D2029E"/>
    <w:rsid w:val="00D20624"/>
    <w:rsid w:val="00D230A9"/>
    <w:rsid w:val="00D309D0"/>
    <w:rsid w:val="00D36A4C"/>
    <w:rsid w:val="00D402BB"/>
    <w:rsid w:val="00D4402D"/>
    <w:rsid w:val="00D50658"/>
    <w:rsid w:val="00D53DC0"/>
    <w:rsid w:val="00D71CE7"/>
    <w:rsid w:val="00D856F1"/>
    <w:rsid w:val="00D87F2C"/>
    <w:rsid w:val="00D95867"/>
    <w:rsid w:val="00DC66E8"/>
    <w:rsid w:val="00DC7514"/>
    <w:rsid w:val="00DE28E8"/>
    <w:rsid w:val="00DF08D6"/>
    <w:rsid w:val="00DF0B1B"/>
    <w:rsid w:val="00DF25A8"/>
    <w:rsid w:val="00E002DD"/>
    <w:rsid w:val="00E21310"/>
    <w:rsid w:val="00E26344"/>
    <w:rsid w:val="00E265ED"/>
    <w:rsid w:val="00E26EEA"/>
    <w:rsid w:val="00E27736"/>
    <w:rsid w:val="00E31E68"/>
    <w:rsid w:val="00E3293F"/>
    <w:rsid w:val="00E4122D"/>
    <w:rsid w:val="00E43760"/>
    <w:rsid w:val="00E51ACF"/>
    <w:rsid w:val="00E53D76"/>
    <w:rsid w:val="00E56F32"/>
    <w:rsid w:val="00E60353"/>
    <w:rsid w:val="00E61A5A"/>
    <w:rsid w:val="00E6581C"/>
    <w:rsid w:val="00E714D7"/>
    <w:rsid w:val="00E71D7C"/>
    <w:rsid w:val="00E764F9"/>
    <w:rsid w:val="00E77771"/>
    <w:rsid w:val="00E77CC6"/>
    <w:rsid w:val="00E8788B"/>
    <w:rsid w:val="00E94F8F"/>
    <w:rsid w:val="00EA0405"/>
    <w:rsid w:val="00EA191B"/>
    <w:rsid w:val="00EA4E9D"/>
    <w:rsid w:val="00EA6773"/>
    <w:rsid w:val="00EB38CD"/>
    <w:rsid w:val="00ED02E1"/>
    <w:rsid w:val="00EE0B38"/>
    <w:rsid w:val="00EF1ABC"/>
    <w:rsid w:val="00EF2188"/>
    <w:rsid w:val="00EF4E36"/>
    <w:rsid w:val="00EF6CE5"/>
    <w:rsid w:val="00F03E75"/>
    <w:rsid w:val="00F07F96"/>
    <w:rsid w:val="00F10D11"/>
    <w:rsid w:val="00F14781"/>
    <w:rsid w:val="00F23B8A"/>
    <w:rsid w:val="00F3412E"/>
    <w:rsid w:val="00F47A89"/>
    <w:rsid w:val="00F604F3"/>
    <w:rsid w:val="00F60BB2"/>
    <w:rsid w:val="00F616F3"/>
    <w:rsid w:val="00F820E6"/>
    <w:rsid w:val="00F90BFB"/>
    <w:rsid w:val="00F953C5"/>
    <w:rsid w:val="00F964F9"/>
    <w:rsid w:val="00FA1AF8"/>
    <w:rsid w:val="00FB0301"/>
    <w:rsid w:val="00FC12BF"/>
    <w:rsid w:val="00FC3FA7"/>
    <w:rsid w:val="00FC4F2C"/>
    <w:rsid w:val="00FC6107"/>
    <w:rsid w:val="00FC7C49"/>
    <w:rsid w:val="00FD1C48"/>
    <w:rsid w:val="00FD7933"/>
    <w:rsid w:val="00FF049C"/>
    <w:rsid w:val="00FF1020"/>
    <w:rsid w:val="00FF45B5"/>
    <w:rsid w:val="00FF7D0D"/>
    <w:rsid w:val="00FF7F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ED0C4"/>
  <w15:chartTrackingRefBased/>
  <w15:docId w15:val="{0A40AD40-0557-4749-97E2-3EA17DFA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9C"/>
    <w:rPr>
      <w:rFonts w:eastAsiaTheme="majorEastAsia" w:cstheme="majorBidi"/>
      <w:color w:val="272727" w:themeColor="text1" w:themeTint="D8"/>
    </w:rPr>
  </w:style>
  <w:style w:type="paragraph" w:styleId="Title">
    <w:name w:val="Title"/>
    <w:basedOn w:val="Normal"/>
    <w:next w:val="Normal"/>
    <w:link w:val="TitleChar"/>
    <w:uiPriority w:val="10"/>
    <w:qFormat/>
    <w:rsid w:val="00FF0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9C"/>
    <w:pPr>
      <w:spacing w:before="160"/>
      <w:jc w:val="center"/>
    </w:pPr>
    <w:rPr>
      <w:i/>
      <w:iCs/>
      <w:color w:val="404040" w:themeColor="text1" w:themeTint="BF"/>
    </w:rPr>
  </w:style>
  <w:style w:type="character" w:customStyle="1" w:styleId="QuoteChar">
    <w:name w:val="Quote Char"/>
    <w:basedOn w:val="DefaultParagraphFont"/>
    <w:link w:val="Quote"/>
    <w:uiPriority w:val="29"/>
    <w:rsid w:val="00FF049C"/>
    <w:rPr>
      <w:i/>
      <w:iCs/>
      <w:color w:val="404040" w:themeColor="text1" w:themeTint="BF"/>
    </w:rPr>
  </w:style>
  <w:style w:type="paragraph" w:styleId="ListParagraph">
    <w:name w:val="List Paragraph"/>
    <w:basedOn w:val="Normal"/>
    <w:uiPriority w:val="34"/>
    <w:qFormat/>
    <w:rsid w:val="00FF049C"/>
    <w:pPr>
      <w:ind w:left="720"/>
      <w:contextualSpacing/>
    </w:pPr>
  </w:style>
  <w:style w:type="character" w:styleId="IntenseEmphasis">
    <w:name w:val="Intense Emphasis"/>
    <w:basedOn w:val="DefaultParagraphFont"/>
    <w:uiPriority w:val="21"/>
    <w:qFormat/>
    <w:rsid w:val="00FF049C"/>
    <w:rPr>
      <w:i/>
      <w:iCs/>
      <w:color w:val="0F4761" w:themeColor="accent1" w:themeShade="BF"/>
    </w:rPr>
  </w:style>
  <w:style w:type="paragraph" w:styleId="IntenseQuote">
    <w:name w:val="Intense Quote"/>
    <w:basedOn w:val="Normal"/>
    <w:next w:val="Normal"/>
    <w:link w:val="IntenseQuoteChar"/>
    <w:uiPriority w:val="30"/>
    <w:qFormat/>
    <w:rsid w:val="00FF0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9C"/>
    <w:rPr>
      <w:i/>
      <w:iCs/>
      <w:color w:val="0F4761" w:themeColor="accent1" w:themeShade="BF"/>
    </w:rPr>
  </w:style>
  <w:style w:type="character" w:styleId="IntenseReference">
    <w:name w:val="Intense Reference"/>
    <w:basedOn w:val="DefaultParagraphFont"/>
    <w:uiPriority w:val="32"/>
    <w:qFormat/>
    <w:rsid w:val="00FF049C"/>
    <w:rPr>
      <w:b/>
      <w:bCs/>
      <w:smallCaps/>
      <w:color w:val="0F4761" w:themeColor="accent1" w:themeShade="BF"/>
      <w:spacing w:val="5"/>
    </w:rPr>
  </w:style>
  <w:style w:type="paragraph" w:styleId="NoSpacing">
    <w:name w:val="No Spacing"/>
    <w:uiPriority w:val="1"/>
    <w:qFormat/>
    <w:rsid w:val="00134A5B"/>
    <w:pPr>
      <w:spacing w:after="0" w:line="480" w:lineRule="auto"/>
    </w:pPr>
    <w:rPr>
      <w:kern w:val="0"/>
      <w:szCs w:val="22"/>
      <w14:ligatures w14:val="none"/>
    </w:rPr>
  </w:style>
  <w:style w:type="table" w:styleId="TableGrid">
    <w:name w:val="Table Grid"/>
    <w:basedOn w:val="TableNormal"/>
    <w:uiPriority w:val="39"/>
    <w:rsid w:val="00B66B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66B1D"/>
    <w:rPr>
      <w:vertAlign w:val="superscript"/>
    </w:rPr>
  </w:style>
  <w:style w:type="paragraph" w:styleId="FootnoteText">
    <w:name w:val="footnote text"/>
    <w:basedOn w:val="Normal"/>
    <w:link w:val="FootnoteTextChar"/>
    <w:uiPriority w:val="99"/>
    <w:semiHidden/>
    <w:unhideWhenUsed/>
    <w:rsid w:val="00F341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12E"/>
    <w:rPr>
      <w:sz w:val="20"/>
      <w:szCs w:val="20"/>
    </w:rPr>
  </w:style>
  <w:style w:type="paragraph" w:styleId="Header">
    <w:name w:val="header"/>
    <w:basedOn w:val="Normal"/>
    <w:link w:val="HeaderChar"/>
    <w:uiPriority w:val="99"/>
    <w:semiHidden/>
    <w:unhideWhenUsed/>
    <w:rsid w:val="00980A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0A89"/>
  </w:style>
  <w:style w:type="paragraph" w:styleId="Footer">
    <w:name w:val="footer"/>
    <w:basedOn w:val="Normal"/>
    <w:link w:val="FooterChar"/>
    <w:uiPriority w:val="99"/>
    <w:semiHidden/>
    <w:unhideWhenUsed/>
    <w:rsid w:val="00980A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BD734815-D249-41FB-8527-02DC2DBF7612}">
  <ds:schemaRefs>
    <ds:schemaRef ds:uri="http://schemas.openxmlformats.org/officeDocument/2006/bibliography"/>
  </ds:schemaRefs>
</ds:datastoreItem>
</file>

<file path=customXml/itemProps2.xml><?xml version="1.0" encoding="utf-8"?>
<ds:datastoreItem xmlns:ds="http://schemas.openxmlformats.org/officeDocument/2006/customXml" ds:itemID="{16518411-61B6-4854-87C7-35B5F7A5C881}"/>
</file>

<file path=customXml/itemProps3.xml><?xml version="1.0" encoding="utf-8"?>
<ds:datastoreItem xmlns:ds="http://schemas.openxmlformats.org/officeDocument/2006/customXml" ds:itemID="{72AE5929-EE49-4058-B91E-866E30695E90}"/>
</file>

<file path=customXml/itemProps4.xml><?xml version="1.0" encoding="utf-8"?>
<ds:datastoreItem xmlns:ds="http://schemas.openxmlformats.org/officeDocument/2006/customXml" ds:itemID="{38C0C4DA-6388-45B4-B34A-8FE3516174F4}"/>
</file>

<file path=docProps/app.xml><?xml version="1.0" encoding="utf-8"?>
<Properties xmlns="http://schemas.openxmlformats.org/officeDocument/2006/extended-properties" xmlns:vt="http://schemas.openxmlformats.org/officeDocument/2006/docPropsVTypes">
  <Template>Normal</Template>
  <TotalTime>0</TotalTime>
  <Pages>17</Pages>
  <Words>4247</Words>
  <Characters>19622</Characters>
  <Application>Microsoft Office Word</Application>
  <DocSecurity>0</DocSecurity>
  <Lines>222</Lines>
  <Paragraphs>37</Paragraphs>
  <ScaleCrop>false</ScaleCrop>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413</cp:revision>
  <dcterms:created xsi:type="dcterms:W3CDTF">2026-01-05T16:47:00Z</dcterms:created>
  <dcterms:modified xsi:type="dcterms:W3CDTF">2026-02-18T20:17:00Z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