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4D33" w14:textId="4C63F01E" w:rsidR="002E35E0" w:rsidRDefault="002E35E0">
      <w:pPr>
        <w:rPr>
          <w:i/>
          <w:iCs/>
        </w:rPr>
      </w:pPr>
      <w:r>
        <w:rPr>
          <w:i/>
          <w:iCs/>
        </w:rPr>
        <w:t>Before we begin, this week’s lecture and text contain discussions of suicide.</w:t>
      </w:r>
    </w:p>
    <w:p w14:paraId="40FEAA18" w14:textId="05255D2F" w:rsidR="002E35E0" w:rsidRPr="002E35E0" w:rsidRDefault="002E35E0">
      <w:r>
        <w:t>***</w:t>
      </w:r>
    </w:p>
    <w:p w14:paraId="68FC9ABE" w14:textId="7107120C" w:rsidR="00AF01FA" w:rsidRDefault="00AF01FA">
      <w:r>
        <w:t xml:space="preserve">Hello and welcome back to </w:t>
      </w:r>
      <w:r>
        <w:rPr>
          <w:i/>
          <w:iCs/>
        </w:rPr>
        <w:t>An Introduction to Trans Theology.</w:t>
      </w:r>
      <w:r>
        <w:t xml:space="preserve"> This week, we’ll be looking at Craig A. Ford Jr.’s paper, ‘Transgender Bodies, Catholic Schools, and a Queer Natural Law Theology of Exploration’. Ford is a Catholic moral theologian specialising in questions raised by gender, race, and sexuality.</w:t>
      </w:r>
    </w:p>
    <w:p w14:paraId="74C34AD2" w14:textId="671478AC" w:rsidR="00AF01FA" w:rsidRDefault="00AF01FA">
      <w:r>
        <w:t xml:space="preserve">This week’s </w:t>
      </w:r>
      <w:r w:rsidR="00F61AC6">
        <w:t>text</w:t>
      </w:r>
      <w:r>
        <w:t xml:space="preserve"> is interesting because it offers an argument for the freedom to transition rooted in a traditional moral framework—natural law theology. In doing so, Ford subverts expectations about what kinds of positions the Catholic moral tradition can be used to argue for. ‘Natural Law’ is often appealed to as the basis for condemning queer life. Against this, Ford argues that ideas of Natural Law c</w:t>
      </w:r>
      <w:r w:rsidR="00F61AC6">
        <w:t xml:space="preserve">an be used to validate queer—or more specifically in this case, trans—life. In doing so, he also offers a view of moral theology as </w:t>
      </w:r>
      <w:r w:rsidR="00F61AC6">
        <w:rPr>
          <w:i/>
          <w:iCs/>
        </w:rPr>
        <w:t>both</w:t>
      </w:r>
      <w:r w:rsidR="00F61AC6">
        <w:t xml:space="preserve"> invested in the tools and norms of the tradition, </w:t>
      </w:r>
      <w:r w:rsidR="00F61AC6">
        <w:rPr>
          <w:i/>
          <w:iCs/>
        </w:rPr>
        <w:t xml:space="preserve">and </w:t>
      </w:r>
      <w:r w:rsidR="00F61AC6">
        <w:t>more open to the things to which people who hold these investments might otherwise be opposed.</w:t>
      </w:r>
    </w:p>
    <w:p w14:paraId="2C5A6B86" w14:textId="69DA00C3" w:rsidR="00F61AC6" w:rsidRDefault="00F61AC6">
      <w:r>
        <w:t xml:space="preserve">This week’s text is also interesting because it attempts to take trans suffering seriously. Ford writes in response to the </w:t>
      </w:r>
      <w:r w:rsidR="002E35E0">
        <w:t>death</w:t>
      </w:r>
      <w:r>
        <w:t xml:space="preserve"> of L</w:t>
      </w:r>
      <w:r w:rsidR="002E35E0">
        <w:t>ee</w:t>
      </w:r>
      <w:r>
        <w:t>la</w:t>
      </w:r>
      <w:r w:rsidR="002E35E0">
        <w:t>h</w:t>
      </w:r>
      <w:r>
        <w:t xml:space="preserve"> Alcorn</w:t>
      </w:r>
      <w:r w:rsidR="002E35E0">
        <w:t xml:space="preserve">. Alcorn was a 17 year old trans girl from Ohio, who committed suicide in 2014 after being denied transition, put through conversion therapy, and socially isolated by her religious parents. Ford sees Alcorn’s death as an event warranting not only a theological response, but a revision of theology in order to develop resources for a faith that would not have driven her to suicide. </w:t>
      </w:r>
    </w:p>
    <w:p w14:paraId="47C69D8E" w14:textId="35DB5DF1" w:rsidR="002E35E0" w:rsidRDefault="002E35E0">
      <w:r>
        <w:t>Finally, this week’s text is interesting for a reason that Ford himself does not highlight: it mirrors the Church’s discovery of the necessity of freedom of belief and conscience in the 1960s. His argument for freedom to transition parallels the Second Vatican Council’s justifications of these liberal political virtues, which were developed after the hard lessons of World War II, the holocaust, and the various totalitarian regimes which defined this era. In this way, his paper can be understood as bearing a broader significance in relation to how the Church understands itself in the world today</w:t>
      </w:r>
      <w:r w:rsidR="00A80A07">
        <w:t>—something I’ll explore in the last part of the lecture, which admittedly goes beyond the text itself, but in ways that touch upon topics in my own research. I’ll also include a</w:t>
      </w:r>
      <w:r w:rsidR="000B63D2">
        <w:t xml:space="preserve"> version of a paper I have coming out in 2027 (such is the nature of academic publishing…) which goes into this in more detail</w:t>
      </w:r>
      <w:r w:rsidR="00BA0B05">
        <w:t>, in case anyone is interested</w:t>
      </w:r>
      <w:r w:rsidR="000B63D2">
        <w:t>.</w:t>
      </w:r>
      <w:r w:rsidR="00BA0B05">
        <w:t xml:space="preserve"> Please don’t share this with anyone outside the course without my permission, as journals can get funny about this sort of stuff.</w:t>
      </w:r>
    </w:p>
    <w:p w14:paraId="3C2C1F54" w14:textId="43A6F84B" w:rsidR="004C512C" w:rsidRDefault="00001B5D">
      <w:r>
        <w:t xml:space="preserve">But first, to understand all of this it’s important to get our heads around what natural law theology actually </w:t>
      </w:r>
      <w:r>
        <w:rPr>
          <w:i/>
          <w:iCs/>
        </w:rPr>
        <w:t>is</w:t>
      </w:r>
      <w:r>
        <w:t>.</w:t>
      </w:r>
    </w:p>
    <w:p w14:paraId="7234679C" w14:textId="26D985D0" w:rsidR="00001B5D" w:rsidRDefault="00001B5D" w:rsidP="00001B5D">
      <w:pPr>
        <w:pStyle w:val="Heading1"/>
      </w:pPr>
      <w:r>
        <w:t>Part 1 – What is Natural Law?</w:t>
      </w:r>
    </w:p>
    <w:p w14:paraId="5511E7C1" w14:textId="283ED1B0" w:rsidR="00001B5D" w:rsidRDefault="00001B5D" w:rsidP="00001B5D">
      <w:r>
        <w:t xml:space="preserve">You have probably heard of natural law before. Likely it was in the course of someone saying something is </w:t>
      </w:r>
      <w:r>
        <w:rPr>
          <w:i/>
          <w:iCs/>
        </w:rPr>
        <w:t xml:space="preserve">against </w:t>
      </w:r>
      <w:r>
        <w:t xml:space="preserve">the natural law—as if the natural law were a piece of legislation, </w:t>
      </w:r>
      <w:r w:rsidR="006C0723">
        <w:t xml:space="preserve">and transparent enough to simply rule upon without needing to give any further justification. </w:t>
      </w:r>
      <w:r w:rsidR="004F6CFF">
        <w:t>This sort of usage—which boils down</w:t>
      </w:r>
      <w:r w:rsidR="00537BAB">
        <w:t xml:space="preserve"> simply saying “God wills it”:</w:t>
      </w:r>
      <w:r w:rsidR="004F6CFF">
        <w:t xml:space="preserve"> a kind of ‘just-so’ story for conservative theological positions—</w:t>
      </w:r>
      <w:r w:rsidR="00537BAB">
        <w:t>may have led you to mistrust the very idea of natural law, and justifiably so, I think.</w:t>
      </w:r>
      <w:r w:rsidR="006C0723">
        <w:t xml:space="preserve"> </w:t>
      </w:r>
    </w:p>
    <w:p w14:paraId="32689E83" w14:textId="17A60182" w:rsidR="00537BAB" w:rsidRDefault="00BD4EFC" w:rsidP="00001B5D">
      <w:r>
        <w:lastRenderedPageBreak/>
        <w:t>Despite this, I think</w:t>
      </w:r>
      <w:r w:rsidR="00537BAB">
        <w:t xml:space="preserve"> natural law theology is a fairly commonsense outworking of beliefs</w:t>
      </w:r>
      <w:r w:rsidR="003C20CA">
        <w:t xml:space="preserve"> you probably hold (if you are a Christian)</w:t>
      </w:r>
      <w:r>
        <w:t xml:space="preserve">. </w:t>
      </w:r>
      <w:r w:rsidR="000719A8">
        <w:t xml:space="preserve">But it also need not be the kind of thing you imagine (and possibly fear) when you hear its name—indeed, natural law is not even a piece of legislation, but a </w:t>
      </w:r>
      <w:r w:rsidR="000719A8" w:rsidRPr="000719A8">
        <w:rPr>
          <w:i/>
          <w:iCs/>
        </w:rPr>
        <w:t>way of knowing</w:t>
      </w:r>
      <w:r w:rsidR="000719A8">
        <w:t>.</w:t>
      </w:r>
    </w:p>
    <w:p w14:paraId="1AFFB2BB" w14:textId="3346B56C" w:rsidR="0017351B" w:rsidRDefault="009920CE" w:rsidP="00001B5D">
      <w:r>
        <w:t xml:space="preserve">The main account of natural law theology in Catholicism comes from the Medieval theologian, Thomas Aquinas. Aquinas’ view of natural law is premised on </w:t>
      </w:r>
      <w:r w:rsidR="00AE79DB">
        <w:t xml:space="preserve">a couple of fairly uncontroversial ideas. First, God created the world. Second, God is benevolent, so created the world to flourish. Third, </w:t>
      </w:r>
      <w:r w:rsidR="00924C11">
        <w:t xml:space="preserve">this means that creatures naturally do what leads them to flourish. Fourth, sin has damaged creation so that </w:t>
      </w:r>
      <w:r w:rsidR="00BA50F1">
        <w:t>creatures don’t always do this</w:t>
      </w:r>
      <w:r w:rsidR="00330E54">
        <w:t>, but they do so to a sufficient extent that we can work out what’s good for them by looking at what they do</w:t>
      </w:r>
      <w:r w:rsidR="00110689">
        <w:t>—with a little outside help</w:t>
      </w:r>
      <w:r w:rsidR="00BA50F1">
        <w:t>.</w:t>
      </w:r>
      <w:r w:rsidR="006D4EE8">
        <w:t xml:space="preserve"> </w:t>
      </w:r>
      <w:r w:rsidR="00940266">
        <w:t xml:space="preserve">Fifth, knowing this is a way of knowing God, insofar as it is God who instituted the whole state of affairs. </w:t>
      </w:r>
      <w:r w:rsidR="006D4EE8">
        <w:t>Th</w:t>
      </w:r>
      <w:r w:rsidR="008F159F">
        <w:t>e</w:t>
      </w:r>
      <w:r w:rsidR="006D4EE8">
        <w:t>s</w:t>
      </w:r>
      <w:r w:rsidR="008F159F">
        <w:t>e</w:t>
      </w:r>
      <w:r w:rsidR="006D4EE8">
        <w:t xml:space="preserve"> last </w:t>
      </w:r>
      <w:r w:rsidR="008F159F">
        <w:t>two ideas are</w:t>
      </w:r>
      <w:r w:rsidR="006D4EE8">
        <w:t xml:space="preserve"> probably the most controversial part of natural law theology, as some Reformed theologians argue that sin has so damaged creation it can’t be trusted to guide us in this way.</w:t>
      </w:r>
    </w:p>
    <w:p w14:paraId="7A3E18E2" w14:textId="3B315837" w:rsidR="00BA50F1" w:rsidRDefault="0065663C" w:rsidP="00001B5D">
      <w:r>
        <w:t xml:space="preserve">Thomas presents the natural law as one of four distinct types of law. The first is the Eternal Law. This is </w:t>
      </w:r>
      <w:r w:rsidR="00600687">
        <w:t>God’s divine Reason, which structures the created world according to its own logic</w:t>
      </w:r>
      <w:r w:rsidR="00060A20">
        <w:t xml:space="preserve">s. </w:t>
      </w:r>
    </w:p>
    <w:p w14:paraId="31782E0C" w14:textId="255D2299" w:rsidR="00477A58" w:rsidRPr="00477A58" w:rsidRDefault="00060A20" w:rsidP="00001B5D">
      <w:r>
        <w:t>The second is the Natural Law. This is our knowledge of the Eternal Law. We cannot know the Eternal Law directly, because God is mysterious. However, we possess reason that is an image of God’s own reason</w:t>
      </w:r>
      <w:r w:rsidR="00FF2B31">
        <w:t>. Moreover, the world is structured according to the Divine Reason.</w:t>
      </w:r>
      <w:r w:rsidR="00DB4CA1">
        <w:t xml:space="preserve"> This means that we can use our reason to discern something of the Divine Reason by observing the created order of the world.</w:t>
      </w:r>
      <w:r w:rsidR="00FF2B31">
        <w:t xml:space="preserve"> More specifically, God is benevolent, and created the world so that it would naturally look after itself and exist in a fulfilling way</w:t>
      </w:r>
      <w:r w:rsidR="004D57C9">
        <w:t xml:space="preserve">—which is another way of saying that creatures have </w:t>
      </w:r>
      <w:r w:rsidR="004D57C9">
        <w:rPr>
          <w:i/>
          <w:iCs/>
        </w:rPr>
        <w:t xml:space="preserve">natures. </w:t>
      </w:r>
      <w:r w:rsidR="004D57C9">
        <w:t xml:space="preserve">It means something to be a certain kind of creature: certain things are good for certain creatures, and God has made them such that they are inclined to seek or do those things. </w:t>
      </w:r>
      <w:r w:rsidR="00E13EE4">
        <w:t>This means that</w:t>
      </w:r>
      <w:r w:rsidR="00477A58">
        <w:t xml:space="preserve"> discerning the created order of the universe lets us not only know God, but know what God </w:t>
      </w:r>
      <w:r w:rsidR="00477A58">
        <w:rPr>
          <w:i/>
          <w:iCs/>
        </w:rPr>
        <w:t xml:space="preserve">wants </w:t>
      </w:r>
      <w:r w:rsidR="00477A58">
        <w:t>for the world</w:t>
      </w:r>
      <w:r w:rsidR="004D57C9">
        <w:t>—</w:t>
      </w:r>
      <w:r w:rsidR="00477A58">
        <w:t xml:space="preserve">what is </w:t>
      </w:r>
      <w:r w:rsidR="00477A58">
        <w:rPr>
          <w:i/>
          <w:iCs/>
        </w:rPr>
        <w:t xml:space="preserve">good for </w:t>
      </w:r>
      <w:r w:rsidR="00477A58">
        <w:t>it. This makes the Natural Law a source of moral insight.</w:t>
      </w:r>
    </w:p>
    <w:p w14:paraId="21CDAA49" w14:textId="06974FFD" w:rsidR="00060A20" w:rsidRDefault="00477A58" w:rsidP="00001B5D">
      <w:r>
        <w:t xml:space="preserve">However, both human reason and </w:t>
      </w:r>
      <w:r w:rsidR="00905FFD">
        <w:t xml:space="preserve">the world are damaged by sin. </w:t>
      </w:r>
      <w:r w:rsidR="00084ADC">
        <w:t xml:space="preserve">Likewise, there are some goods that simply aren’t available to human reason alone—for example, the good of self-sacrifice, which seems to be </w:t>
      </w:r>
      <w:r w:rsidR="00084ADC">
        <w:rPr>
          <w:i/>
          <w:iCs/>
        </w:rPr>
        <w:t xml:space="preserve">bad </w:t>
      </w:r>
      <w:r w:rsidR="00084ADC">
        <w:t xml:space="preserve">for the person making the sacrifice. </w:t>
      </w:r>
      <w:r w:rsidR="00905FFD">
        <w:t>This means that simply using human reason to observe the world doesn’t provide us with 100% reliable insight.</w:t>
      </w:r>
      <w:r w:rsidR="00084ADC">
        <w:t xml:space="preserve"> </w:t>
      </w:r>
      <w:r w:rsidR="0072643E">
        <w:t>Rather, we need to also be informed by revelation: what Thomas calls the Divine Law. This means things like the 10 commandments.</w:t>
      </w:r>
    </w:p>
    <w:p w14:paraId="5400AB38" w14:textId="30BCAAA1" w:rsidR="0072643E" w:rsidRDefault="0072643E" w:rsidP="00001B5D">
      <w:r>
        <w:t xml:space="preserve">Finally, there is Human Law. This is the laws and policies of government. </w:t>
      </w:r>
      <w:r w:rsidR="00B42756">
        <w:t>Ideally, Thomas thinks, human society ought to be ordered towards the Eternal Law, which means that Human Law should be an application of the Natural and Divine Law—although unjust government</w:t>
      </w:r>
      <w:r w:rsidR="003D2CBE">
        <w:t>s can make laws in other ways too.</w:t>
      </w:r>
    </w:p>
    <w:p w14:paraId="22746FE1" w14:textId="77777777" w:rsidR="00DC09C1" w:rsidRDefault="003A326F" w:rsidP="00001B5D">
      <w:r>
        <w:t>Under this view, the Natural Law is a way of knowing moral reality, rather than a book of rules. This isn’t to say that Natural Law theology doesn’t produce moral rules—but these are derived through reasoning based on our informed observation of the world</w:t>
      </w:r>
      <w:r w:rsidR="0002450F">
        <w:t xml:space="preserve">, and what creatures need to flourish within it. </w:t>
      </w:r>
    </w:p>
    <w:p w14:paraId="0224CFF7" w14:textId="79DA5859" w:rsidR="00446E69" w:rsidRDefault="0002450F" w:rsidP="00001B5D">
      <w:r>
        <w:t xml:space="preserve">The idea of the Natural Law as a book of rules </w:t>
      </w:r>
      <w:r w:rsidR="00DC09C1">
        <w:t>is a product of later developments in the Natural Law tradition. Under Thomas’ view, the relationship between God and the world is</w:t>
      </w:r>
      <w:r w:rsidR="00450023">
        <w:t xml:space="preserve"> an </w:t>
      </w:r>
      <w:r w:rsidR="00450023">
        <w:rPr>
          <w:i/>
          <w:iCs/>
        </w:rPr>
        <w:t xml:space="preserve">intrinsic </w:t>
      </w:r>
      <w:r w:rsidR="00450023">
        <w:t>one.</w:t>
      </w:r>
      <w:r w:rsidR="00F06949">
        <w:t xml:space="preserve"> God’s will </w:t>
      </w:r>
      <w:r w:rsidR="00F63952">
        <w:t xml:space="preserve">is in conformity with God’s reason, meaning that the ordering of the world in </w:t>
      </w:r>
      <w:r w:rsidR="00F63952">
        <w:lastRenderedPageBreak/>
        <w:t>according with the Divine Reason (i.e. the Eternal Law) is also an ordering of the world in accordance with God’s will.</w:t>
      </w:r>
      <w:r w:rsidR="00DC09C1">
        <w:t xml:space="preserve"> </w:t>
      </w:r>
      <w:r w:rsidR="00A21A7F">
        <w:t>The world is</w:t>
      </w:r>
      <w:r w:rsidR="00F63952">
        <w:t xml:space="preserve"> thus</w:t>
      </w:r>
      <w:r w:rsidR="00A21A7F">
        <w:t xml:space="preserve"> shaped by God’s will at a fundamental level, such that what it does is an expression of God’s will (except where sin makes it go wrong, i.e. perverts</w:t>
      </w:r>
      <w:r w:rsidR="00F63952">
        <w:t xml:space="preserve"> the created order</w:t>
      </w:r>
      <w:r w:rsidR="00A21A7F">
        <w:t>)</w:t>
      </w:r>
      <w:r w:rsidR="00450023">
        <w:t>.</w:t>
      </w:r>
    </w:p>
    <w:p w14:paraId="06E030E8" w14:textId="77777777" w:rsidR="00B946AD" w:rsidRDefault="00DC09C1" w:rsidP="00001B5D">
      <w:r>
        <w:t>During the late medieval and early modern era, theologians began to think of the relationship b</w:t>
      </w:r>
      <w:r w:rsidR="00355FB3">
        <w:t xml:space="preserve">etween God and the world </w:t>
      </w:r>
      <w:r w:rsidR="009860FB">
        <w:t>differently</w:t>
      </w:r>
      <w:r w:rsidR="00446E69">
        <w:t xml:space="preserve">. </w:t>
      </w:r>
      <w:r w:rsidR="00B35681">
        <w:t>In this view, God’s will is</w:t>
      </w:r>
      <w:r w:rsidR="001657A6">
        <w:t xml:space="preserve"> </w:t>
      </w:r>
      <w:r w:rsidR="001657A6">
        <w:rPr>
          <w:i/>
          <w:iCs/>
        </w:rPr>
        <w:t xml:space="preserve">extrinsic </w:t>
      </w:r>
      <w:r w:rsidR="001657A6">
        <w:t>to the world—imposed on it from without</w:t>
      </w:r>
      <w:r w:rsidR="009860FB">
        <w:t xml:space="preserve"> like a lawmaker imposes laws on an unruly subject.</w:t>
      </w:r>
      <w:r w:rsidR="001F367B">
        <w:t xml:space="preserve"> In this view, the Natural Law is less human reason’s knowledge of the intrinsic ordering of creation, and more human reason’s knowledge of God’s will as divine lawmaker. </w:t>
      </w:r>
    </w:p>
    <w:p w14:paraId="4120284B" w14:textId="77777777" w:rsidR="00B946AD" w:rsidRDefault="005456DE" w:rsidP="00001B5D">
      <w:r>
        <w:t xml:space="preserve">Also associated with this time was a view of human reason inspired by mathematics, as deducing </w:t>
      </w:r>
      <w:r w:rsidR="00913BFF">
        <w:t>certain</w:t>
      </w:r>
      <w:r>
        <w:t xml:space="preserve"> conclusions </w:t>
      </w:r>
      <w:r w:rsidR="00913BFF">
        <w:t xml:space="preserve">according to the inviolable, </w:t>
      </w:r>
      <w:r w:rsidR="00E85C40">
        <w:t xml:space="preserve">universal, and </w:t>
      </w:r>
      <w:r w:rsidR="00913BFF">
        <w:t>consistent rules of logic. Under this view, once a c</w:t>
      </w:r>
      <w:r w:rsidR="00E85C40">
        <w:t xml:space="preserve">onclusion has been reached, it has been reached in a way that is guaranteed to be true for all times and circumstances. This means that moral conclusions from authoritative sources could be taken for granted. </w:t>
      </w:r>
    </w:p>
    <w:p w14:paraId="556D9509" w14:textId="61374914" w:rsidR="003D2CBE" w:rsidRDefault="00B946AD" w:rsidP="00001B5D">
      <w:r>
        <w:t>These two developments together</w:t>
      </w:r>
      <w:r w:rsidR="00C83D78">
        <w:t xml:space="preserve"> produce</w:t>
      </w:r>
      <w:r>
        <w:t>d</w:t>
      </w:r>
      <w:r w:rsidR="00C83D78">
        <w:t xml:space="preserve"> a view of the Natural La</w:t>
      </w:r>
      <w:r>
        <w:t>w as a set of laws to be imposed on the world, with various interpretations of those laws simply being taken for granted going forwards—the view of Natural Law underlying the kinds of uses of Natural Law with which you might be familiar. But it doesn’t have to be this way, and during the 20</w:t>
      </w:r>
      <w:r w:rsidRPr="00B946AD">
        <w:rPr>
          <w:vertAlign w:val="superscript"/>
        </w:rPr>
        <w:t>th</w:t>
      </w:r>
      <w:r>
        <w:t xml:space="preserve"> Century various theologians began to recover the older view of Natural Law, and the more open-ended model of moral inquiry it suggest</w:t>
      </w:r>
      <w:r w:rsidR="009A037D">
        <w:t>s</w:t>
      </w:r>
      <w:r>
        <w:t>.</w:t>
      </w:r>
      <w:r w:rsidR="00C31344">
        <w:t xml:space="preserve"> This is the sort of approach taken by Ford.</w:t>
      </w:r>
    </w:p>
    <w:p w14:paraId="3CA9CB9F" w14:textId="0CE45501" w:rsidR="00C31344" w:rsidRDefault="00C31344" w:rsidP="00C31344">
      <w:pPr>
        <w:pStyle w:val="Heading1"/>
      </w:pPr>
      <w:r>
        <w:t>Part 2 – Ford’s queer natural law of exploration</w:t>
      </w:r>
    </w:p>
    <w:p w14:paraId="4D519A24" w14:textId="77777777" w:rsidR="009971EB" w:rsidRDefault="00317E30" w:rsidP="00CE2AD7">
      <w:r>
        <w:t xml:space="preserve">Ford writes </w:t>
      </w:r>
      <w:r w:rsidR="00094552">
        <w:t>that Alcorn’s suicide was driven in part by “an operative theology that is…as tendentious as it is deadly” (304).</w:t>
      </w:r>
      <w:r w:rsidR="00825ABC">
        <w:t xml:space="preserve"> The situation of trans people in the US—which he details with some alarming statistics—is partly driven by a theology</w:t>
      </w:r>
      <w:r w:rsidR="008939B9">
        <w:t xml:space="preserve"> that makes American society, and in particular its schools, including Catholic schools, a hostile environment for trans children.</w:t>
      </w:r>
      <w:r w:rsidR="00524FD9">
        <w:t xml:space="preserve"> Children are particularly vulnerable in a schools context due to the </w:t>
      </w:r>
      <w:r w:rsidR="00360E51">
        <w:t>power school administrations have over large proportions of their lives. He writes, “</w:t>
      </w:r>
      <w:r w:rsidR="00234FE5">
        <w:t>Erected as a shield by school administrators and bishops alike, Catholic theology stands in as the ultimate justification for a variety of positions taken that either deny accommodations to transgender students or eliminate the bodies of transgender persons from Catholic spaces altogether” (305).</w:t>
      </w:r>
      <w:r w:rsidR="00EC2624">
        <w:t xml:space="preserve"> </w:t>
      </w:r>
    </w:p>
    <w:p w14:paraId="0FA96E43" w14:textId="2200CE2F" w:rsidR="00CE2AD7" w:rsidRDefault="009971EB" w:rsidP="00CE2AD7">
      <w:r>
        <w:t>Ford</w:t>
      </w:r>
      <w:r w:rsidR="00EC2624">
        <w:t xml:space="preserve"> also notes that there are examples, both within and outside the US, in which Catholic institutions have been more welcoming to trans people</w:t>
      </w:r>
      <w:r>
        <w:t>. In these various cases, he writes</w:t>
      </w:r>
      <w:r w:rsidR="007B449B">
        <w:t>,</w:t>
      </w:r>
      <w:r>
        <w:t xml:space="preserve"> parties refer to “Catholic values” to justify their responses to transness—but in divergent ways. This, he argues, suggests a level of theological </w:t>
      </w:r>
      <w:r w:rsidR="00875552">
        <w:t>uncertainty</w:t>
      </w:r>
      <w:r>
        <w:t xml:space="preserve"> in the sense that Catholic values can be interpreted to produce diametrically opposed policies.</w:t>
      </w:r>
      <w:r w:rsidR="00B30BBE">
        <w:t xml:space="preserve"> Ford’s paper is an attempt to resolve some of this </w:t>
      </w:r>
      <w:r w:rsidR="00875552">
        <w:t>uncertainty</w:t>
      </w:r>
      <w:r w:rsidR="00B30BBE">
        <w:t>, arguing that Catholic theology suggests the more welcoming approach.</w:t>
      </w:r>
    </w:p>
    <w:p w14:paraId="335A82C6" w14:textId="77777777" w:rsidR="0006298A" w:rsidRDefault="00C14C27" w:rsidP="00CE2AD7">
      <w:r>
        <w:t xml:space="preserve">He begins by noting that Church teaching around transness tends to approach it through the </w:t>
      </w:r>
      <w:r w:rsidR="001B6ACC">
        <w:t xml:space="preserve">derogatory </w:t>
      </w:r>
      <w:r>
        <w:t xml:space="preserve">frame of “ideology”, </w:t>
      </w:r>
      <w:r w:rsidR="00CF1EA3">
        <w:t>which marshals a</w:t>
      </w:r>
      <w:r w:rsidR="00C3157D">
        <w:t xml:space="preserve"> confused</w:t>
      </w:r>
      <w:r w:rsidR="00CF1EA3">
        <w:t xml:space="preserve"> range of potentially contradictory themes to present transness as a rejection or lack of respect for creation</w:t>
      </w:r>
      <w:r w:rsidR="0006298A">
        <w:t>—which is to say, a refusal to receive the gift of human nature as we ought</w:t>
      </w:r>
      <w:r w:rsidR="00CF1EA3">
        <w:t>.</w:t>
      </w:r>
      <w:r w:rsidR="00C3157D">
        <w:t xml:space="preserve"> </w:t>
      </w:r>
    </w:p>
    <w:p w14:paraId="257323A9" w14:textId="366A90B6" w:rsidR="00C14C27" w:rsidRDefault="00C3157D" w:rsidP="00CE2AD7">
      <w:r>
        <w:lastRenderedPageBreak/>
        <w:t>Looking critically at this confusion, Ford suggests that what really lies at the heart of this discourse</w:t>
      </w:r>
      <w:r w:rsidR="00875552">
        <w:t xml:space="preserve"> is a concern about “opposition to the magisterium’s positions related to sex and gender”</w:t>
      </w:r>
      <w:r w:rsidR="00C673DE">
        <w:t>:</w:t>
      </w:r>
      <w:r w:rsidR="001125E3">
        <w:t xml:space="preserve"> a concern that derives from a sense of threat to the teaching on marriage that is underpinned by the ideas transness ostensibly </w:t>
      </w:r>
      <w:r w:rsidR="00C822DC">
        <w:t>challenges</w:t>
      </w:r>
      <w:r w:rsidR="001125E3">
        <w:t>.</w:t>
      </w:r>
      <w:r w:rsidR="00BF52BE">
        <w:t xml:space="preserve"> Ultimately, it is a concern for </w:t>
      </w:r>
      <w:r w:rsidR="00E90B78">
        <w:t xml:space="preserve">the idea of “complementarity”: the idea that humans </w:t>
      </w:r>
      <w:r w:rsidR="00C673DE">
        <w:t xml:space="preserve">by nature </w:t>
      </w:r>
      <w:r w:rsidR="00E90B78">
        <w:t>can be divided up into two sexual types which, by nature, orient each individual towards playing a certain role within the context of</w:t>
      </w:r>
      <w:r w:rsidR="003D3E90">
        <w:t xml:space="preserve"> necessarily</w:t>
      </w:r>
      <w:r w:rsidR="00E90B78">
        <w:t xml:space="preserve"> heterosexual marriage as conceived in Catholic teaching.</w:t>
      </w:r>
      <w:r w:rsidR="00CC6845">
        <w:t xml:space="preserve"> This in turn touches on questions of policy, insofar as the Church sees marriage as securing various goods for people in society—i.e. as a component of human flourishing, and therefore one of the things the Natural Law tells us to do. This means that Human Law—which is to say, government policy—ought to protect and promote marriage so conceived as an institutions</w:t>
      </w:r>
      <w:r w:rsidR="005A57ED">
        <w:t>, including from queerness.</w:t>
      </w:r>
    </w:p>
    <w:p w14:paraId="064B6BD5" w14:textId="37BE2236" w:rsidR="00202453" w:rsidRDefault="008033CF" w:rsidP="00CE2AD7">
      <w:r>
        <w:t xml:space="preserve">Ford notes that Catholic responses to trans people founder upon these points. Mainstream discourse about trans people tends to stop at relatively nebulous rhetoric around </w:t>
      </w:r>
      <w:r w:rsidR="00F745AB">
        <w:t>hospitality and welcome that leaves these more substantive points of condemnation—and the policies they motivate—intact.</w:t>
      </w:r>
      <w:r w:rsidR="00BF424B">
        <w:t xml:space="preserve"> In this context, he argues, it is important to engage Natural Law reasoning in order to develop a</w:t>
      </w:r>
      <w:r w:rsidR="00CF5995">
        <w:t xml:space="preserve">n </w:t>
      </w:r>
      <w:r w:rsidR="00BF424B">
        <w:t xml:space="preserve">argument </w:t>
      </w:r>
      <w:r w:rsidR="00CF5995">
        <w:t xml:space="preserve">that can substantively engage </w:t>
      </w:r>
      <w:r w:rsidR="001C2889">
        <w:t>this hostile framework, and outline a rationale for a more genuinely just response to transness.</w:t>
      </w:r>
    </w:p>
    <w:p w14:paraId="1053DDA3" w14:textId="2721284E" w:rsidR="00BC25EF" w:rsidRDefault="00BC25EF" w:rsidP="00CE2AD7">
      <w:r>
        <w:t>Moreover, he argues, there is value in the Natural Law framework itself, making it worth preserving.</w:t>
      </w:r>
      <w:r w:rsidR="00802E3B">
        <w:t xml:space="preserve"> </w:t>
      </w:r>
      <w:r w:rsidR="003A5868">
        <w:t xml:space="preserve">First, </w:t>
      </w:r>
      <w:r w:rsidR="00B84A8A">
        <w:t>Ford argues that we can never fully dispense with the idea of human nature</w:t>
      </w:r>
      <w:r w:rsidR="0090404F">
        <w:t xml:space="preserve"> which underpins it</w:t>
      </w:r>
      <w:r w:rsidR="004D57C9">
        <w:t xml:space="preserve">: insofar as we can say </w:t>
      </w:r>
      <w:r w:rsidR="004D57C9">
        <w:rPr>
          <w:i/>
          <w:iCs/>
        </w:rPr>
        <w:t xml:space="preserve">anything </w:t>
      </w:r>
      <w:r w:rsidR="004D57C9">
        <w:t xml:space="preserve">about what it means to be human, humans have a nature. This is the case even in light of deflationary accounts of that nature which attributes many of its traditional features to culture or language, rather than nature itself. </w:t>
      </w:r>
      <w:r w:rsidR="00DA4069">
        <w:t>At the very least, we are creatures that are a product of or have culture or language.</w:t>
      </w:r>
      <w:r w:rsidR="003A5868">
        <w:t xml:space="preserve"> This provides a basis for a Natural Law ethics</w:t>
      </w:r>
      <w:r w:rsidR="0090404F">
        <w:t>.</w:t>
      </w:r>
    </w:p>
    <w:p w14:paraId="339D976A" w14:textId="313C0EB6" w:rsidR="00A60395" w:rsidRDefault="0090404F" w:rsidP="00CE2AD7">
      <w:r>
        <w:t xml:space="preserve">Second, </w:t>
      </w:r>
      <w:r w:rsidR="00A60395">
        <w:t xml:space="preserve">Ford is particularly interested in </w:t>
      </w:r>
      <w:r w:rsidR="00D46263">
        <w:t xml:space="preserve">a feature that has long been attributed to human nature by the Catholic tradition: </w:t>
      </w:r>
      <w:r w:rsidR="00641FFD">
        <w:t>the idea that “we are the type of beings who go about the world learning the truth—admittedly partial and imperfect—by exploring the world</w:t>
      </w:r>
      <w:r w:rsidR="00341740">
        <w:t xml:space="preserve">” (320). In this view, </w:t>
      </w:r>
      <w:r w:rsidR="00B160E5">
        <w:t xml:space="preserve">it is </w:t>
      </w:r>
      <w:r w:rsidR="00B160E5" w:rsidRPr="00EB3374">
        <w:rPr>
          <w:i/>
          <w:iCs/>
        </w:rPr>
        <w:t>good for</w:t>
      </w:r>
      <w:r w:rsidR="00B160E5">
        <w:t xml:space="preserve"> humans to explore the world</w:t>
      </w:r>
      <w:r w:rsidR="00EB3374">
        <w:t>, helping us to secure the goods that we need to flourish as rational creatures</w:t>
      </w:r>
      <w:r w:rsidR="00B160E5">
        <w:t>—and we were created by a benevolent God to do so.</w:t>
      </w:r>
      <w:r w:rsidR="0026063D">
        <w:t xml:space="preserve"> Why is it good for us? The answer is that</w:t>
      </w:r>
      <w:r w:rsidR="005A1B02">
        <w:t xml:space="preserve"> “this exploration, in a theological key, will bring [us] closer to God” (323).</w:t>
      </w:r>
    </w:p>
    <w:p w14:paraId="17E6F3CE" w14:textId="3CCFE01F" w:rsidR="00E92697" w:rsidRDefault="00E92697" w:rsidP="00CE2AD7">
      <w:r>
        <w:t xml:space="preserve">Ford argues that this requires </w:t>
      </w:r>
      <w:r w:rsidR="0090404F">
        <w:t xml:space="preserve">an “integrative approach” to faith and reason that </w:t>
      </w:r>
      <w:r w:rsidR="002A7C5C">
        <w:t>refuses to take Church teaching as a given to the exclusion of the fruits of ongoing inquiry. In particular, this means that the Church ought not to ignore</w:t>
      </w:r>
      <w:r w:rsidR="00E076DF">
        <w:t xml:space="preserve"> the state of the field in</w:t>
      </w:r>
      <w:r w:rsidR="002A7C5C">
        <w:t xml:space="preserve"> </w:t>
      </w:r>
      <w:r w:rsidR="00E076DF">
        <w:t>gender studies, which strikes against the Church’s gender essentialism—and thus its condemnation of transness.</w:t>
      </w:r>
    </w:p>
    <w:p w14:paraId="20391A99" w14:textId="77777777" w:rsidR="00C2000A" w:rsidRDefault="00EC47DE" w:rsidP="00CE2AD7">
      <w:r>
        <w:t>Ford also presents a Natural Law argument specifically for freedom to transition, which he argues can be seen as a component of this exploration.</w:t>
      </w:r>
      <w:r w:rsidR="0090026F">
        <w:t xml:space="preserve"> Ford writes, </w:t>
      </w:r>
    </w:p>
    <w:p w14:paraId="32E33065" w14:textId="2B8A29A3" w:rsidR="00E35C38" w:rsidRDefault="0090026F" w:rsidP="00C2000A">
      <w:pPr>
        <w:ind w:left="567" w:right="567"/>
      </w:pPr>
      <w:r>
        <w:t xml:space="preserve">Sex and gender identity are among the </w:t>
      </w:r>
      <w:r w:rsidR="0089745C">
        <w:t>e</w:t>
      </w:r>
      <w:r>
        <w:t>lements of one’s self that one must explore</w:t>
      </w:r>
      <w:r w:rsidR="00527CBA">
        <w:t xml:space="preserve"> not only introspectively in the sacred space of one’s conscience, but also in community—perhaps with one’s family. With one’s close circle of friends, and even with one’s Christian community…</w:t>
      </w:r>
      <w:r w:rsidR="00C2000A">
        <w:t xml:space="preserve"> living into one’s sex and gender identity is part of the larger journey towards fulfilment in one’s relationship with one’s self, with others, with the world, and with God. (323)</w:t>
      </w:r>
    </w:p>
    <w:p w14:paraId="0690F4C6" w14:textId="5E389380" w:rsidR="00801C56" w:rsidRPr="00763D6B" w:rsidRDefault="00C2000A" w:rsidP="00CE2AD7">
      <w:r>
        <w:lastRenderedPageBreak/>
        <w:t>There are several themes going on here. At its heart, this argument is to the point that exploring one’s gender is a part of a virtuous life—which is to say, the life in which we fulfil our natures, which as you will remember is central to the moral life</w:t>
      </w:r>
      <w:r w:rsidR="00825DEB">
        <w:t xml:space="preserve"> insofar as they are bound up in one another.</w:t>
      </w:r>
      <w:r w:rsidR="008F18BF">
        <w:t xml:space="preserve"> </w:t>
      </w:r>
      <w:r w:rsidR="00825DEB">
        <w:t xml:space="preserve">Our natures are such that we find fulfilment in particular </w:t>
      </w:r>
      <w:r w:rsidR="00784B88">
        <w:t>goods</w:t>
      </w:r>
      <w:r w:rsidR="00825DEB">
        <w:t xml:space="preserve"> </w:t>
      </w:r>
      <w:r w:rsidR="00825DEB">
        <w:rPr>
          <w:i/>
          <w:iCs/>
        </w:rPr>
        <w:t xml:space="preserve">and </w:t>
      </w:r>
      <w:r w:rsidR="00825DEB">
        <w:t>that we pursue them.</w:t>
      </w:r>
      <w:r w:rsidR="00784B88">
        <w:t xml:space="preserve"> The moral life, in which we pursue those goods, thus involves fulfillin</w:t>
      </w:r>
      <w:r w:rsidR="005F51D2">
        <w:t>g our nature.</w:t>
      </w:r>
      <w:r w:rsidR="00763D6B">
        <w:t xml:space="preserve"> Moreover, this pursuit is not just a private, inwards affair, but is something that we do in our wider social lives, through </w:t>
      </w:r>
      <w:r w:rsidR="00763D6B">
        <w:rPr>
          <w:i/>
          <w:iCs/>
        </w:rPr>
        <w:t xml:space="preserve">living </w:t>
      </w:r>
      <w:r w:rsidR="00763D6B">
        <w:t>a life that embodies this inquiry. In short, it involves transitioning and living a trans life.</w:t>
      </w:r>
    </w:p>
    <w:p w14:paraId="5B2CE591" w14:textId="244A0EA8" w:rsidR="00801C56" w:rsidRDefault="00801C56" w:rsidP="00CE2AD7">
      <w:r>
        <w:t>More specifically, Ford seems to suggest that this exploration is fulfilling in two ways</w:t>
      </w:r>
      <w:r w:rsidR="008D0376">
        <w:t xml:space="preserve">—which he does not particularly clearly separate out, but which correspond to the two ways in which our natures orient us towards those goods. First, as rational creatures, created to pursue our flourishing through exploration, this exploration </w:t>
      </w:r>
      <w:r w:rsidR="008D0376">
        <w:rPr>
          <w:i/>
          <w:iCs/>
        </w:rPr>
        <w:t xml:space="preserve">itself </w:t>
      </w:r>
      <w:r w:rsidR="008D0376">
        <w:t>is fulfilling.</w:t>
      </w:r>
      <w:r w:rsidR="007732B6">
        <w:t xml:space="preserve"> Ford figures this in terms of the virtue of “chastity”, which he quotes the Catechism to define as “the successful integration of sexuality within the person and thus the inner unity of man and his bodily and spiritual being” (CCC 2337). Leaning on his argument about integrating reason into our view of the world mentioned previously to dispense with the gender-essentialist presuppositions underpinning the way chastity is often figured, Ford writes that this exploration helps us to “become more chaste” in the sense of being able to “encounter the world as a sexual being who is unified, integrated, and who exhibits praiseworthy well-being” (325).</w:t>
      </w:r>
      <w:r w:rsidR="008D0376">
        <w:t xml:space="preserve"> Second, the goods that we thereby obtain are fulfilling, too.</w:t>
      </w:r>
      <w:r w:rsidR="0065324F">
        <w:t xml:space="preserve"> Hence Ford goes on to quote some testimonies from trans people in which they describe how transition </w:t>
      </w:r>
      <w:r w:rsidR="00763D6B">
        <w:t>has led them to grow in flourishing, including in terms of love of God.</w:t>
      </w:r>
    </w:p>
    <w:p w14:paraId="4CA356AA" w14:textId="2BCE4D25" w:rsidR="00F6545E" w:rsidRDefault="0006316D" w:rsidP="00CE2AD7">
      <w:r>
        <w:t xml:space="preserve">Finally, Ford argues that this Natural Law </w:t>
      </w:r>
      <w:r w:rsidR="00B8640E">
        <w:t>approach</w:t>
      </w:r>
      <w:r>
        <w:t xml:space="preserve"> might be viewed as a “queer” one. Queerness in queer theory and theology is generally defined in opposition to identitarian </w:t>
      </w:r>
      <w:r w:rsidR="00B8640E">
        <w:t>accounts of things like transness</w:t>
      </w:r>
      <w:r w:rsidR="00F6545E">
        <w:t>. This mirrors</w:t>
      </w:r>
      <w:r w:rsidR="00B8640E">
        <w:t xml:space="preserve"> the trans liberationism we discussed last week</w:t>
      </w:r>
      <w:r w:rsidR="00F6545E">
        <w:t>—indeed not only in its anti-identitarianism, but in the way that transness is figured here as an issue of</w:t>
      </w:r>
      <w:r w:rsidR="00CC2AAB">
        <w:t xml:space="preserve"> freedom. Trans people become a group defined by the lack of freedom of inquiry that is extended to cis people.</w:t>
      </w:r>
    </w:p>
    <w:p w14:paraId="43FCCCA5" w14:textId="5B8306A9" w:rsidR="0006316D" w:rsidRDefault="00B8640E" w:rsidP="00CE2AD7">
      <w:r>
        <w:t>Ford argues that this Natural Law approach is queer in this sense: to be trans here is not to possess some specific identity, but to be engaged in a process of inquiry</w:t>
      </w:r>
      <w:r w:rsidR="00EA4E22">
        <w:t xml:space="preserve">—and one </w:t>
      </w:r>
      <w:r>
        <w:t>in which identities are put into question and revised</w:t>
      </w:r>
      <w:r w:rsidR="006B3319">
        <w:t>, as well as reached</w:t>
      </w:r>
      <w:r w:rsidR="00EA4E22">
        <w:t>.</w:t>
      </w:r>
    </w:p>
    <w:p w14:paraId="3CA25DE3" w14:textId="4ADC3DA5" w:rsidR="003562EE" w:rsidRDefault="003562EE" w:rsidP="003562EE">
      <w:pPr>
        <w:pStyle w:val="Heading1"/>
      </w:pPr>
      <w:r>
        <w:t>Part 3 – Ford’s natural law in historical context</w:t>
      </w:r>
    </w:p>
    <w:p w14:paraId="728228A3" w14:textId="25FF0A06" w:rsidR="008E5455" w:rsidRDefault="00F44373" w:rsidP="008E5455">
      <w:r>
        <w:t xml:space="preserve">Although Ford doesn’t </w:t>
      </w:r>
      <w:r w:rsidR="00AE4F0C">
        <w:t xml:space="preserve">mention it, his argument for freedom to transition mirrors the Second Vatican Council’s arguments for freedom of conscience and religion. </w:t>
      </w:r>
      <w:r w:rsidR="00B54662">
        <w:t>During</w:t>
      </w:r>
      <w:r w:rsidR="003738F4">
        <w:t xml:space="preserve"> the 19</w:t>
      </w:r>
      <w:r w:rsidR="003738F4" w:rsidRPr="003738F4">
        <w:rPr>
          <w:vertAlign w:val="superscript"/>
        </w:rPr>
        <w:t>th</w:t>
      </w:r>
      <w:r w:rsidR="003738F4">
        <w:t xml:space="preserve"> and </w:t>
      </w:r>
      <w:r w:rsidR="008C11A2">
        <w:t xml:space="preserve">the first half of the </w:t>
      </w:r>
      <w:r w:rsidR="003738F4">
        <w:t>20</w:t>
      </w:r>
      <w:r w:rsidR="003738F4" w:rsidRPr="003738F4">
        <w:rPr>
          <w:vertAlign w:val="superscript"/>
        </w:rPr>
        <w:t>th</w:t>
      </w:r>
      <w:r w:rsidR="003738F4">
        <w:t xml:space="preserve"> Centuries, the Catholic Church opposed these freedoms. It did so because it saw them as </w:t>
      </w:r>
      <w:r w:rsidR="00A25CF7">
        <w:t>associated with Protestantism and secular liberalism—</w:t>
      </w:r>
      <w:r w:rsidR="00D915B8">
        <w:t>the Church’s two great rivals in modernity</w:t>
      </w:r>
      <w:r w:rsidR="00A25CF7">
        <w:t>, the latter</w:t>
      </w:r>
      <w:r w:rsidR="00D915B8">
        <w:t xml:space="preserve"> of which</w:t>
      </w:r>
      <w:r w:rsidR="00A25CF7">
        <w:t xml:space="preserve"> pos</w:t>
      </w:r>
      <w:r w:rsidR="00D915B8">
        <w:t>ed</w:t>
      </w:r>
      <w:r w:rsidR="00A25CF7">
        <w:t xml:space="preserve"> an existential threat to the Church in the form of </w:t>
      </w:r>
      <w:r w:rsidR="00D915B8">
        <w:t xml:space="preserve">militant anticlericalism in places such as France. Part of this opposition was rooted in a concern for what these two developments </w:t>
      </w:r>
      <w:r w:rsidR="00671EAA">
        <w:t>represented: the Church teaches that the highest good in human life is eternal life, obtained through salvation. During this time, successive Popes saw freedom of conscience and religion as imperilling this, effectively representing the freedom to dispense with the faith and morality</w:t>
      </w:r>
      <w:r w:rsidR="007F3D96">
        <w:t xml:space="preserve"> that salvation required.</w:t>
      </w:r>
      <w:r w:rsidR="00103BE1">
        <w:t xml:space="preserve"> As a result, the Church championed quite a totalitarian</w:t>
      </w:r>
      <w:r w:rsidR="00A34D13">
        <w:t xml:space="preserve"> view of faith and politics, </w:t>
      </w:r>
      <w:r w:rsidR="007470F9">
        <w:t>asserting that</w:t>
      </w:r>
      <w:r w:rsidR="00A34D13">
        <w:t xml:space="preserve"> </w:t>
      </w:r>
      <w:r w:rsidR="007470F9">
        <w:t>Human Law had to</w:t>
      </w:r>
      <w:r w:rsidR="00A34D13">
        <w:t xml:space="preserve"> </w:t>
      </w:r>
      <w:r w:rsidR="00A34D13">
        <w:lastRenderedPageBreak/>
        <w:t>closely follow the Church’s interpretation of Natural and Divine La</w:t>
      </w:r>
      <w:r w:rsidR="007470F9">
        <w:t>w, to the exclusion of other ways of believing and living.</w:t>
      </w:r>
    </w:p>
    <w:p w14:paraId="0FE9615C" w14:textId="77777777" w:rsidR="0004769F" w:rsidRDefault="007470F9" w:rsidP="008E5455">
      <w:r>
        <w:t>Experiences of totalitarianism during the early and mid-20</w:t>
      </w:r>
      <w:r w:rsidRPr="007470F9">
        <w:rPr>
          <w:vertAlign w:val="superscript"/>
        </w:rPr>
        <w:t>th</w:t>
      </w:r>
      <w:r>
        <w:t xml:space="preserve"> century </w:t>
      </w:r>
      <w:r w:rsidR="00A5081A">
        <w:t xml:space="preserve">challenged this. Both Hitler’s Nazi government, and Mussolini’s fascists threatened Catholics’ religious liberty, the former </w:t>
      </w:r>
      <w:r w:rsidR="00211A24">
        <w:t xml:space="preserve">requiring a Church that answered to the government, and the latter suppressing Catholic civil society. </w:t>
      </w:r>
      <w:r w:rsidR="00921627">
        <w:t>Moreover, the various moral outrages perpetrated by these governments more generally led many Catholics to reconsider the value of Liberal political virtues more broadly.</w:t>
      </w:r>
      <w:r w:rsidR="007A03E1">
        <w:t xml:space="preserve"> Thus the Second Vatican Council in the 1960s—where bishops from around the world gathered effectively to determine the shape of the Church going forward in the post-war age—involved a reappraisal of </w:t>
      </w:r>
      <w:r w:rsidR="0004769F">
        <w:t>both freedom of conscience and religion.</w:t>
      </w:r>
    </w:p>
    <w:p w14:paraId="0D7A2E91" w14:textId="3ACDFED7" w:rsidR="00103BE1" w:rsidRDefault="0004769F" w:rsidP="008E5455">
      <w:r>
        <w:t>This reappraisal did not dispense with the theological ideas underpinning the Church’s previous condemnation of these freedoms.</w:t>
      </w:r>
      <w:r w:rsidR="00921627">
        <w:t xml:space="preserve"> </w:t>
      </w:r>
      <w:r>
        <w:t xml:space="preserve">Rather, it involved a re-evaluation in light of these ideas—a re-evaluation which turned on a </w:t>
      </w:r>
      <w:r w:rsidR="00F84A3A">
        <w:t xml:space="preserve">new appreciation of the spiritual value of freedom as such. The Council argued that salvation requires that we make a </w:t>
      </w:r>
      <w:r w:rsidR="00F84A3A">
        <w:rPr>
          <w:i/>
          <w:iCs/>
        </w:rPr>
        <w:t xml:space="preserve">free </w:t>
      </w:r>
      <w:r w:rsidR="00F84A3A">
        <w:t xml:space="preserve">response to God—which means that coerced belief did not play the role in attaining salvation that </w:t>
      </w:r>
      <w:r w:rsidR="00695043">
        <w:t>the Church earlier thought it did. On the contrary, people must be allowed to seek and respond to God in freedom, without coercion.</w:t>
      </w:r>
      <w:r w:rsidR="0003266E">
        <w:t xml:space="preserve"> For example, one of the main documents of the Council, </w:t>
      </w:r>
      <w:r w:rsidR="0003266E">
        <w:rPr>
          <w:i/>
          <w:iCs/>
        </w:rPr>
        <w:t xml:space="preserve">Gaudium et spes </w:t>
      </w:r>
      <w:r w:rsidR="0003266E">
        <w:t>(§17)</w:t>
      </w:r>
      <w:r w:rsidR="0003266E">
        <w:rPr>
          <w:i/>
          <w:iCs/>
        </w:rPr>
        <w:t xml:space="preserve"> </w:t>
      </w:r>
      <w:r w:rsidR="0003266E">
        <w:t>states that</w:t>
      </w:r>
    </w:p>
    <w:p w14:paraId="04C26372" w14:textId="77777777" w:rsidR="0003266E" w:rsidRDefault="0003266E" w:rsidP="0003266E">
      <w:pPr>
        <w:ind w:left="567" w:right="567"/>
      </w:pPr>
      <w:r w:rsidRPr="0092772C">
        <w:t>Only in freedom can man direct himself toward goodness. Our contemporaries make much of this freedom and pursue it eagerly; and rightly to be sure. Often however they foster it perversely as a license for doing whatever pleases them, even if it is evil. For its part, authentic freedom is an exceptional sign of the divine image within man. For God has willed that man remain "under the control of his own decisions," so that he can seek his Creator spontaneously, and come freely to utter and blissful perfection through loyalty to Him. Hence man's dignity demands that he act according to a knowing and free choice that is personally motivated and prompted from within, not under blind internal impulse nor by mere external pressure. </w:t>
      </w:r>
    </w:p>
    <w:p w14:paraId="3E463A34" w14:textId="286F52A7" w:rsidR="0003266E" w:rsidRDefault="009A2445" w:rsidP="008E5455">
      <w:r>
        <w:t>This</w:t>
      </w:r>
      <w:r w:rsidR="00C1003D">
        <w:t xml:space="preserve"> passage does make reference to the kinds of narratives via which these freedoms w</w:t>
      </w:r>
      <w:r>
        <w:t>e</w:t>
      </w:r>
      <w:r w:rsidR="00C1003D">
        <w:t xml:space="preserve">re once condemned, noting that </w:t>
      </w:r>
      <w:r>
        <w:t xml:space="preserve">people foster freedom “perversely as a license for doing whatever pleases them”. Yet it also acknowledges </w:t>
      </w:r>
      <w:r w:rsidR="008F392D">
        <w:t>that there is a value to freedom as a condition for obtaining our end.</w:t>
      </w:r>
    </w:p>
    <w:p w14:paraId="30E0D3C2" w14:textId="3C774FAF" w:rsidR="008F392D" w:rsidRDefault="008F392D" w:rsidP="008E5455">
      <w:r>
        <w:t>This resembles Ford’s argument, which is that the freedom to transition can be seen as the freedom to engage in exploration, the goal of which is to seek God.</w:t>
      </w:r>
      <w:r w:rsidR="000B0CCB">
        <w:t xml:space="preserve"> In this way, Ford’s argument inscribe</w:t>
      </w:r>
      <w:r w:rsidR="00F81BBD">
        <w:t>s</w:t>
      </w:r>
      <w:r w:rsidR="000B0CCB">
        <w:t xml:space="preserve"> trans liberation within the wider projects of the Council, as it sought a way to move beyond the totalitarianism of the past.</w:t>
      </w:r>
    </w:p>
    <w:p w14:paraId="42F2FB45" w14:textId="703B3234" w:rsidR="00CC2AAB" w:rsidRDefault="00317DA4" w:rsidP="008E5455">
      <w:r>
        <w:t>This is parallel is particularly interesting because of the way it touches on the rhetoric and ideas that Ford identifies as lying at the heart of Catholic transphobia—in two ways. First, there is this rhetoric of transness as the outworking of a nefarious “ideology”. Second, there is the way that this ideology is contested with a theology of gender essentialism, with marriage as a particular concern within it.</w:t>
      </w:r>
    </w:p>
    <w:p w14:paraId="4134E1EA" w14:textId="77777777" w:rsidR="00814BD5" w:rsidRDefault="00C211CB" w:rsidP="008E5455">
      <w:r>
        <w:t xml:space="preserve">These two discourses are in fact linked, with the connection emerging from the very history </w:t>
      </w:r>
      <w:r w:rsidR="00A75F11">
        <w:t>that also produced the Second Vatican Council.</w:t>
      </w:r>
      <w:r w:rsidR="007D7955">
        <w:t xml:space="preserve"> </w:t>
      </w:r>
      <w:r w:rsidR="00310AAF">
        <w:t xml:space="preserve">Catholic opposition to Liberalism prior to the Council was rooted in a longstanding narrative about the misuse of human freedom. Human </w:t>
      </w:r>
      <w:r w:rsidR="00310AAF">
        <w:lastRenderedPageBreak/>
        <w:t>freedom, according to the Church, had to be understood through the same Natural Law framework that underpinned its politics more broadly: the purpose of human freedom was to enable people to live a moral life and to worship God in a way that would lead them to eternal life. Any use of freedom to do otherwise was an abuse of this freedom—</w:t>
      </w:r>
      <w:r w:rsidR="00355C34">
        <w:t xml:space="preserve">something Popes referred to as “license”, which is the term used in the qualification from the passage from the council I </w:t>
      </w:r>
      <w:r w:rsidR="002B2DF8">
        <w:t xml:space="preserve">quoted a moment ago. </w:t>
      </w:r>
    </w:p>
    <w:p w14:paraId="51F4A159" w14:textId="77777777" w:rsidR="00552926" w:rsidRDefault="002B2DF8" w:rsidP="008E5455">
      <w:r>
        <w:t xml:space="preserve">Leo XIII, who was pope from 1878-1903, and who offered the most complete articulation of this narrative during his papacy, </w:t>
      </w:r>
      <w:r w:rsidR="00814BD5">
        <w:t>saw this license as a reproduction of the secular scientific worldview in the world of politics. Secular science at the time approached the world as if it could be understood without reference to God. Correspondingly, secular politics approached the political as if human freedom could be exercised without reference to God—which is to say, the Natural and Divine Law, as interpreted by the Church, through which humanity could know the Eternal Law.</w:t>
      </w:r>
      <w:r w:rsidR="00AB5E12">
        <w:t xml:space="preserve"> </w:t>
      </w:r>
    </w:p>
    <w:p w14:paraId="259508F4" w14:textId="55086AAE" w:rsidR="00317DA4" w:rsidRDefault="00AB5E12" w:rsidP="008E5455">
      <w:r>
        <w:t xml:space="preserve">This </w:t>
      </w:r>
      <w:r w:rsidR="00552926">
        <w:t>view of Liberal “license”</w:t>
      </w:r>
      <w:r>
        <w:t xml:space="preserve"> underpinned </w:t>
      </w:r>
      <w:r w:rsidR="00552926">
        <w:t>Leo’s</w:t>
      </w:r>
      <w:r>
        <w:t xml:space="preserve"> analysis of various political developments during his era, as well as the teachings of successive popes.</w:t>
      </w:r>
      <w:r w:rsidR="00552926">
        <w:t xml:space="preserve"> </w:t>
      </w:r>
      <w:r w:rsidR="0097126E">
        <w:t>Concerns about marriage and sexuality became bound up in this narrative—first in the form of concerns about intermarriage with Protestants</w:t>
      </w:r>
      <w:r w:rsidR="00433B92">
        <w:t>, then civil marriage, then later in the 20</w:t>
      </w:r>
      <w:r w:rsidR="00433B92" w:rsidRPr="00433B92">
        <w:rPr>
          <w:vertAlign w:val="superscript"/>
        </w:rPr>
        <w:t>th</w:t>
      </w:r>
      <w:r w:rsidR="00433B92">
        <w:t xml:space="preserve"> century feminism and reproductive technologies. The reason for this is that marriage is seen in Church teaching as the fundamental unit of society—</w:t>
      </w:r>
      <w:r w:rsidR="00C31C9C">
        <w:t xml:space="preserve"> which is to say, </w:t>
      </w:r>
      <w:r w:rsidR="00433B92">
        <w:t xml:space="preserve">the smallest unit in which people gather together to secure goods that they cannot secure alone, </w:t>
      </w:r>
      <w:r w:rsidR="00C31C9C">
        <w:t xml:space="preserve">and from which the rest of society flows. Various Popes during this time thus saw the family as a particularly important battleground in controversies over the nature of society as such, with changes to the family such as the ones I have just mentioned </w:t>
      </w:r>
      <w:r w:rsidR="009B04BB">
        <w:t>presenting the threat of radical social change along secular political lines.</w:t>
      </w:r>
    </w:p>
    <w:p w14:paraId="488B6988" w14:textId="181916BE" w:rsidR="00F72A19" w:rsidRDefault="003A5C78" w:rsidP="008E5455">
      <w:r>
        <w:t>T</w:t>
      </w:r>
      <w:r w:rsidR="00C106B0">
        <w:t xml:space="preserve">he Second Vatican Council’s </w:t>
      </w:r>
      <w:r w:rsidR="00C106B0">
        <w:rPr>
          <w:i/>
          <w:iCs/>
        </w:rPr>
        <w:t xml:space="preserve">rapprochement </w:t>
      </w:r>
      <w:r w:rsidR="00C106B0">
        <w:t xml:space="preserve">with Liberalism also included a </w:t>
      </w:r>
      <w:r w:rsidR="00281DAE">
        <w:t>qualified embrace of feminism</w:t>
      </w:r>
      <w:r>
        <w:t xml:space="preserve">. For example, </w:t>
      </w:r>
      <w:r>
        <w:rPr>
          <w:i/>
          <w:iCs/>
        </w:rPr>
        <w:t xml:space="preserve">Gaudium et spes </w:t>
      </w:r>
      <w:r>
        <w:t>(§9) recognises the call for women’s “</w:t>
      </w:r>
      <w:r w:rsidRPr="00616117">
        <w:t>equity with men before the law and in fact</w:t>
      </w:r>
      <w:r>
        <w:t>”, and embraces women’s employment (§60)</w:t>
      </w:r>
      <w:r w:rsidR="007E61C0">
        <w:t xml:space="preserve">. However, it did so in an ambiguous way, also qualifying </w:t>
      </w:r>
      <w:r w:rsidR="00FB6035">
        <w:t xml:space="preserve">that women must “assume </w:t>
      </w:r>
      <w:r w:rsidR="00FB6035" w:rsidRPr="00965AB2">
        <w:t>their proper role in accordance with their own nature</w:t>
      </w:r>
      <w:r w:rsidR="00FB6035">
        <w:t xml:space="preserve">” and </w:t>
      </w:r>
      <w:r w:rsidR="007E61C0">
        <w:t>that their domestic role is important</w:t>
      </w:r>
      <w:r w:rsidR="00FB6035">
        <w:t xml:space="preserve"> (§52).</w:t>
      </w:r>
      <w:r w:rsidR="00C94E8A">
        <w:t xml:space="preserve"> This ambiguity persisted going forwards, and intensified over conflicts to do with the sexual revolution in the late 1960s. To this end, the pre-conciliar license narrative ended up being rearticulated around feminism even after the council—for example by John Paul II, who was pope from</w:t>
      </w:r>
      <w:r w:rsidR="00487AB3">
        <w:t xml:space="preserve"> 1978-2005, and who raised numerous concerns about the importance of protecting human nature from an overreaching </w:t>
      </w:r>
      <w:r w:rsidR="006D2E90">
        <w:t>drive to human freedom that manifested in its abuse and exploitation</w:t>
      </w:r>
      <w:r w:rsidR="004C6A99">
        <w:t>—including contraception, abortion, and the erosion of traditional gender roles</w:t>
      </w:r>
      <w:r w:rsidR="006D2E90">
        <w:t xml:space="preserve">. </w:t>
      </w:r>
      <w:r w:rsidR="00BE7147">
        <w:t xml:space="preserve">His </w:t>
      </w:r>
      <w:r w:rsidR="00BE7147">
        <w:rPr>
          <w:i/>
          <w:iCs/>
        </w:rPr>
        <w:t xml:space="preserve">Centessimus Annus </w:t>
      </w:r>
      <w:r w:rsidR="00BE7147">
        <w:t>frames this in terms of a “human ecology”</w:t>
      </w:r>
      <w:r w:rsidR="00062099">
        <w:t xml:space="preserve"> that protects against the</w:t>
      </w:r>
      <w:r w:rsidR="00A831B7">
        <w:t xml:space="preserve"> “anthropological error” of allowing our experiences of </w:t>
      </w:r>
      <w:r w:rsidR="00B446AA">
        <w:t xml:space="preserve">scientific or </w:t>
      </w:r>
      <w:r w:rsidR="00A831B7">
        <w:t xml:space="preserve">technical power </w:t>
      </w:r>
      <w:r w:rsidR="00B446AA">
        <w:t xml:space="preserve">to lead us to see human nature as a neutral, valueless material </w:t>
      </w:r>
      <w:r w:rsidR="000C6768">
        <w:t>to be used as we wish—a narrative that closely follows Leo XIII’s view of Liberalism as the translation of secular science into the political sphere.</w:t>
      </w:r>
    </w:p>
    <w:p w14:paraId="4906DFCE" w14:textId="0D5E2886" w:rsidR="004C6A99" w:rsidRDefault="00E62861" w:rsidP="008E5455">
      <w:r>
        <w:t>T</w:t>
      </w:r>
      <w:r w:rsidR="00272FD6">
        <w:t>his</w:t>
      </w:r>
      <w:r w:rsidR="0006796B">
        <w:t xml:space="preserve"> context</w:t>
      </w:r>
      <w:r w:rsidR="00272FD6">
        <w:t xml:space="preserve"> is reflected in the transphobic narratives engaged by Ford. </w:t>
      </w:r>
      <w:r w:rsidR="00976601">
        <w:t>As you will see, the views of marriage and gender he cites all emerge within this context of reaction against feminism</w:t>
      </w:r>
      <w:r w:rsidR="00952712">
        <w:t xml:space="preserve">. Likewise, he quotes Pope Francis’s apostolic exhortation, </w:t>
      </w:r>
      <w:r w:rsidR="00952712">
        <w:rPr>
          <w:i/>
          <w:iCs/>
        </w:rPr>
        <w:t>Amoris Laetitia</w:t>
      </w:r>
      <w:r w:rsidR="00952712">
        <w:t>, which presents transness as rejecting human nature rather than receiving it as a gift.</w:t>
      </w:r>
    </w:p>
    <w:p w14:paraId="2EECF706" w14:textId="0BD48B3C" w:rsidR="00E62861" w:rsidRDefault="00E62861" w:rsidP="008E5455">
      <w:r>
        <w:t xml:space="preserve">Viewed in this way, the Catholic transphobia that troubles Ford can be seen as an extension of a longer history of Catholic anti-liberalism: it is an expression of the anti-liberal “license” narrative </w:t>
      </w:r>
      <w:r>
        <w:lastRenderedPageBreak/>
        <w:t xml:space="preserve">that animated pre-Conciliar Catholic politics in our contemporary era. Moreover, this narrative persists in Catholic transphobia (and antifeminism more broadly) </w:t>
      </w:r>
      <w:r>
        <w:rPr>
          <w:i/>
          <w:iCs/>
        </w:rPr>
        <w:t xml:space="preserve">even though </w:t>
      </w:r>
      <w:r>
        <w:t>the Council recognised the value of Liberalism in other contexts, such as freedom of conscience and religion.</w:t>
      </w:r>
    </w:p>
    <w:p w14:paraId="14571840" w14:textId="33891B80" w:rsidR="00E62861" w:rsidRDefault="00217F9B" w:rsidP="008E5455">
      <w:r>
        <w:t>Although this is not an element of his argument that he explores, i</w:t>
      </w:r>
      <w:r w:rsidR="00E62861">
        <w:t>n</w:t>
      </w:r>
      <w:r w:rsidR="00456F12">
        <w:t xml:space="preserve"> reconstructing the Council’s argument for freedom of conscience and religion in relation to transness, Ford reminds us of this broader context</w:t>
      </w:r>
      <w:r>
        <w:t xml:space="preserve">. And he suggests that </w:t>
      </w:r>
      <w:r w:rsidR="00C67BA1">
        <w:t>the</w:t>
      </w:r>
      <w:r w:rsidR="00C647C2">
        <w:t xml:space="preserve"> lessons of 20</w:t>
      </w:r>
      <w:r w:rsidR="00C647C2" w:rsidRPr="00C647C2">
        <w:rPr>
          <w:vertAlign w:val="superscript"/>
        </w:rPr>
        <w:t>th</w:t>
      </w:r>
      <w:r w:rsidR="00C647C2">
        <w:t xml:space="preserve"> Century totalitarianism, which were taken on board in certain capacities by the Council, have yet to be fully learned around transness. </w:t>
      </w:r>
      <w:r w:rsidR="0098619B">
        <w:t>In this context, a more open approach to transness becomes about more than just creating a society in which trans people can genuinely flourish. It</w:t>
      </w:r>
      <w:r w:rsidR="00DC3086">
        <w:t xml:space="preserve"> is also about more fully realising the mission of the Council, and genuinely becoming all that the Church believes it is called to be in the modern world.</w:t>
      </w:r>
    </w:p>
    <w:p w14:paraId="096B4E56" w14:textId="4B39FF00" w:rsidR="00DC3086" w:rsidRDefault="00DC3086" w:rsidP="00DC3086">
      <w:pPr>
        <w:pStyle w:val="Heading1"/>
      </w:pPr>
      <w:r>
        <w:t>Part 4 – Questions</w:t>
      </w:r>
    </w:p>
    <w:p w14:paraId="573CE011" w14:textId="5C4F39B4" w:rsidR="00DC3086" w:rsidRDefault="00DC3086" w:rsidP="00DC3086">
      <w:r>
        <w:t xml:space="preserve">Ok that’s it for this week’s lecture. I’d like you to take a look at Ford’s essay now. Before you do so, it’s worth </w:t>
      </w:r>
      <w:r w:rsidR="00A80A07">
        <w:t>qualifying</w:t>
      </w:r>
      <w:r>
        <w:t xml:space="preserve"> that, at least to my eyes, it’s a little more rambling than this lecture might have presented it as being. Nevertheless, you know the key elements and should be able to identify them</w:t>
      </w:r>
      <w:r w:rsidR="00A80A07">
        <w:t>.</w:t>
      </w:r>
    </w:p>
    <w:p w14:paraId="74F856A7" w14:textId="0CC6FCF7" w:rsidR="00A80A07" w:rsidRDefault="00A80A07" w:rsidP="00DC3086">
      <w:r>
        <w:t>As you do the reading, I’d like you to consider the following questions:</w:t>
      </w:r>
    </w:p>
    <w:p w14:paraId="5F43DBB5" w14:textId="7958F31F" w:rsidR="00BA0B05" w:rsidRDefault="0008560B" w:rsidP="00A80A07">
      <w:pPr>
        <w:pStyle w:val="ListParagraph"/>
        <w:numPr>
          <w:ilvl w:val="0"/>
          <w:numId w:val="1"/>
        </w:numPr>
      </w:pPr>
      <w:r>
        <w:t>Think about</w:t>
      </w:r>
      <w:r w:rsidR="00BA0B05">
        <w:t xml:space="preserve"> the idea of Natural Law presented in this lecture </w:t>
      </w:r>
      <w:r>
        <w:t>and</w:t>
      </w:r>
      <w:r w:rsidR="00BA0B05">
        <w:t xml:space="preserve"> Ford’s paper</w:t>
      </w:r>
      <w:r>
        <w:t>.</w:t>
      </w:r>
      <w:r w:rsidR="00BA0B05">
        <w:t xml:space="preserve"> What seems familiar? What seems unexpected?</w:t>
      </w:r>
      <w:r>
        <w:t xml:space="preserve"> Does it seem reasonable to you?</w:t>
      </w:r>
    </w:p>
    <w:p w14:paraId="53762454" w14:textId="3BAFB873" w:rsidR="00A80A07" w:rsidRDefault="00A80A07" w:rsidP="00A80A07">
      <w:pPr>
        <w:pStyle w:val="ListParagraph"/>
        <w:numPr>
          <w:ilvl w:val="0"/>
          <w:numId w:val="1"/>
        </w:numPr>
      </w:pPr>
      <w:r>
        <w:t>Do you think Natural Law theology is of use to trans theology?</w:t>
      </w:r>
    </w:p>
    <w:p w14:paraId="66865E6B" w14:textId="7DA1C9FE" w:rsidR="00A80A07" w:rsidRDefault="0008560B" w:rsidP="00A80A07">
      <w:pPr>
        <w:pStyle w:val="ListParagraph"/>
        <w:numPr>
          <w:ilvl w:val="0"/>
          <w:numId w:val="1"/>
        </w:numPr>
      </w:pPr>
      <w:r>
        <w:t>How liberative is Ford’s queer natural law?</w:t>
      </w:r>
    </w:p>
    <w:p w14:paraId="1B7DD1D5" w14:textId="689F149D" w:rsidR="0008560B" w:rsidRPr="00DC3086" w:rsidRDefault="00D540FE" w:rsidP="00A80A07">
      <w:pPr>
        <w:pStyle w:val="ListParagraph"/>
        <w:numPr>
          <w:ilvl w:val="0"/>
          <w:numId w:val="1"/>
        </w:numPr>
      </w:pPr>
      <w:r>
        <w:t>What is the significance of trans theology in light of the broader historical context of Ford’s paper?</w:t>
      </w:r>
    </w:p>
    <w:sectPr w:rsidR="0008560B" w:rsidRPr="00DC3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70858"/>
    <w:multiLevelType w:val="hybridMultilevel"/>
    <w:tmpl w:val="93443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29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FA"/>
    <w:rsid w:val="00001B5D"/>
    <w:rsid w:val="0002450F"/>
    <w:rsid w:val="0003266E"/>
    <w:rsid w:val="0004769F"/>
    <w:rsid w:val="00060A20"/>
    <w:rsid w:val="00062099"/>
    <w:rsid w:val="0006298A"/>
    <w:rsid w:val="0006316D"/>
    <w:rsid w:val="0006796B"/>
    <w:rsid w:val="000719A8"/>
    <w:rsid w:val="0008140E"/>
    <w:rsid w:val="00084ADC"/>
    <w:rsid w:val="0008560B"/>
    <w:rsid w:val="00094552"/>
    <w:rsid w:val="000B0CCB"/>
    <w:rsid w:val="000B63D2"/>
    <w:rsid w:val="000C6768"/>
    <w:rsid w:val="00103BE1"/>
    <w:rsid w:val="00110689"/>
    <w:rsid w:val="001125E3"/>
    <w:rsid w:val="001657A6"/>
    <w:rsid w:val="0017351B"/>
    <w:rsid w:val="00187E93"/>
    <w:rsid w:val="001B6ACC"/>
    <w:rsid w:val="001C2889"/>
    <w:rsid w:val="001F367B"/>
    <w:rsid w:val="00202453"/>
    <w:rsid w:val="00211A24"/>
    <w:rsid w:val="00217F9B"/>
    <w:rsid w:val="00234FE5"/>
    <w:rsid w:val="0026063D"/>
    <w:rsid w:val="00272FD6"/>
    <w:rsid w:val="00281DAE"/>
    <w:rsid w:val="00286288"/>
    <w:rsid w:val="002A7C5C"/>
    <w:rsid w:val="002B2DF8"/>
    <w:rsid w:val="002E35E0"/>
    <w:rsid w:val="00310AAF"/>
    <w:rsid w:val="00317DA4"/>
    <w:rsid w:val="00317E30"/>
    <w:rsid w:val="00320611"/>
    <w:rsid w:val="00330E54"/>
    <w:rsid w:val="00341740"/>
    <w:rsid w:val="00355C34"/>
    <w:rsid w:val="00355FB3"/>
    <w:rsid w:val="003562EE"/>
    <w:rsid w:val="00360E51"/>
    <w:rsid w:val="003738F4"/>
    <w:rsid w:val="003A326F"/>
    <w:rsid w:val="003A5868"/>
    <w:rsid w:val="003A5C78"/>
    <w:rsid w:val="003C20CA"/>
    <w:rsid w:val="003C3AFC"/>
    <w:rsid w:val="003D2CBE"/>
    <w:rsid w:val="003D3E90"/>
    <w:rsid w:val="003F5EEB"/>
    <w:rsid w:val="0043105E"/>
    <w:rsid w:val="00433B92"/>
    <w:rsid w:val="00446E69"/>
    <w:rsid w:val="00450023"/>
    <w:rsid w:val="00456F12"/>
    <w:rsid w:val="0046785E"/>
    <w:rsid w:val="00477A58"/>
    <w:rsid w:val="00487AB3"/>
    <w:rsid w:val="004C512C"/>
    <w:rsid w:val="004C6A99"/>
    <w:rsid w:val="004D57C9"/>
    <w:rsid w:val="004F53F5"/>
    <w:rsid w:val="004F6CFF"/>
    <w:rsid w:val="00514403"/>
    <w:rsid w:val="00524FD9"/>
    <w:rsid w:val="00527CBA"/>
    <w:rsid w:val="00537BAB"/>
    <w:rsid w:val="005456DE"/>
    <w:rsid w:val="00552926"/>
    <w:rsid w:val="005A1B02"/>
    <w:rsid w:val="005A57ED"/>
    <w:rsid w:val="005F51D2"/>
    <w:rsid w:val="00600687"/>
    <w:rsid w:val="00641FFD"/>
    <w:rsid w:val="0065324F"/>
    <w:rsid w:val="0065663C"/>
    <w:rsid w:val="00671EAA"/>
    <w:rsid w:val="00695043"/>
    <w:rsid w:val="006B3319"/>
    <w:rsid w:val="006C0723"/>
    <w:rsid w:val="006C4C75"/>
    <w:rsid w:val="006D2E90"/>
    <w:rsid w:val="006D4EE8"/>
    <w:rsid w:val="0072643E"/>
    <w:rsid w:val="007470F9"/>
    <w:rsid w:val="00763D6B"/>
    <w:rsid w:val="007723AB"/>
    <w:rsid w:val="007732B6"/>
    <w:rsid w:val="00784B88"/>
    <w:rsid w:val="007A03E1"/>
    <w:rsid w:val="007B449B"/>
    <w:rsid w:val="007D7955"/>
    <w:rsid w:val="007E61C0"/>
    <w:rsid w:val="007F3D96"/>
    <w:rsid w:val="00801C56"/>
    <w:rsid w:val="008020A2"/>
    <w:rsid w:val="00802E3B"/>
    <w:rsid w:val="008033CF"/>
    <w:rsid w:val="00814BD5"/>
    <w:rsid w:val="00825ABC"/>
    <w:rsid w:val="00825DEB"/>
    <w:rsid w:val="00834347"/>
    <w:rsid w:val="00875552"/>
    <w:rsid w:val="008939B9"/>
    <w:rsid w:val="0089745C"/>
    <w:rsid w:val="008C11A2"/>
    <w:rsid w:val="008D0376"/>
    <w:rsid w:val="008E5455"/>
    <w:rsid w:val="008F159F"/>
    <w:rsid w:val="008F18BF"/>
    <w:rsid w:val="008F392D"/>
    <w:rsid w:val="0090026F"/>
    <w:rsid w:val="0090404F"/>
    <w:rsid w:val="00905FFD"/>
    <w:rsid w:val="00913BFF"/>
    <w:rsid w:val="00921627"/>
    <w:rsid w:val="00924C11"/>
    <w:rsid w:val="00940266"/>
    <w:rsid w:val="00952712"/>
    <w:rsid w:val="0097126E"/>
    <w:rsid w:val="00976601"/>
    <w:rsid w:val="009860FB"/>
    <w:rsid w:val="0098619B"/>
    <w:rsid w:val="009920CE"/>
    <w:rsid w:val="009971EB"/>
    <w:rsid w:val="009A037D"/>
    <w:rsid w:val="009A2445"/>
    <w:rsid w:val="009B04BB"/>
    <w:rsid w:val="00A21A7F"/>
    <w:rsid w:val="00A22212"/>
    <w:rsid w:val="00A25CF7"/>
    <w:rsid w:val="00A34D13"/>
    <w:rsid w:val="00A5081A"/>
    <w:rsid w:val="00A60395"/>
    <w:rsid w:val="00A75F11"/>
    <w:rsid w:val="00A80A07"/>
    <w:rsid w:val="00A8249E"/>
    <w:rsid w:val="00A831B7"/>
    <w:rsid w:val="00AB5E12"/>
    <w:rsid w:val="00AE4F0C"/>
    <w:rsid w:val="00AE79DB"/>
    <w:rsid w:val="00AF01FA"/>
    <w:rsid w:val="00B160E5"/>
    <w:rsid w:val="00B30BBE"/>
    <w:rsid w:val="00B35681"/>
    <w:rsid w:val="00B42756"/>
    <w:rsid w:val="00B446AA"/>
    <w:rsid w:val="00B54662"/>
    <w:rsid w:val="00B84A8A"/>
    <w:rsid w:val="00B8640E"/>
    <w:rsid w:val="00B946AD"/>
    <w:rsid w:val="00BA0B05"/>
    <w:rsid w:val="00BA50F1"/>
    <w:rsid w:val="00BC25EF"/>
    <w:rsid w:val="00BD4EFC"/>
    <w:rsid w:val="00BE7147"/>
    <w:rsid w:val="00BF424B"/>
    <w:rsid w:val="00BF52BE"/>
    <w:rsid w:val="00C1003D"/>
    <w:rsid w:val="00C106B0"/>
    <w:rsid w:val="00C14C27"/>
    <w:rsid w:val="00C2000A"/>
    <w:rsid w:val="00C211CB"/>
    <w:rsid w:val="00C31344"/>
    <w:rsid w:val="00C3157D"/>
    <w:rsid w:val="00C31C9C"/>
    <w:rsid w:val="00C46C57"/>
    <w:rsid w:val="00C647C2"/>
    <w:rsid w:val="00C673DE"/>
    <w:rsid w:val="00C67BA1"/>
    <w:rsid w:val="00C822DC"/>
    <w:rsid w:val="00C83D78"/>
    <w:rsid w:val="00C94E8A"/>
    <w:rsid w:val="00CC0590"/>
    <w:rsid w:val="00CC2AAB"/>
    <w:rsid w:val="00CC6845"/>
    <w:rsid w:val="00CD718A"/>
    <w:rsid w:val="00CE2AD7"/>
    <w:rsid w:val="00CF1EA3"/>
    <w:rsid w:val="00CF5995"/>
    <w:rsid w:val="00D07639"/>
    <w:rsid w:val="00D46263"/>
    <w:rsid w:val="00D540FE"/>
    <w:rsid w:val="00D915B8"/>
    <w:rsid w:val="00D9368A"/>
    <w:rsid w:val="00DA4069"/>
    <w:rsid w:val="00DB4CA1"/>
    <w:rsid w:val="00DC09C1"/>
    <w:rsid w:val="00DC3086"/>
    <w:rsid w:val="00E076DF"/>
    <w:rsid w:val="00E13EE4"/>
    <w:rsid w:val="00E160C1"/>
    <w:rsid w:val="00E22B1C"/>
    <w:rsid w:val="00E35C38"/>
    <w:rsid w:val="00E62861"/>
    <w:rsid w:val="00E747D9"/>
    <w:rsid w:val="00E85C40"/>
    <w:rsid w:val="00E90B78"/>
    <w:rsid w:val="00E92697"/>
    <w:rsid w:val="00EA4E22"/>
    <w:rsid w:val="00EB3374"/>
    <w:rsid w:val="00EC2624"/>
    <w:rsid w:val="00EC4711"/>
    <w:rsid w:val="00EC47DE"/>
    <w:rsid w:val="00F00C34"/>
    <w:rsid w:val="00F06949"/>
    <w:rsid w:val="00F44373"/>
    <w:rsid w:val="00F61AC6"/>
    <w:rsid w:val="00F63952"/>
    <w:rsid w:val="00F6545E"/>
    <w:rsid w:val="00F72A19"/>
    <w:rsid w:val="00F745AB"/>
    <w:rsid w:val="00F81BBD"/>
    <w:rsid w:val="00F84A3A"/>
    <w:rsid w:val="00FB6035"/>
    <w:rsid w:val="00FC436C"/>
    <w:rsid w:val="00FF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3FCC"/>
  <w15:chartTrackingRefBased/>
  <w15:docId w15:val="{DF6D9E60-5556-4983-B855-7FD1FDA6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1FA"/>
    <w:rPr>
      <w:rFonts w:eastAsiaTheme="majorEastAsia" w:cstheme="majorBidi"/>
      <w:color w:val="272727" w:themeColor="text1" w:themeTint="D8"/>
    </w:rPr>
  </w:style>
  <w:style w:type="paragraph" w:styleId="Title">
    <w:name w:val="Title"/>
    <w:basedOn w:val="Normal"/>
    <w:next w:val="Normal"/>
    <w:link w:val="TitleChar"/>
    <w:uiPriority w:val="10"/>
    <w:qFormat/>
    <w:rsid w:val="00AF0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1FA"/>
    <w:pPr>
      <w:spacing w:before="160"/>
      <w:jc w:val="center"/>
    </w:pPr>
    <w:rPr>
      <w:i/>
      <w:iCs/>
      <w:color w:val="404040" w:themeColor="text1" w:themeTint="BF"/>
    </w:rPr>
  </w:style>
  <w:style w:type="character" w:customStyle="1" w:styleId="QuoteChar">
    <w:name w:val="Quote Char"/>
    <w:basedOn w:val="DefaultParagraphFont"/>
    <w:link w:val="Quote"/>
    <w:uiPriority w:val="29"/>
    <w:rsid w:val="00AF01FA"/>
    <w:rPr>
      <w:i/>
      <w:iCs/>
      <w:color w:val="404040" w:themeColor="text1" w:themeTint="BF"/>
    </w:rPr>
  </w:style>
  <w:style w:type="paragraph" w:styleId="ListParagraph">
    <w:name w:val="List Paragraph"/>
    <w:basedOn w:val="Normal"/>
    <w:uiPriority w:val="34"/>
    <w:qFormat/>
    <w:rsid w:val="00AF01FA"/>
    <w:pPr>
      <w:ind w:left="720"/>
      <w:contextualSpacing/>
    </w:pPr>
  </w:style>
  <w:style w:type="character" w:styleId="IntenseEmphasis">
    <w:name w:val="Intense Emphasis"/>
    <w:basedOn w:val="DefaultParagraphFont"/>
    <w:uiPriority w:val="21"/>
    <w:qFormat/>
    <w:rsid w:val="00AF01FA"/>
    <w:rPr>
      <w:i/>
      <w:iCs/>
      <w:color w:val="0F4761" w:themeColor="accent1" w:themeShade="BF"/>
    </w:rPr>
  </w:style>
  <w:style w:type="paragraph" w:styleId="IntenseQuote">
    <w:name w:val="Intense Quote"/>
    <w:basedOn w:val="Normal"/>
    <w:next w:val="Normal"/>
    <w:link w:val="IntenseQuoteChar"/>
    <w:uiPriority w:val="30"/>
    <w:qFormat/>
    <w:rsid w:val="00AF0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1FA"/>
    <w:rPr>
      <w:i/>
      <w:iCs/>
      <w:color w:val="0F4761" w:themeColor="accent1" w:themeShade="BF"/>
    </w:rPr>
  </w:style>
  <w:style w:type="character" w:styleId="IntenseReference">
    <w:name w:val="Intense Reference"/>
    <w:basedOn w:val="DefaultParagraphFont"/>
    <w:uiPriority w:val="32"/>
    <w:qFormat/>
    <w:rsid w:val="00AF01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68D4B79B-8663-405C-A9D5-8B1D555C0373}"/>
</file>

<file path=customXml/itemProps2.xml><?xml version="1.0" encoding="utf-8"?>
<ds:datastoreItem xmlns:ds="http://schemas.openxmlformats.org/officeDocument/2006/customXml" ds:itemID="{F08C1873-0A43-4632-B499-BF3A3FA25FE0}"/>
</file>

<file path=customXml/itemProps3.xml><?xml version="1.0" encoding="utf-8"?>
<ds:datastoreItem xmlns:ds="http://schemas.openxmlformats.org/officeDocument/2006/customXml" ds:itemID="{459252AE-637C-456E-8509-6530D1407902}"/>
</file>

<file path=docProps/app.xml><?xml version="1.0" encoding="utf-8"?>
<Properties xmlns="http://schemas.openxmlformats.org/officeDocument/2006/extended-properties" xmlns:vt="http://schemas.openxmlformats.org/officeDocument/2006/docPropsVTypes">
  <Template>Normal</Template>
  <TotalTime>809</TotalTime>
  <Pages>8</Pages>
  <Words>4535</Words>
  <Characters>22678</Characters>
  <Application>Microsoft Office Word</Application>
  <DocSecurity>0</DocSecurity>
  <Lines>328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Nicolete Burbach</dc:creator>
  <cp:keywords/>
  <dc:description/>
  <cp:lastModifiedBy>Dr Nicolete Burbach</cp:lastModifiedBy>
  <cp:revision>215</cp:revision>
  <dcterms:created xsi:type="dcterms:W3CDTF">2026-04-27T11:04:00Z</dcterms:created>
  <dcterms:modified xsi:type="dcterms:W3CDTF">2026-06-08T16:07:00Z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