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DC55" w14:textId="4E1F47EA" w:rsidR="008020A2" w:rsidRDefault="00F57ACA">
      <w:r>
        <w:t>Welcome back to</w:t>
      </w:r>
      <w:r w:rsidR="00C20C80">
        <w:t xml:space="preserve"> </w:t>
      </w:r>
      <w:r w:rsidR="00C20C80" w:rsidRPr="00240215">
        <w:rPr>
          <w:i/>
          <w:iCs/>
        </w:rPr>
        <w:t>An Introduction to Trans Theology</w:t>
      </w:r>
      <w:r w:rsidR="00C20C80">
        <w:t xml:space="preserve">. This week, we’ll be looking at Colby Gordon’s 2024 book, </w:t>
      </w:r>
      <w:r w:rsidR="00C20C80">
        <w:rPr>
          <w:i/>
          <w:iCs/>
        </w:rPr>
        <w:t>Glorious Bodies</w:t>
      </w:r>
      <w:r w:rsidR="007A4743">
        <w:rPr>
          <w:i/>
          <w:iCs/>
        </w:rPr>
        <w:t>: Trans Theology and Rennaissance Literature</w:t>
      </w:r>
      <w:r w:rsidR="00C20C80">
        <w:rPr>
          <w:i/>
          <w:iCs/>
        </w:rPr>
        <w:t xml:space="preserve">. </w:t>
      </w:r>
      <w:r w:rsidR="00C20C80">
        <w:t>This book recovers early modern understandings of the body to explore what it might mean to have a body that doesn’t fall within the categories of sex policed by contemporary transphobic politics.</w:t>
      </w:r>
    </w:p>
    <w:p w14:paraId="1CD752BC" w14:textId="04A469CF" w:rsidR="00C20C80" w:rsidRDefault="00C20C80">
      <w:r>
        <w:t>I think Gordon’s book is interesting for two main reasons. First, it is interesting to see how the ways in which we conceive sex have changed over time. In the first session, I talked about how trans studies historicises sex, showing how the concepts that make the body intelligible to us today are not simply beamed down from the mind of God into our own, but have been developed over time in ways that are marked by various cultural, material, and political influences. Sex, under this reading, is gender, insofar as it is a way of making sense of the body and thus a part of culture. Gordon’s historical study illustrates this by showing other ways of understanding the body, and the meanings that emerged from them.</w:t>
      </w:r>
    </w:p>
    <w:p w14:paraId="37495F54" w14:textId="477BDDBB" w:rsidR="00C20C80" w:rsidRDefault="00C20C80">
      <w:r>
        <w:t>Second, insofar as these understandings all have an integral theological dimension, Gordon shows how theology might be a resource for alternative understandings of the body. What is particularly interesting here is that he resources theology in the face of secular transphobia. We might intuitively think that theology is more hostile towards transness than secular thought. Yet Gordon points out that secular language is often employed in order to validate transphobia in a secular context</w:t>
      </w:r>
      <w:r w:rsidR="00351A0B">
        <w:t>—even when it is part of a religious programme, such as the politics of the religious right.</w:t>
      </w:r>
      <w:r w:rsidR="006B6CB7">
        <w:t xml:space="preserve"> The most striking example of this is when transness is dismissed as pseudo-religious</w:t>
      </w:r>
      <w:r w:rsidR="00601BE5">
        <w:t>—a framing</w:t>
      </w:r>
      <w:r w:rsidR="00ED5D67">
        <w:t xml:space="preserve"> explicitly</w:t>
      </w:r>
      <w:r w:rsidR="00601BE5">
        <w:t xml:space="preserve"> adopted by </w:t>
      </w:r>
      <w:r w:rsidR="00ED5D67">
        <w:t>a</w:t>
      </w:r>
      <w:r w:rsidR="00601BE5">
        <w:t xml:space="preserve"> piece of North Dakota House legislat</w:t>
      </w:r>
      <w:r w:rsidR="00EE2225">
        <w:t>ion</w:t>
      </w:r>
      <w:r w:rsidR="00ED5D67">
        <w:t>, which</w:t>
      </w:r>
      <w:r w:rsidR="00601BE5">
        <w:t xml:space="preserve"> </w:t>
      </w:r>
      <w:r w:rsidR="00ED5D67">
        <w:t>sought to turn the separation of Church and State against</w:t>
      </w:r>
      <w:r w:rsidR="00601BE5">
        <w:t xml:space="preserve"> transness</w:t>
      </w:r>
      <w:r w:rsidR="00ED5D67">
        <w:t xml:space="preserve"> by</w:t>
      </w:r>
      <w:r w:rsidR="00B71326">
        <w:t xml:space="preserve"> portraying it</w:t>
      </w:r>
      <w:r w:rsidR="00601BE5">
        <w:t xml:space="preserve"> as</w:t>
      </w:r>
      <w:r w:rsidR="00B71326">
        <w:t xml:space="preserve"> a matter of</w:t>
      </w:r>
      <w:r w:rsidR="00601BE5">
        <w:t xml:space="preserve"> “nonsecular self-asserted sex-based identity narratives”.</w:t>
      </w:r>
      <w:r w:rsidR="00351A0B">
        <w:t xml:space="preserve"> This prompts Gordon to ask the question: if the secular is hostile towards transness, perhaps non-secular thinking can provide resources that might be useful for trans liberation.</w:t>
      </w:r>
      <w:r w:rsidR="004D058E">
        <w:t xml:space="preserve"> In doing so, he also subverts expectations about attempts at “postsecular” reasoning, which have historically aligned themselves with more reactionary politics.</w:t>
      </w:r>
    </w:p>
    <w:p w14:paraId="412668AA" w14:textId="01F47E03" w:rsidR="000126EF" w:rsidRDefault="00351A0B">
      <w:r>
        <w:t>T</w:t>
      </w:r>
      <w:r w:rsidR="004D058E">
        <w:t>here’s a fair bit of background here that you need to know to fully grasp the significance of what Gordon is doing. I’ll begin by expanding on the material from the first session on what it means to talk about forms of “transness” from historical contexts where that language was not available</w:t>
      </w:r>
      <w:r w:rsidR="006E7EEB">
        <w:t>, before getting on to Gordon specifically</w:t>
      </w:r>
      <w:r w:rsidR="004D058E">
        <w:t xml:space="preserve">. Finally, I’ll conclude with a </w:t>
      </w:r>
      <w:r w:rsidR="006E7EEB">
        <w:t>discussion of Gordon’s post-secular approach.</w:t>
      </w:r>
    </w:p>
    <w:p w14:paraId="406B5F60" w14:textId="766DF0D8" w:rsidR="005B54DF" w:rsidRPr="005B54DF" w:rsidRDefault="000126EF" w:rsidP="005B54DF">
      <w:pPr>
        <w:pStyle w:val="Heading1"/>
      </w:pPr>
      <w:r>
        <w:t xml:space="preserve">Part 1 </w:t>
      </w:r>
      <w:r w:rsidR="00157ACC">
        <w:t xml:space="preserve">– </w:t>
      </w:r>
      <w:r w:rsidR="00887673">
        <w:t>B</w:t>
      </w:r>
      <w:r w:rsidR="00157ACC">
        <w:t>efore we were trans</w:t>
      </w:r>
      <w:r w:rsidR="004D058E">
        <w:t xml:space="preserve"> </w:t>
      </w:r>
    </w:p>
    <w:p w14:paraId="29DD5D16" w14:textId="650085B7" w:rsidR="005B54DF" w:rsidRDefault="006E7EEB" w:rsidP="00E03B48">
      <w:r>
        <w:t>I</w:t>
      </w:r>
      <w:r w:rsidR="00E03B48">
        <w:t xml:space="preserve">n her </w:t>
      </w:r>
      <w:r w:rsidR="00E03B48">
        <w:rPr>
          <w:i/>
          <w:iCs/>
        </w:rPr>
        <w:t>Transgender History</w:t>
      </w:r>
      <w:r w:rsidR="005B0CA0">
        <w:t xml:space="preserve">, </w:t>
      </w:r>
      <w:r>
        <w:t xml:space="preserve">Susan Stryker </w:t>
      </w:r>
      <w:r w:rsidR="00D05B6A">
        <w:t>describes transness as “</w:t>
      </w:r>
      <w:r w:rsidR="00D05B6A" w:rsidRPr="00730075">
        <w:t>movement across a socially imposed</w:t>
      </w:r>
      <w:r w:rsidR="00D05B6A">
        <w:t xml:space="preserve"> </w:t>
      </w:r>
      <w:r w:rsidR="00D05B6A" w:rsidRPr="00730075">
        <w:t>boundary away from an unchosen starting place—rather than any particular destination or</w:t>
      </w:r>
      <w:r w:rsidR="00D05B6A">
        <w:t xml:space="preserve"> </w:t>
      </w:r>
      <w:r w:rsidR="00D05B6A" w:rsidRPr="00730075">
        <w:t>mode of transition</w:t>
      </w:r>
      <w:r w:rsidR="00D05B6A">
        <w:t xml:space="preserve">” (1). </w:t>
      </w:r>
      <w:r w:rsidR="00E51AA0">
        <w:t>More specifically, it is “movement away from an initially assigned gender position” (19)</w:t>
      </w:r>
      <w:r w:rsidR="0042361D">
        <w:t xml:space="preserve">—a </w:t>
      </w:r>
      <w:r w:rsidR="00C804F8">
        <w:t>divergence</w:t>
      </w:r>
      <w:r w:rsidR="0042361D">
        <w:t xml:space="preserve"> from</w:t>
      </w:r>
      <w:r w:rsidR="00C804F8">
        <w:t xml:space="preserve"> the </w:t>
      </w:r>
      <w:r w:rsidR="0042361D">
        <w:t xml:space="preserve">gender role into which </w:t>
      </w:r>
      <w:r w:rsidR="00C804F8">
        <w:t>one is initially put by society, or a movement out of the gender category by which society presumes to make sense of one’s life</w:t>
      </w:r>
      <w:r w:rsidR="00E51AA0">
        <w:t xml:space="preserve">. </w:t>
      </w:r>
      <w:r w:rsidR="003003A7">
        <w:t>But viewing transness in this way brings with it a certain complication. She writes,</w:t>
      </w:r>
    </w:p>
    <w:p w14:paraId="2897D45E" w14:textId="524B8D1A" w:rsidR="005B54DF" w:rsidRPr="005B0CA0" w:rsidRDefault="005B54DF" w:rsidP="00EB3937">
      <w:pPr>
        <w:ind w:left="567" w:right="567"/>
      </w:pPr>
      <w:r w:rsidRPr="006F5D2E">
        <w:t>Of course, given that all gender</w:t>
      </w:r>
      <w:r w:rsidR="00F74E27">
        <w:t>…</w:t>
      </w:r>
      <w:r w:rsidRPr="006F5D2E">
        <w:t xml:space="preserve"> varies through place and time, defining “transgender” in this way inevitably brings up the related questions of “Which norms and expectations?” and “Whose norms and expectations?” What counts as transgender varies as much as gender itself, and it always depends on historical and cultural context. It seems safe to say that the difference between gender and </w:t>
      </w:r>
      <w:r w:rsidRPr="006F5D2E">
        <w:lastRenderedPageBreak/>
        <w:t xml:space="preserve">transgender in any given situation, however, involves the difference between a dominant or common construction of gender and a marginalized or infrequent one. </w:t>
      </w:r>
      <w:r>
        <w:t>(19)</w:t>
      </w:r>
    </w:p>
    <w:p w14:paraId="205ED80B" w14:textId="3ECD3387" w:rsidR="006F5D2E" w:rsidRDefault="00AF2748" w:rsidP="00E03B48">
      <w:r>
        <w:t xml:space="preserve">While this definition figures an individual’s </w:t>
      </w:r>
      <w:r w:rsidR="00D26652">
        <w:rPr>
          <w:i/>
          <w:iCs/>
        </w:rPr>
        <w:t xml:space="preserve">being </w:t>
      </w:r>
      <w:r>
        <w:t xml:space="preserve">trans as relative to their particular cultural  context, it also figures transness </w:t>
      </w:r>
      <w:r>
        <w:rPr>
          <w:i/>
          <w:iCs/>
        </w:rPr>
        <w:t xml:space="preserve">itself </w:t>
      </w:r>
      <w:r>
        <w:t>in a way that allows Stryker to extend her use of the term beyond the cultural context in which it was formulated. As</w:t>
      </w:r>
      <w:r w:rsidR="001709A5">
        <w:t xml:space="preserve"> I mentioned in the first lecture, language of “transness”—and indeed “gender”—is a distinctly modern invention. </w:t>
      </w:r>
      <w:r w:rsidR="002C3FE9">
        <w:t>Yet so long as we can identify that gender was a factor in an earlier cultural context, and so long as individuals moved across gender boundaries, we can talk intelligibly about “transness” in that context.</w:t>
      </w:r>
    </w:p>
    <w:p w14:paraId="230563ED" w14:textId="0011851B" w:rsidR="00711DE0" w:rsidRDefault="00FA2C24" w:rsidP="00E03B48">
      <w:r>
        <w:t>There is risk of anachronism her</w:t>
      </w:r>
      <w:r w:rsidR="00555D59">
        <w:t xml:space="preserve">e: in presenting people who wouldn’t have used the word “trans” for themselves in these terms, we risk obscuring the cultural differences between our time and theirs. </w:t>
      </w:r>
      <w:r w:rsidR="00DB1EB5">
        <w:t>This is particularly the case where we start to smuggle in additional significances to the word beyond the</w:t>
      </w:r>
      <w:r w:rsidR="0082075C">
        <w:t xml:space="preserve"> basic</w:t>
      </w:r>
      <w:r w:rsidR="00DB1EB5">
        <w:t xml:space="preserve"> idea of moving across gender boundaries</w:t>
      </w:r>
      <w:r w:rsidR="0082075C">
        <w:t xml:space="preserve">. The roles and categories that make up gender may be very different across eras, </w:t>
      </w:r>
      <w:r w:rsidR="004F52EB">
        <w:t xml:space="preserve">as might </w:t>
      </w:r>
      <w:r w:rsidR="00A45B2B">
        <w:t xml:space="preserve">be </w:t>
      </w:r>
      <w:r w:rsidR="004F52EB">
        <w:t xml:space="preserve">the way people move </w:t>
      </w:r>
      <w:r w:rsidR="00A45B2B">
        <w:t>across gender boundaries.</w:t>
      </w:r>
      <w:r w:rsidR="0082075C">
        <w:t xml:space="preserve"> </w:t>
      </w:r>
      <w:r w:rsidR="00711DE0">
        <w:t xml:space="preserve">We will see in this week’s text how </w:t>
      </w:r>
      <w:r w:rsidR="00B167B9">
        <w:t>early modern people thought of this movement in terms of “hermaphrodism”: forms of embodiment that overcame what they understood to be natural bodily differences</w:t>
      </w:r>
      <w:r w:rsidR="006D4300">
        <w:t xml:space="preserve"> between the sexes</w:t>
      </w:r>
      <w:r w:rsidR="00E1237F">
        <w:t>—</w:t>
      </w:r>
      <w:r w:rsidR="006D4300">
        <w:t>a movement in gender insofar as those bodily differences were staked out within cultural categories.</w:t>
      </w:r>
    </w:p>
    <w:p w14:paraId="203530CD" w14:textId="3FAF18B6" w:rsidR="00FA2C24" w:rsidRPr="00E13216" w:rsidRDefault="00275EF8" w:rsidP="00E03B48">
      <w:r>
        <w:t xml:space="preserve">On the other hand, it is possible to over-exaggerate these </w:t>
      </w:r>
      <w:r w:rsidR="00714FBE">
        <w:t xml:space="preserve">cultural </w:t>
      </w:r>
      <w:r>
        <w:t>differences so as to miss</w:t>
      </w:r>
      <w:r w:rsidR="0051137B">
        <w:t xml:space="preserve"> </w:t>
      </w:r>
      <w:r>
        <w:t>commonalities</w:t>
      </w:r>
      <w:r w:rsidR="0051137B">
        <w:t xml:space="preserve"> across them</w:t>
      </w:r>
      <w:r>
        <w:t>. For example, people commonly think that medical transition is a</w:t>
      </w:r>
      <w:r w:rsidR="004B2299">
        <w:t xml:space="preserve">n entirely modern phenomenon—yet people in the ancient world used to modify their bodies in trans ways, for example through castration, or </w:t>
      </w:r>
      <w:r w:rsidR="0071024A">
        <w:t>told stories about</w:t>
      </w:r>
      <w:r w:rsidR="004B2299">
        <w:t xml:space="preserve"> the possibility of </w:t>
      </w:r>
      <w:r w:rsidR="0071024A">
        <w:t>bodies changing in ways that read as trans in this sense.</w:t>
      </w:r>
      <w:r w:rsidR="00E84764">
        <w:t xml:space="preserve"> </w:t>
      </w:r>
      <w:r w:rsidR="00E13216">
        <w:t>Likewise it’s important to recognise the way that these questions become politically fraught: there are certain kinds of politics that aim to discredit transness in a given cultural context by presenting it as novel or alien.</w:t>
      </w:r>
      <w:r w:rsidR="0096117B">
        <w:t xml:space="preserve"> We will return to this presently.</w:t>
      </w:r>
    </w:p>
    <w:p w14:paraId="22E90455" w14:textId="5B7416F3" w:rsidR="00AE5A9F" w:rsidRDefault="0096117B" w:rsidP="00E03B48">
      <w:r>
        <w:t xml:space="preserve">For now, these considerations suggest </w:t>
      </w:r>
      <w:r w:rsidR="008C3951">
        <w:t>a methodological point: w</w:t>
      </w:r>
      <w:r w:rsidR="007D4C32">
        <w:t xml:space="preserve">hen writing about premodern forms of transness, it is always worth keeping in mind the question: what </w:t>
      </w:r>
      <w:r w:rsidR="000070D8">
        <w:t>are we</w:t>
      </w:r>
      <w:r w:rsidR="007D4C32">
        <w:t xml:space="preserve"> trying to do here? We use language based on what we are trying to accomplish with it. Are we trying to get at some essential truth</w:t>
      </w:r>
      <w:r w:rsidR="000D4EAE">
        <w:t xml:space="preserve"> that can only be disclosed in certain terms</w:t>
      </w:r>
      <w:r w:rsidR="007D4C32">
        <w:t xml:space="preserve">? Are we trying to </w:t>
      </w:r>
      <w:r w:rsidR="000D4EAE">
        <w:t>communicate</w:t>
      </w:r>
      <w:r w:rsidR="007D4C32">
        <w:t xml:space="preserve"> </w:t>
      </w:r>
      <w:r w:rsidR="000D4EAE">
        <w:t xml:space="preserve">perceived </w:t>
      </w:r>
      <w:r w:rsidR="007D4C32">
        <w:t xml:space="preserve">differences or commonalities? </w:t>
      </w:r>
      <w:r w:rsidR="000070D8">
        <w:t xml:space="preserve">What is at stake in doing so? What does our inquiry mean to us? What might it mean to society? </w:t>
      </w:r>
    </w:p>
    <w:p w14:paraId="2437752B" w14:textId="71E514EF" w:rsidR="00E1237F" w:rsidRDefault="000070D8" w:rsidP="00E03B48">
      <w:r>
        <w:t>Different language will serve different purposes better than others.</w:t>
      </w:r>
      <w:r w:rsidR="00AE5A9F">
        <w:t xml:space="preserve"> In Stryker’s case, she is trying to show that transness </w:t>
      </w:r>
      <w:r w:rsidR="00AE5A9F">
        <w:rPr>
          <w:i/>
          <w:iCs/>
        </w:rPr>
        <w:t xml:space="preserve">has </w:t>
      </w:r>
      <w:r w:rsidR="00AE5A9F">
        <w:t>a history—that something like the phenomenon we encounter in the lives of contemporary trans people can be glimpsed in the past, too, and that perhaps there is something to be gleaned from this. Gordon is also trying to do this, with the specific aim of finding a new (old) language for transness itself—language that can be put at the service of a politics that is less hostile towards transness than that of the present.</w:t>
      </w:r>
      <w:r w:rsidR="00FB472C">
        <w:t xml:space="preserve"> In this context, in </w:t>
      </w:r>
      <w:r w:rsidR="007A4743">
        <w:t>portraying the subjects of the Rennaissance literature he reads as trans ones, Gordon helps to translate the ideas from that literature into a language that connects it with the lives and bodies of contemporary trans people. He is showing a continuity between our time and the past in order to show how old ideas may still be constructive and relevant today.</w:t>
      </w:r>
    </w:p>
    <w:p w14:paraId="385E2B7A" w14:textId="114719E7" w:rsidR="008C3951" w:rsidRDefault="008C3951" w:rsidP="00E03B48">
      <w:r>
        <w:t xml:space="preserve">Stryker and Gordon are enabled in this approach by dispensing with what is often described as an “essentialising” approach to transness. Essentialisation is where you take a phenomenon or </w:t>
      </w:r>
      <w:r>
        <w:lastRenderedPageBreak/>
        <w:t>concept, and hold it up as existing independently of its context</w:t>
      </w:r>
      <w:r w:rsidR="005210D6">
        <w:t>— as possessing an unchangeable, ahistorical ‘essence’ that is instantiated in the same way throughout time</w:t>
      </w:r>
      <w:r w:rsidR="00871507">
        <w:t>.</w:t>
      </w:r>
    </w:p>
    <w:p w14:paraId="695BD3EF" w14:textId="013B5C2D" w:rsidR="00FF15BE" w:rsidRPr="008859F9" w:rsidRDefault="00FF15BE" w:rsidP="00E03B48">
      <w:r>
        <w:t>Stryker and Gordon de-essentialise transness by</w:t>
      </w:r>
      <w:r w:rsidR="003A24DC">
        <w:t xml:space="preserve"> </w:t>
      </w:r>
      <w:r w:rsidR="003A24DC">
        <w:rPr>
          <w:i/>
          <w:iCs/>
        </w:rPr>
        <w:t xml:space="preserve">historicising </w:t>
      </w:r>
      <w:r w:rsidR="003A24DC">
        <w:t xml:space="preserve">it, or </w:t>
      </w:r>
      <w:r w:rsidR="00871507">
        <w:t>framing</w:t>
      </w:r>
      <w:r w:rsidR="003A24DC">
        <w:t xml:space="preserve"> it as the product of historical processes. Specifically, they</w:t>
      </w:r>
      <w:r>
        <w:t xml:space="preserve"> present</w:t>
      </w:r>
      <w:r w:rsidR="003A24DC">
        <w:t xml:space="preserve"> transness</w:t>
      </w:r>
      <w:r>
        <w:t xml:space="preserve"> as the interaction between individuals and social norms. Transness is the word for when a person does not fit within the </w:t>
      </w:r>
      <w:r w:rsidR="00375F34">
        <w:t>gender norms extant in their society, and moves within the associated categories or roles.</w:t>
      </w:r>
      <w:r w:rsidR="00720233">
        <w:t xml:space="preserve"> In this view,</w:t>
      </w:r>
      <w:r w:rsidR="00375F34">
        <w:t xml:space="preserve"> </w:t>
      </w:r>
      <w:r w:rsidR="00720233">
        <w:t>what it means to be trans is always relative to</w:t>
      </w:r>
      <w:r w:rsidR="004E4F86">
        <w:t xml:space="preserve"> the categories and roles in</w:t>
      </w:r>
      <w:r w:rsidR="00720233">
        <w:t xml:space="preserve"> one’s context</w:t>
      </w:r>
      <w:r w:rsidR="004E4F86">
        <w:t>—</w:t>
      </w:r>
      <w:r w:rsidR="00720233">
        <w:t xml:space="preserve"> with the word “trans” itself just encompassing </w:t>
      </w:r>
      <w:r w:rsidR="004E4F86">
        <w:t>the broad idea of movement within these, whatever they may be.</w:t>
      </w:r>
      <w:r w:rsidR="00720233">
        <w:t xml:space="preserve"> </w:t>
      </w:r>
      <w:r w:rsidR="00375F34">
        <w:t xml:space="preserve">Contrast this with the </w:t>
      </w:r>
      <w:r w:rsidR="00F62D13">
        <w:t xml:space="preserve">popular understanding of transness </w:t>
      </w:r>
      <w:r w:rsidR="00D1149F">
        <w:t>as</w:t>
      </w:r>
      <w:r w:rsidR="001663C6">
        <w:t xml:space="preserve"> a mismatch between the brain and </w:t>
      </w:r>
      <w:r w:rsidR="00D1149F">
        <w:t xml:space="preserve">the </w:t>
      </w:r>
      <w:r w:rsidR="001663C6">
        <w:t>body</w:t>
      </w:r>
      <w:r w:rsidR="008859F9">
        <w:t>. This views transness as</w:t>
      </w:r>
      <w:r w:rsidR="006E49A5">
        <w:t xml:space="preserve"> possessing an essence: a particular arrangement of the relationship between our brains and our bodies. </w:t>
      </w:r>
      <w:r w:rsidR="000A073B">
        <w:t>The same goes for</w:t>
      </w:r>
      <w:r w:rsidR="002B6F1A">
        <w:t xml:space="preserve"> medical models of</w:t>
      </w:r>
      <w:r w:rsidR="000A073B">
        <w:t xml:space="preserve"> transness </w:t>
      </w:r>
      <w:r w:rsidR="002B6F1A">
        <w:t>revolving around</w:t>
      </w:r>
      <w:r w:rsidR="000A073B">
        <w:t xml:space="preserve"> “gender dysphoria</w:t>
      </w:r>
      <w:r w:rsidR="008859F9">
        <w:t>”</w:t>
      </w:r>
      <w:r w:rsidR="006E49A5">
        <w:t xml:space="preserve">: transness here is </w:t>
      </w:r>
      <w:r w:rsidR="008859F9">
        <w:t>a specific kind of mental state with clear features and diagnostic criteri</w:t>
      </w:r>
      <w:r w:rsidR="006E49A5">
        <w:t>a that obtain in all times and contexts.</w:t>
      </w:r>
    </w:p>
    <w:p w14:paraId="3256928F" w14:textId="430E0858" w:rsidR="007F51F2" w:rsidRDefault="00895AAB" w:rsidP="00E03B48">
      <w:r>
        <w:t>This d</w:t>
      </w:r>
      <w:r w:rsidR="003A24DC">
        <w:t xml:space="preserve">e-essentialisation </w:t>
      </w:r>
      <w:r w:rsidR="000C04E0">
        <w:t xml:space="preserve">enables </w:t>
      </w:r>
      <w:r>
        <w:t>Stryker and Gordon to take a</w:t>
      </w:r>
      <w:r w:rsidR="000C04E0">
        <w:t xml:space="preserve"> broader view of transness because it </w:t>
      </w:r>
      <w:r>
        <w:t>produces a much ‘thinner’ concept of transness</w:t>
      </w:r>
      <w:r w:rsidR="0080665B">
        <w:t xml:space="preserve"> itself. Transness becomes </w:t>
      </w:r>
      <w:r w:rsidR="00602745">
        <w:t>less tied to specific criteri</w:t>
      </w:r>
      <w:r w:rsidR="00CC2A47">
        <w:t>a</w:t>
      </w:r>
      <w:r w:rsidR="00602745">
        <w:t xml:space="preserve"> that limit its applicability</w:t>
      </w:r>
      <w:r w:rsidR="006E49A5">
        <w:t>—f</w:t>
      </w:r>
      <w:r w:rsidR="00B8021C">
        <w:t>or example,</w:t>
      </w:r>
      <w:r w:rsidR="006E49A5">
        <w:t xml:space="preserve"> if transness is simply movement within gender, the specificities of an individual’s brain and body relationship are no longer relevant. Likewise</w:t>
      </w:r>
      <w:r w:rsidR="00071199">
        <w:t>, nor does it matter what their mental state was—it is what they did that counts.</w:t>
      </w:r>
      <w:r w:rsidR="00813D7D">
        <w:t xml:space="preserve"> This means that we can talk about “transness” in the early modern period even though we might struggle to know the relationship between people’s brains and bodies</w:t>
      </w:r>
      <w:r w:rsidR="007D630D">
        <w:t xml:space="preserve">, </w:t>
      </w:r>
      <w:r w:rsidR="00813D7D">
        <w:t>and</w:t>
      </w:r>
      <w:r w:rsidR="007F51F2">
        <w:t xml:space="preserve"> despite the fact that</w:t>
      </w:r>
      <w:r w:rsidR="007D630D">
        <w:t xml:space="preserve"> “gender dysphoria”</w:t>
      </w:r>
      <w:r w:rsidR="007F51F2">
        <w:t xml:space="preserve"> language was not available for people to express their experience in.</w:t>
      </w:r>
      <w:r w:rsidR="007D630D">
        <w:t xml:space="preserve"> </w:t>
      </w:r>
      <w:r w:rsidR="007F51F2">
        <w:t>W</w:t>
      </w:r>
      <w:r w:rsidR="007D630D">
        <w:t>e can see that gender existed, and that certain individuals and bodies were presented as moving within it.</w:t>
      </w:r>
      <w:r w:rsidR="007F51F2">
        <w:t xml:space="preserve"> Therefore, we can see transness.</w:t>
      </w:r>
    </w:p>
    <w:p w14:paraId="5DD85DB7" w14:textId="386E5EBC" w:rsidR="00FD51E6" w:rsidRDefault="00071199" w:rsidP="00E03B48">
      <w:r>
        <w:t xml:space="preserve">Nor indeed does it matter what the nature of gender at the time was. </w:t>
      </w:r>
      <w:r w:rsidR="00D634E0">
        <w:t xml:space="preserve">The fact that a person moves within gender is not tied to any one specific way or organising gender. </w:t>
      </w:r>
      <w:r w:rsidR="00217255">
        <w:t xml:space="preserve">In this way, Gordon and Stryker’s approach is associated with what is known as “poststructuralism”. Structuralism is a way of </w:t>
      </w:r>
      <w:r w:rsidR="007A0540">
        <w:t>understanding</w:t>
      </w:r>
      <w:r w:rsidR="00217255">
        <w:t xml:space="preserve"> the world </w:t>
      </w:r>
      <w:r w:rsidR="007A0540">
        <w:t>in terms of underlying</w:t>
      </w:r>
      <w:r w:rsidR="00E85297">
        <w:t xml:space="preserve"> </w:t>
      </w:r>
      <w:r w:rsidR="007A0540">
        <w:t>structures</w:t>
      </w:r>
      <w:r w:rsidR="00E85297">
        <w:t>. For example, a structuralist account of gender might define it</w:t>
      </w:r>
      <w:r w:rsidR="00F82CF3">
        <w:t xml:space="preserve"> in ‘thick’ terms as the two social categories </w:t>
      </w:r>
      <w:r w:rsidR="00CD0AF4">
        <w:t>of</w:t>
      </w:r>
      <w:r w:rsidR="00F82CF3">
        <w:t xml:space="preserve"> ‘men’ and ‘women’,</w:t>
      </w:r>
      <w:r w:rsidR="00CD0AF4">
        <w:t xml:space="preserve"> with all their associated significances,</w:t>
      </w:r>
      <w:r w:rsidR="00F82CF3">
        <w:t xml:space="preserve"> or i</w:t>
      </w:r>
      <w:r w:rsidR="00E85297">
        <w:t xml:space="preserve">n </w:t>
      </w:r>
      <w:r w:rsidR="00F82CF3">
        <w:t>‘thin</w:t>
      </w:r>
      <w:r w:rsidR="00BB1C6B">
        <w:t>ner</w:t>
      </w:r>
      <w:r w:rsidR="00F82CF3">
        <w:t xml:space="preserve">’ terms as </w:t>
      </w:r>
      <w:r w:rsidR="00E85297">
        <w:t>an antagonistic or hierarchical relationship</w:t>
      </w:r>
      <w:r w:rsidR="00F82CF3">
        <w:t xml:space="preserve"> between two classes organised around reproductive labour.</w:t>
      </w:r>
      <w:r w:rsidR="00FD0030">
        <w:t xml:space="preserve"> In this context, a structuralist account of transness might define it in terms of movement between these two categories</w:t>
      </w:r>
      <w:r w:rsidR="00D70262">
        <w:t xml:space="preserve"> or classes</w:t>
      </w:r>
      <w:r w:rsidR="00BB1C6B">
        <w:t>. Th</w:t>
      </w:r>
      <w:r w:rsidR="00CB64F4">
        <w:t>ese</w:t>
      </w:r>
      <w:r w:rsidR="00BB1C6B">
        <w:t xml:space="preserve"> </w:t>
      </w:r>
      <w:r w:rsidR="00FD51E6">
        <w:t>definition</w:t>
      </w:r>
      <w:r w:rsidR="00CB64F4">
        <w:t>s</w:t>
      </w:r>
      <w:r w:rsidR="00FD51E6">
        <w:t xml:space="preserve"> limit transness </w:t>
      </w:r>
      <w:r w:rsidR="00903334">
        <w:t xml:space="preserve">to contexts where </w:t>
      </w:r>
      <w:r w:rsidR="00CB64F4">
        <w:t>the relevant</w:t>
      </w:r>
      <w:r w:rsidR="00903334">
        <w:t xml:space="preserve"> structure</w:t>
      </w:r>
      <w:r w:rsidR="00CB64F4">
        <w:t>s</w:t>
      </w:r>
      <w:r w:rsidR="00903334">
        <w:t xml:space="preserve"> </w:t>
      </w:r>
      <w:r w:rsidR="00CB64F4">
        <w:t>are</w:t>
      </w:r>
      <w:r w:rsidR="00903334">
        <w:t xml:space="preserve"> present. For example, if transness is movement between the categories of “man” and “woman”, it does not make sense to talk about it where these categories do not exist</w:t>
      </w:r>
      <w:r w:rsidR="00C6309A">
        <w:t xml:space="preserve"> (or mean something radically different to how we conceive of them, which is basically the same thing as being different categories).</w:t>
      </w:r>
    </w:p>
    <w:p w14:paraId="71C41248" w14:textId="4BF042D0" w:rsidR="0051555B" w:rsidRDefault="00D70262" w:rsidP="00E03B48">
      <w:r>
        <w:t>Poststructuralism</w:t>
      </w:r>
      <w:r w:rsidR="000616E6">
        <w:t xml:space="preserve"> asks about the origins of these structures, historicising them.</w:t>
      </w:r>
      <w:r w:rsidR="00936A07">
        <w:t xml:space="preserve"> A concept of transness as movement within gender evokes a poststructuralist account of gender more than a structuralist one, because that movement is not defined in terms of its origin or destination. It does not presume anything about the nature of the structure in which that movement takes place, suggesting </w:t>
      </w:r>
      <w:r w:rsidR="00FD51E6">
        <w:t>the possibility for that structure to change with the context</w:t>
      </w:r>
      <w:r w:rsidR="0013160B">
        <w:t xml:space="preserve">—and the possibility of movement </w:t>
      </w:r>
      <w:r w:rsidR="006E099E">
        <w:t>detached from any particular structural configuration.</w:t>
      </w:r>
    </w:p>
    <w:p w14:paraId="4F364A4C" w14:textId="0FD5591D" w:rsidR="00CD0AF4" w:rsidRPr="003A636D" w:rsidRDefault="006544DE" w:rsidP="00E03B48">
      <w:pPr>
        <w:rPr>
          <w:i/>
          <w:iCs/>
        </w:rPr>
      </w:pPr>
      <w:r>
        <w:t>In fact, some theorists—</w:t>
      </w:r>
      <w:r w:rsidR="00CC30EA">
        <w:t xml:space="preserve">including </w:t>
      </w:r>
      <w:r>
        <w:t>Stryker herself</w:t>
      </w:r>
      <w:r w:rsidR="00CC30EA">
        <w:t>, as well as writers like C. Riley Snorton and Marquis Bey</w:t>
      </w:r>
      <w:r>
        <w:t xml:space="preserve">—see this movement as an expression of something </w:t>
      </w:r>
      <w:r>
        <w:rPr>
          <w:i/>
          <w:iCs/>
        </w:rPr>
        <w:t xml:space="preserve">prior </w:t>
      </w:r>
      <w:r>
        <w:t xml:space="preserve">to </w:t>
      </w:r>
      <w:r w:rsidR="00814D4E">
        <w:t xml:space="preserve">social structures. For Stryker, transness is an expression of a universe that cannot be constrained by structures of </w:t>
      </w:r>
      <w:r w:rsidR="00814D4E">
        <w:lastRenderedPageBreak/>
        <w:t>gender. The movement that defines transness is simply the inevitable</w:t>
      </w:r>
      <w:r w:rsidR="004C36D5">
        <w:t xml:space="preserve"> failure of those structures to contain the world—and which is consequently mirrored by similar movements in relation to different structures</w:t>
      </w:r>
      <w:r w:rsidR="00CC30EA">
        <w:t>. For Snorton and Bey,</w:t>
      </w:r>
      <w:r w:rsidR="00792052">
        <w:t xml:space="preserve"> this is particularly significant in relation to racialisation. Race is another way of organising bodies, which they argue racialised groups have navigated not only alongside but </w:t>
      </w:r>
      <w:r w:rsidR="00792052">
        <w:rPr>
          <w:i/>
          <w:iCs/>
        </w:rPr>
        <w:t xml:space="preserve">via </w:t>
      </w:r>
      <w:r w:rsidR="00792052">
        <w:t>transness</w:t>
      </w:r>
      <w:r w:rsidR="002058C6">
        <w:t>.</w:t>
      </w:r>
      <w:r w:rsidR="00792052">
        <w:t xml:space="preserve"> </w:t>
      </w:r>
      <w:r w:rsidR="002058C6">
        <w:t xml:space="preserve">For example, Black </w:t>
      </w:r>
      <w:r w:rsidR="005E21CE">
        <w:t xml:space="preserve">feminists argue that Black </w:t>
      </w:r>
      <w:r w:rsidR="002058C6">
        <w:t>people in the US have historically been</w:t>
      </w:r>
      <w:r w:rsidR="007C1975">
        <w:t xml:space="preserve"> degendered</w:t>
      </w:r>
      <w:r w:rsidR="005E21CE">
        <w:t>, or</w:t>
      </w:r>
      <w:r w:rsidR="007C1975">
        <w:t xml:space="preserve"> treated </w:t>
      </w:r>
      <w:r w:rsidR="005E21CE">
        <w:t xml:space="preserve">primarily as chattel rather than human beings bearing all the </w:t>
      </w:r>
      <w:r w:rsidR="0051555B">
        <w:t>meanings</w:t>
      </w:r>
      <w:r w:rsidR="005E21CE">
        <w:t>—including gendered</w:t>
      </w:r>
      <w:r w:rsidR="0051555B">
        <w:t xml:space="preserve"> meanings</w:t>
      </w:r>
      <w:r w:rsidR="005E21CE">
        <w:t>—this involves</w:t>
      </w:r>
      <w:r w:rsidR="007C1975">
        <w:t>.</w:t>
      </w:r>
      <w:r w:rsidR="002058C6">
        <w:t xml:space="preserve"> </w:t>
      </w:r>
      <w:r w:rsidR="003A636D">
        <w:t xml:space="preserve">Snorton argues that </w:t>
      </w:r>
      <w:r w:rsidR="00B56C30">
        <w:t>slaves in the US were</w:t>
      </w:r>
      <w:r w:rsidR="003A636D">
        <w:t xml:space="preserve"> consequently </w:t>
      </w:r>
      <w:r w:rsidR="00B56C30">
        <w:t>able to more easily disguise themselves as members of the ‘opposite sex’ to help in their escape attempts</w:t>
      </w:r>
      <w:r w:rsidR="003A636D">
        <w:t>,</w:t>
      </w:r>
      <w:r w:rsidR="0051555B">
        <w:t xml:space="preserve"> and Black communities historically permitted forms of gender variance that White communities, who were more invested in racialised gender, did not.</w:t>
      </w:r>
      <w:r w:rsidR="003A636D">
        <w:t xml:space="preserve"> If you want to learn more about this, check out their book, </w:t>
      </w:r>
      <w:r w:rsidR="003A636D">
        <w:rPr>
          <w:i/>
          <w:iCs/>
        </w:rPr>
        <w:t>Black on Both Sides</w:t>
      </w:r>
      <w:r w:rsidR="00736C79">
        <w:rPr>
          <w:i/>
          <w:iCs/>
        </w:rPr>
        <w:t>: A Racial History of Trans Identity.</w:t>
      </w:r>
    </w:p>
    <w:p w14:paraId="66DBC26D" w14:textId="4E50EEA6" w:rsidR="005E7A21" w:rsidRDefault="005E7A21" w:rsidP="005E7A21">
      <w:pPr>
        <w:pStyle w:val="Heading1"/>
      </w:pPr>
      <w:r>
        <w:t xml:space="preserve">Part </w:t>
      </w:r>
      <w:r w:rsidR="006E7EEB">
        <w:t>2</w:t>
      </w:r>
      <w:r>
        <w:t xml:space="preserve"> – Glorious Bodies</w:t>
      </w:r>
    </w:p>
    <w:p w14:paraId="79F59B62" w14:textId="34DB9DE4" w:rsidR="007B4217" w:rsidRDefault="005406C8" w:rsidP="002E602C">
      <w:r>
        <w:t>S</w:t>
      </w:r>
      <w:r w:rsidR="00741461">
        <w:t xml:space="preserve">o what is this transness that Gordon finds in the past? </w:t>
      </w:r>
      <w:r w:rsidR="0001789C">
        <w:t>The bodies of Gordon’s book title are those that the early modern period deemed “</w:t>
      </w:r>
      <w:r w:rsidR="00D057E2">
        <w:t>hermophrodite</w:t>
      </w:r>
      <w:r w:rsidR="0001789C">
        <w:t>s”—bodies that were neither wholly male nor female.</w:t>
      </w:r>
      <w:r w:rsidR="00D67B5A">
        <w:t xml:space="preserve"> Today, this term functions as a pathologizing term for the group more properly referred to as intersex people, or people with differences or variations in sexual development</w:t>
      </w:r>
      <w:r w:rsidR="00884AC4">
        <w:t>. However, as Gordon shows in this book, the term as used in the early modern period does not map entirely neatly onto modern language of intersex—not least because it was used in a cultural context in which the contemporary notions of sex</w:t>
      </w:r>
      <w:r w:rsidR="00A33FF1">
        <w:t xml:space="preserve"> framing the term, “intersex” had yet to be developed.</w:t>
      </w:r>
      <w:r w:rsidR="00C577E0">
        <w:t xml:space="preserve"> I will </w:t>
      </w:r>
      <w:r w:rsidR="009B5628">
        <w:t xml:space="preserve">accordingly </w:t>
      </w:r>
      <w:r w:rsidR="00C577E0">
        <w:t>be using this word in this lecture</w:t>
      </w:r>
      <w:r w:rsidR="009B5628">
        <w:t>—not because I don’t care about its more pathologizing applications, but because the word means something quite different to them in its historical context</w:t>
      </w:r>
      <w:r w:rsidR="007B4217">
        <w:t xml:space="preserve">: </w:t>
      </w:r>
      <w:r w:rsidR="009B5628">
        <w:t>something for which we do not have a corresponding modern word.</w:t>
      </w:r>
    </w:p>
    <w:p w14:paraId="1346EC19" w14:textId="4A20BDAD" w:rsidR="002E602C" w:rsidRDefault="00A33FF1" w:rsidP="002E602C">
      <w:r>
        <w:t>Gordon</w:t>
      </w:r>
      <w:r w:rsidR="0001789C">
        <w:t xml:space="preserve"> takes</w:t>
      </w:r>
      <w:r w:rsidR="007B4217">
        <w:t xml:space="preserve"> the figure of the </w:t>
      </w:r>
      <w:r w:rsidR="00D057E2">
        <w:t>hermophrodite</w:t>
      </w:r>
      <w:r w:rsidR="007B4217">
        <w:t xml:space="preserve"> as</w:t>
      </w:r>
      <w:r w:rsidR="0001789C">
        <w:t xml:space="preserve"> “a cipher for transness”</w:t>
      </w:r>
      <w:r w:rsidR="007B4217">
        <w:t>. He</w:t>
      </w:r>
      <w:r w:rsidR="008E1F77">
        <w:t xml:space="preserve"> argu</w:t>
      </w:r>
      <w:r w:rsidR="007B4217">
        <w:t>es</w:t>
      </w:r>
      <w:r w:rsidR="008E1F77">
        <w:t xml:space="preserve"> that</w:t>
      </w:r>
      <w:r w:rsidR="00C70E95">
        <w:t xml:space="preserve"> transition happened in</w:t>
      </w:r>
      <w:r w:rsidR="008E1F77">
        <w:t xml:space="preserve"> the early modern period</w:t>
      </w:r>
      <w:r w:rsidR="00C70E95">
        <w:t xml:space="preserve"> in both social and physical senses</w:t>
      </w:r>
      <w:r w:rsidR="00B65770">
        <w:t>—</w:t>
      </w:r>
      <w:r w:rsidR="00F602EB">
        <w:t>the</w:t>
      </w:r>
      <w:r w:rsidR="005A41C5">
        <w:t xml:space="preserve"> </w:t>
      </w:r>
      <w:r w:rsidR="003E4E6A">
        <w:t xml:space="preserve">former including records of transfeminine sex workers, and the </w:t>
      </w:r>
      <w:r w:rsidR="00561C31">
        <w:t>latter including surgical attempts to ostensibl</w:t>
      </w:r>
      <w:r w:rsidR="005A41C5">
        <w:t>y</w:t>
      </w:r>
      <w:r w:rsidR="00561C31">
        <w:t xml:space="preserve"> “correct” </w:t>
      </w:r>
      <w:r w:rsidR="005A41C5">
        <w:t xml:space="preserve">intersex bodies, as well as </w:t>
      </w:r>
      <w:r w:rsidR="00F602EB">
        <w:t xml:space="preserve">practices of </w:t>
      </w:r>
      <w:r w:rsidR="005A41C5">
        <w:t>castration</w:t>
      </w:r>
      <w:r w:rsidR="00F602EB">
        <w:t xml:space="preserve"> that had existed since antiquity</w:t>
      </w:r>
      <w:r w:rsidR="005A41C5">
        <w:t>.</w:t>
      </w:r>
      <w:r w:rsidR="00E37E8D">
        <w:t xml:space="preserve"> There were likewise various stories of overly masculine women or feminine men’s bodies changing in response to their temperament</w:t>
      </w:r>
      <w:r w:rsidR="001F6054">
        <w:t>, suggesting a wider imagination around transition</w:t>
      </w:r>
      <w:r w:rsidR="00E37E8D">
        <w:t>.</w:t>
      </w:r>
      <w:r w:rsidR="00F602EB">
        <w:t xml:space="preserve"> However, according to Gordon,</w:t>
      </w:r>
      <w:r w:rsidR="00C70E95">
        <w:t xml:space="preserve"> </w:t>
      </w:r>
      <w:r w:rsidR="007B4217">
        <w:t>h</w:t>
      </w:r>
      <w:r w:rsidR="00A94787">
        <w:t xml:space="preserve">ermaphrodism provided the language by which society understood movement within </w:t>
      </w:r>
      <w:r w:rsidR="002C328B">
        <w:t>sex</w:t>
      </w:r>
      <w:r w:rsidR="007B4217">
        <w:t>. Correspondingly,</w:t>
      </w:r>
      <w:r w:rsidR="00A94787">
        <w:t xml:space="preserve"> </w:t>
      </w:r>
      <w:r w:rsidR="00D057E2">
        <w:t>hermophrodite</w:t>
      </w:r>
      <w:r w:rsidR="00A94787">
        <w:t xml:space="preserve"> bodies were</w:t>
      </w:r>
      <w:r w:rsidR="002337EC">
        <w:t xml:space="preserve"> </w:t>
      </w:r>
      <w:r w:rsidR="00072833">
        <w:t xml:space="preserve">associated </w:t>
      </w:r>
      <w:r w:rsidR="00390EAB">
        <w:t>with a range of other transgressions including sacrilege</w:t>
      </w:r>
      <w:r w:rsidR="00F85033">
        <w:t>, heresy,</w:t>
      </w:r>
      <w:r w:rsidR="00390EAB">
        <w:t xml:space="preserve"> public disorder</w:t>
      </w:r>
      <w:r w:rsidR="008E1F77">
        <w:t>,</w:t>
      </w:r>
      <w:r w:rsidR="0051012A">
        <w:t xml:space="preserve"> and even the racial boundaries of medieval European society,</w:t>
      </w:r>
      <w:r w:rsidR="008E1F77">
        <w:t xml:space="preserve"> and policed accordingl</w:t>
      </w:r>
      <w:r w:rsidR="003B3E3C">
        <w:t>y—but also with various kinds of transcendence and redemption.</w:t>
      </w:r>
    </w:p>
    <w:p w14:paraId="5A0932C1" w14:textId="0F98FEAA" w:rsidR="00D0516F" w:rsidRDefault="00D0516F" w:rsidP="002E602C">
      <w:r>
        <w:t xml:space="preserve">In this vein, Gordon sees </w:t>
      </w:r>
      <w:r w:rsidR="00E43A90">
        <w:t>a continuity</w:t>
      </w:r>
      <w:r>
        <w:t xml:space="preserve"> between the “</w:t>
      </w:r>
      <w:r w:rsidR="00D057E2">
        <w:t>hermophrodite</w:t>
      </w:r>
      <w:r>
        <w:t>” and other gender transgressive bodies in the medieval world, both positive and negative—from sexually ambiguous demons</w:t>
      </w:r>
      <w:r w:rsidR="00847A6A">
        <w:t xml:space="preserve">, </w:t>
      </w:r>
      <w:r>
        <w:t>the suspicious Christlikeness of stigmatic nuns,</w:t>
      </w:r>
      <w:r w:rsidR="00744C35">
        <w:t xml:space="preserve"> circumcised Jews</w:t>
      </w:r>
      <w:r w:rsidR="00326F90">
        <w:t xml:space="preserve"> including</w:t>
      </w:r>
      <w:r w:rsidR="0038622C">
        <w:t xml:space="preserve"> apostates</w:t>
      </w:r>
      <w:r w:rsidR="00326F90">
        <w:t xml:space="preserve"> </w:t>
      </w:r>
      <w:r w:rsidR="00326F90">
        <w:rPr>
          <w:i/>
          <w:iCs/>
        </w:rPr>
        <w:t xml:space="preserve">to </w:t>
      </w:r>
      <w:r w:rsidR="00326F90">
        <w:t>Judaism</w:t>
      </w:r>
      <w:r w:rsidR="00744C35">
        <w:t>,</w:t>
      </w:r>
      <w:r w:rsidR="00847A6A">
        <w:t xml:space="preserve"> or witches who steal the penises of men</w:t>
      </w:r>
      <w:r w:rsidR="00E43A90">
        <w:t>,</w:t>
      </w:r>
      <w:r>
        <w:t xml:space="preserve"> to the salvific ambiguous gendering of Christ, whose side-wound was presented by some medieval writers in terms of a vagina or a nourishing breast.</w:t>
      </w:r>
    </w:p>
    <w:p w14:paraId="5FA73A91" w14:textId="77777777" w:rsidR="00BE24F3" w:rsidRDefault="00957FAA" w:rsidP="002E602C">
      <w:r>
        <w:t xml:space="preserve">Significantly, this </w:t>
      </w:r>
      <w:r w:rsidR="003B3E3C">
        <w:t>concept was intrinsically theological.</w:t>
      </w:r>
      <w:r w:rsidR="009229E2">
        <w:t xml:space="preserve"> In exploring early modern stories and records of “</w:t>
      </w:r>
      <w:r w:rsidR="00D057E2">
        <w:t>Hermophrodite</w:t>
      </w:r>
      <w:r w:rsidR="009229E2">
        <w:t xml:space="preserve">s”, Gordon thus </w:t>
      </w:r>
      <w:r w:rsidR="005B637C">
        <w:t xml:space="preserve">explores a new vocabulary for understanding </w:t>
      </w:r>
      <w:r w:rsidR="005B637C">
        <w:lastRenderedPageBreak/>
        <w:t xml:space="preserve">transness—one that cuts against </w:t>
      </w:r>
      <w:r w:rsidR="00F47996">
        <w:t>three</w:t>
      </w:r>
      <w:r w:rsidR="005B637C">
        <w:t xml:space="preserve"> presumptions that mark contemporary transphobic politics.</w:t>
      </w:r>
      <w:r w:rsidR="00944D68">
        <w:t xml:space="preserve"> </w:t>
      </w:r>
    </w:p>
    <w:p w14:paraId="6E9329F3" w14:textId="6553AAAF" w:rsidR="00BE24F3" w:rsidRDefault="005B637C" w:rsidP="002E602C">
      <w:r>
        <w:t xml:space="preserve">First, he shows that transness is not a new phenomenon. </w:t>
      </w:r>
      <w:r w:rsidR="00F27C1F">
        <w:t xml:space="preserve">In doing so, he consciously pushes back against what he sees as a tendency in early modern studies to exclude a trans reading of its sources. This, he argues, is motivated by an attempt to get beyond totalising modern views of gender, seeking to resource the past for ways of thinking about the body that are not shaped by the effects of modern medical institutions—where expertise welds knowledge about bodies to </w:t>
      </w:r>
      <w:r w:rsidR="0069132A">
        <w:t xml:space="preserve">often abused </w:t>
      </w:r>
      <w:r w:rsidR="00F27C1F">
        <w:t>power.</w:t>
      </w:r>
      <w:r w:rsidR="0069132A">
        <w:t xml:space="preserve"> Historians refuse to read transness into the past because they see transness as an expression of modern medical institutions. Yet, as we saw in our first session, trans studies rejects the idea that transness can simply be reduced to the effect of modern medicine. Correspondingly, it becomes something that might be read into the past without simply reproducing </w:t>
      </w:r>
      <w:r w:rsidR="00E62210">
        <w:t>modern medical ideologies.</w:t>
      </w:r>
      <w:r w:rsidR="00BD3C3F">
        <w:t xml:space="preserve"> Reading the past in this way can then also provide a corrective to historical approaches that do read transness into the past, but tie it in other ways to modern medical concepts—for example, a focus on so-called “cross dressing” or “transvestism” that </w:t>
      </w:r>
      <w:r w:rsidR="00F849D4">
        <w:t>closes out other visions of transness.</w:t>
      </w:r>
    </w:p>
    <w:p w14:paraId="26C29E15" w14:textId="61FB2361" w:rsidR="00833828" w:rsidRDefault="005B637C" w:rsidP="002E602C">
      <w:r>
        <w:t>Second, he shows that transness can be articulated theologically</w:t>
      </w:r>
      <w:r w:rsidR="00E62210">
        <w:t xml:space="preserve">. This </w:t>
      </w:r>
      <w:r>
        <w:t>suggest</w:t>
      </w:r>
      <w:r w:rsidR="00E62210">
        <w:t>s how transness might be read apart from modern clinical discourses,</w:t>
      </w:r>
      <w:r w:rsidR="000838E1">
        <w:t xml:space="preserve"> while also showing</w:t>
      </w:r>
      <w:r>
        <w:t xml:space="preserve"> </w:t>
      </w:r>
      <w:r w:rsidR="00536C36">
        <w:t xml:space="preserve">that theology need </w:t>
      </w:r>
      <w:r w:rsidR="00F47996">
        <w:t xml:space="preserve">not be </w:t>
      </w:r>
      <w:r w:rsidR="00536C36">
        <w:t>the</w:t>
      </w:r>
      <w:r w:rsidR="00F47996">
        <w:t xml:space="preserve"> sole</w:t>
      </w:r>
      <w:r w:rsidR="00536C36">
        <w:t xml:space="preserve"> preserve of transphobia</w:t>
      </w:r>
      <w:r w:rsidR="00F47996">
        <w:t xml:space="preserve">. </w:t>
      </w:r>
    </w:p>
    <w:p w14:paraId="6F38BFF8" w14:textId="6F29843A" w:rsidR="00833828" w:rsidRDefault="00F47996" w:rsidP="002E602C">
      <w:r>
        <w:t>Third, he notes that positive theological accounts of transness in this vein sit uneasily within the wider Christian tradition of the time</w:t>
      </w:r>
      <w:r w:rsidR="008621BC">
        <w:t xml:space="preserve">, and that </w:t>
      </w:r>
      <w:r w:rsidR="00D057E2">
        <w:t>hermophrodite</w:t>
      </w:r>
      <w:r w:rsidR="008621BC">
        <w:t xml:space="preserve">s were persecuted by </w:t>
      </w:r>
      <w:r w:rsidR="0043593A">
        <w:t>secular power on behalf of or even wielded by</w:t>
      </w:r>
      <w:r w:rsidR="00E17740">
        <w:t xml:space="preserve"> </w:t>
      </w:r>
      <w:r w:rsidR="008621BC">
        <w:t>Ch</w:t>
      </w:r>
      <w:r w:rsidR="00253FB8">
        <w:t xml:space="preserve">urch </w:t>
      </w:r>
      <w:r w:rsidR="0043593A">
        <w:t>authority</w:t>
      </w:r>
      <w:r w:rsidR="008621BC">
        <w:t>. In this respect the histories he traces reflect our own time, in which transness represe</w:t>
      </w:r>
      <w:r w:rsidR="00CC72B9">
        <w:t xml:space="preserve">nts the limits of what Christianity can accept, and is the object of political hostility by Christians. </w:t>
      </w:r>
    </w:p>
    <w:p w14:paraId="1848B2B8" w14:textId="6AE37DF2" w:rsidR="00957FAA" w:rsidRDefault="00833828" w:rsidP="002E602C">
      <w:r>
        <w:t>This has a twofold significance. On the one hand, the way that secular authority served to police an intrinsically theological category of person in the medieval era demonstrates that secular political transphobia has theological roots. The warrant for the state to do this in the medieval period was a theological one, setting up a practice that continues until today. But if this practice is rooted in theology, then it is open to theological response—a “postsecular” trans politics.</w:t>
      </w:r>
      <w:r w:rsidR="00741461">
        <w:t xml:space="preserve"> </w:t>
      </w:r>
      <w:r w:rsidR="00CC72B9">
        <w:t xml:space="preserve">On the other hand, because these accounts </w:t>
      </w:r>
      <w:r w:rsidR="00CC72B9">
        <w:rPr>
          <w:i/>
          <w:iCs/>
        </w:rPr>
        <w:t xml:space="preserve">are </w:t>
      </w:r>
      <w:r w:rsidR="00CC72B9">
        <w:t>Christian ones, they illustrate the possibility of theological language for transition, and thus</w:t>
      </w:r>
      <w:r w:rsidR="00F47996">
        <w:t xml:space="preserve"> the possibility for further development in our own time.</w:t>
      </w:r>
    </w:p>
    <w:p w14:paraId="5E654E1A" w14:textId="2E030497" w:rsidR="006E7EEB" w:rsidRDefault="006E7EEB" w:rsidP="006E7EEB">
      <w:pPr>
        <w:pStyle w:val="Heading1"/>
      </w:pPr>
      <w:r>
        <w:t>Part 3</w:t>
      </w:r>
      <w:r w:rsidR="00887673">
        <w:t xml:space="preserve"> </w:t>
      </w:r>
      <w:r w:rsidR="00DD34B5">
        <w:t>–</w:t>
      </w:r>
      <w:r w:rsidR="00887673">
        <w:t xml:space="preserve"> </w:t>
      </w:r>
      <w:r w:rsidR="00DD34B5">
        <w:t>A Woman’s Prick</w:t>
      </w:r>
    </w:p>
    <w:p w14:paraId="25E27CE3" w14:textId="3B382713" w:rsidR="006E7EEB" w:rsidRDefault="00476292" w:rsidP="006E7EEB">
      <w:r>
        <w:t xml:space="preserve">Let’s look in more detail at how Gordon sees transness in the renaissance era. The first chapter of </w:t>
      </w:r>
      <w:r>
        <w:rPr>
          <w:i/>
          <w:iCs/>
        </w:rPr>
        <w:t>Glorious Bodies</w:t>
      </w:r>
      <w:r w:rsidR="00FB3EF1">
        <w:rPr>
          <w:i/>
          <w:iCs/>
        </w:rPr>
        <w:t xml:space="preserve"> </w:t>
      </w:r>
      <w:r w:rsidR="00FB3EF1">
        <w:t xml:space="preserve">looks at Shakespeare’s </w:t>
      </w:r>
      <w:r w:rsidR="00FB3EF1">
        <w:rPr>
          <w:i/>
          <w:iCs/>
        </w:rPr>
        <w:t>Sonnet 20</w:t>
      </w:r>
      <w:r w:rsidR="00FB3EF1">
        <w:t>, which he argues reads the creation narrative in Genesis in a trans way.</w:t>
      </w:r>
    </w:p>
    <w:p w14:paraId="4FAC44E5" w14:textId="28F3E1DE" w:rsidR="00FB3EF1" w:rsidRDefault="00FB3EF1" w:rsidP="006E7EEB">
      <w:r>
        <w:t xml:space="preserve">Gordon is interested in this text because of the way that Genesis is </w:t>
      </w:r>
      <w:r w:rsidR="007423BE">
        <w:t>used to ground a transphobic worldview. He is especially interested in this regard in Pope Francis’ use of Genesis to naturalise a cissexist vision of human nature</w:t>
      </w:r>
      <w:r w:rsidR="004E131C">
        <w:t>—</w:t>
      </w:r>
      <w:r w:rsidR="00122CC5">
        <w:t xml:space="preserve">but </w:t>
      </w:r>
      <w:r w:rsidR="004E131C">
        <w:t xml:space="preserve">which </w:t>
      </w:r>
      <w:r w:rsidR="00194A18">
        <w:t>is then integrated into a broader theological</w:t>
      </w:r>
      <w:r w:rsidR="002D7105">
        <w:t xml:space="preserve"> worldview </w:t>
      </w:r>
      <w:r w:rsidR="006E66DE">
        <w:t>with an explicit ecological dimension, in which transness becomes a threat to nature</w:t>
      </w:r>
      <w:r w:rsidR="0040179E">
        <w:t>.</w:t>
      </w:r>
      <w:r w:rsidR="00306C75">
        <w:t xml:space="preserve"> This is interesting because this wider vision</w:t>
      </w:r>
      <w:r w:rsidR="00F10136">
        <w:t>, which underpins a strong affirmation of human dignity and the importance of the natural world, has been embraced by more progressive elements across the ideological spectrum</w:t>
      </w:r>
      <w:r w:rsidR="00661444">
        <w:t xml:space="preserve">. That is, his theological </w:t>
      </w:r>
      <w:r w:rsidR="00661444">
        <w:lastRenderedPageBreak/>
        <w:t>transphobia</w:t>
      </w:r>
      <w:r w:rsidR="00097484">
        <w:t xml:space="preserve"> has a more complex ideological nature than</w:t>
      </w:r>
      <w:r w:rsidR="00661444">
        <w:t xml:space="preserve"> the kind of conservative theological reaction we might immediately </w:t>
      </w:r>
      <w:r w:rsidR="00097484">
        <w:t>expect.</w:t>
      </w:r>
    </w:p>
    <w:p w14:paraId="6E9068CA" w14:textId="56E9C307" w:rsidR="001444F2" w:rsidRDefault="001444F2" w:rsidP="006E7EEB">
      <w:r>
        <w:t xml:space="preserve">Gordon argues that at the heart of this worldview is a </w:t>
      </w:r>
      <w:r w:rsidR="0054783E">
        <w:t>suspicion</w:t>
      </w:r>
      <w:r>
        <w:t xml:space="preserve"> of</w:t>
      </w:r>
      <w:r w:rsidR="00125F7E">
        <w:t xml:space="preserve"> technology and</w:t>
      </w:r>
      <w:r>
        <w:t xml:space="preserve"> the artificial. Francis is worried about tendencies to reduce creation simply to the material for the exercise of human technological power, rather than respecting its intrinsic nature.</w:t>
      </w:r>
      <w:r w:rsidR="00517394">
        <w:t xml:space="preserve"> This lies at the heart of his critique of transness, which he views as an attempt to master and transform nature.</w:t>
      </w:r>
      <w:r>
        <w:t xml:space="preserve"> </w:t>
      </w:r>
      <w:r w:rsidR="00AE4003">
        <w:t xml:space="preserve">It also cuts against more sophisticated accounts of transness that rest on </w:t>
      </w:r>
      <w:r w:rsidR="002F6552">
        <w:t xml:space="preserve">a view of </w:t>
      </w:r>
      <w:r w:rsidR="00AA5FA4">
        <w:t>human nature</w:t>
      </w:r>
      <w:r w:rsidR="002F6552">
        <w:t xml:space="preserve"> as produced in part through technology</w:t>
      </w:r>
      <w:r w:rsidR="00AA5FA4">
        <w:t>, even as humanity produces the technology itself. You’ll find out about this more in the reading.</w:t>
      </w:r>
    </w:p>
    <w:p w14:paraId="2B26BD8C" w14:textId="359BAE06" w:rsidR="00097484" w:rsidRDefault="0001035A" w:rsidP="006E7EEB">
      <w:r>
        <w:t>Gordon also argues that these sorts of issues are at stake in Genesis, as evidenced by the history of its interpretation.</w:t>
      </w:r>
      <w:r w:rsidR="006F706F">
        <w:t xml:space="preserve"> He notes that throughout history, various commentators have seen Genesis as offering an androgynous or hermaphroditic account of human nature, with Adam being both male and female prior to the separation out of Eve from his body</w:t>
      </w:r>
      <w:r w:rsidR="002A05F9">
        <w:t>. While this kind of interpretation was never the main one, and was</w:t>
      </w:r>
      <w:r w:rsidR="00CE4B31">
        <w:t xml:space="preserve"> actively</w:t>
      </w:r>
      <w:r w:rsidR="002A05F9">
        <w:t xml:space="preserve"> suppressed by</w:t>
      </w:r>
      <w:r w:rsidR="00CE4B31">
        <w:t xml:space="preserve"> more influential</w:t>
      </w:r>
      <w:r w:rsidR="002A05F9">
        <w:t xml:space="preserve"> theologians such as the 4</w:t>
      </w:r>
      <w:r w:rsidR="002A05F9" w:rsidRPr="002A05F9">
        <w:rPr>
          <w:vertAlign w:val="superscript"/>
        </w:rPr>
        <w:t>th</w:t>
      </w:r>
      <w:r w:rsidR="002A05F9">
        <w:t xml:space="preserve"> Century Augustine of Hippo</w:t>
      </w:r>
      <w:r w:rsidR="00A13506">
        <w:t xml:space="preserve"> as offering a supposedly monstrous view of human nature, they nevertheless offer a more complex account not just of humanity but of the relationship between sex and technology. </w:t>
      </w:r>
      <w:r w:rsidR="008A3A0D">
        <w:t xml:space="preserve">Human nature, the </w:t>
      </w:r>
      <w:r w:rsidR="008A3A0D">
        <w:rPr>
          <w:i/>
          <w:iCs/>
        </w:rPr>
        <w:t>imago D</w:t>
      </w:r>
      <w:r w:rsidR="008A3A0D" w:rsidRPr="008A3A0D">
        <w:rPr>
          <w:i/>
          <w:iCs/>
        </w:rPr>
        <w:t>ei</w:t>
      </w:r>
      <w:r w:rsidR="008A3A0D">
        <w:rPr>
          <w:i/>
          <w:iCs/>
        </w:rPr>
        <w:t xml:space="preserve"> </w:t>
      </w:r>
      <w:r w:rsidR="008A3A0D">
        <w:t>or image of God, is ambiguously sexed</w:t>
      </w:r>
      <w:r w:rsidR="00CE4B31">
        <w:t>, with some interpreters taking the hermaphrodite or androgyne body as a symbol of mystical transformation</w:t>
      </w:r>
      <w:r w:rsidR="008A3A0D">
        <w:t>. Moreover, sex</w:t>
      </w:r>
      <w:r w:rsidR="00A13506">
        <w:t xml:space="preserve"> is produced by God </w:t>
      </w:r>
      <w:r w:rsidR="008A3A0D">
        <w:t xml:space="preserve">through interacting with that nature </w:t>
      </w:r>
      <w:r w:rsidR="00A13506">
        <w:t>in a way that is</w:t>
      </w:r>
      <w:r w:rsidR="008A3A0D">
        <w:t xml:space="preserve"> potentially</w:t>
      </w:r>
      <w:r w:rsidR="00837912">
        <w:t xml:space="preserve"> then</w:t>
      </w:r>
      <w:r w:rsidR="00A13506">
        <w:t xml:space="preserve"> mirrored</w:t>
      </w:r>
      <w:r w:rsidR="008A3A0D">
        <w:t xml:space="preserve"> by</w:t>
      </w:r>
      <w:r w:rsidR="00837912">
        <w:t xml:space="preserve"> later</w:t>
      </w:r>
      <w:r w:rsidR="008A3A0D">
        <w:t xml:space="preserve"> human interventions into sex</w:t>
      </w:r>
      <w:r w:rsidR="00CD69A2">
        <w:t>.</w:t>
      </w:r>
      <w:r w:rsidR="003C1049">
        <w:t xml:space="preserve"> Gordon argues that the fraught nature of this possibility is reflected </w:t>
      </w:r>
      <w:r w:rsidR="00FA456C">
        <w:t>i</w:t>
      </w:r>
      <w:r w:rsidR="003C1049">
        <w:t>n the ways cosmetics were portrayed in the Rennaissance, as</w:t>
      </w:r>
      <w:r w:rsidR="00984933">
        <w:t xml:space="preserve"> both beautifying and thus making sex in a positive sense, but also potentially as an attack on nature.</w:t>
      </w:r>
    </w:p>
    <w:p w14:paraId="58931819" w14:textId="2DD3A3C1" w:rsidR="00356B85" w:rsidRDefault="00356B85" w:rsidP="006E7EEB">
      <w:r>
        <w:t xml:space="preserve">This brings him to Shakespeare’s </w:t>
      </w:r>
      <w:r w:rsidRPr="00356B85">
        <w:rPr>
          <w:i/>
          <w:iCs/>
        </w:rPr>
        <w:t>Sonnet 20</w:t>
      </w:r>
      <w:r>
        <w:t xml:space="preserve">, which reflects on </w:t>
      </w:r>
      <w:r w:rsidR="007325BB">
        <w:t>the construction of womanhood through makeup.</w:t>
      </w:r>
    </w:p>
    <w:p w14:paraId="11539659" w14:textId="4F20428B" w:rsidR="00DB2C91" w:rsidRPr="00356B85" w:rsidRDefault="00DB2C91" w:rsidP="00710C2B">
      <w:pPr>
        <w:ind w:left="567" w:right="567"/>
      </w:pPr>
      <w:r>
        <w:t>A woman’s face with nature’s own hand painted</w:t>
      </w:r>
      <w:r>
        <w:br/>
        <w:t>Hast thou, the master-mistress of my passion;</w:t>
      </w:r>
      <w:r>
        <w:br/>
        <w:t>A woman’s gentle heart, but not acquainted</w:t>
      </w:r>
      <w:r>
        <w:br/>
        <w:t>With shifting change as is false women’s fashion;</w:t>
      </w:r>
      <w:r>
        <w:br/>
        <w:t>An eye more bright than theirs, less false in rolling,</w:t>
      </w:r>
      <w:r>
        <w:br/>
        <w:t>Gilding the object whereupon it gazeth;</w:t>
      </w:r>
      <w:r>
        <w:br/>
        <w:t>A man in hue, all hues in his controlling,</w:t>
      </w:r>
      <w:r>
        <w:br/>
        <w:t>Which steals men’s eyes and women’s souls amazeth.</w:t>
      </w:r>
      <w:r>
        <w:br/>
        <w:t>And for a woman wert thou first created,</w:t>
      </w:r>
      <w:r w:rsidR="00710C2B">
        <w:br/>
      </w:r>
      <w:r>
        <w:t>Till nature as she wrought thee fell a-doting,</w:t>
      </w:r>
      <w:r w:rsidR="00710C2B">
        <w:br/>
      </w:r>
      <w:r>
        <w:t>And by addition me of thee defeated</w:t>
      </w:r>
      <w:r w:rsidR="00710C2B">
        <w:br/>
      </w:r>
      <w:r>
        <w:t>By adding one thing to my purpose nothing.</w:t>
      </w:r>
      <w:r w:rsidR="00710C2B">
        <w:br/>
      </w:r>
      <w:r>
        <w:t xml:space="preserve">      But since she pricked thee out for women's pleasure,</w:t>
      </w:r>
      <w:r w:rsidR="00710C2B">
        <w:br/>
      </w:r>
      <w:r>
        <w:t xml:space="preserve">      Mine be thy love and thy love’s use their treasure.</w:t>
      </w:r>
    </w:p>
    <w:p w14:paraId="1D4FBAAD" w14:textId="3480778B" w:rsidR="00321D4F" w:rsidRDefault="00DB7482" w:rsidP="00DB7482">
      <w:r>
        <w:t>At the centre of this sonnet is the relationship between cosmetics and nature, which Gordon sees as also connoting God as creator.</w:t>
      </w:r>
      <w:r w:rsidR="00E93BD5">
        <w:t xml:space="preserve"> </w:t>
      </w:r>
      <w:r w:rsidR="00827B84">
        <w:t xml:space="preserve">Shakespeare presents </w:t>
      </w:r>
      <w:r w:rsidR="00761C74">
        <w:t>a complex relationship between nature and artifice in his description of</w:t>
      </w:r>
      <w:r w:rsidR="00260F75">
        <w:t xml:space="preserve"> a youth p</w:t>
      </w:r>
      <w:r w:rsidR="00920045">
        <w:t>utting on makeup: his line,</w:t>
      </w:r>
      <w:r w:rsidR="004F4B82">
        <w:t xml:space="preserve"> “A woman’s face with nature’s own hand painted</w:t>
      </w:r>
      <w:r w:rsidR="00920045">
        <w:t xml:space="preserve">” blurs the boundaries of nature and artifice, </w:t>
      </w:r>
      <w:r w:rsidR="00F85AB1">
        <w:t>citing nature but then presenting it as painting.</w:t>
      </w:r>
      <w:r w:rsidR="005066BE">
        <w:t xml:space="preserve"> </w:t>
      </w:r>
    </w:p>
    <w:p w14:paraId="18AD0788" w14:textId="531B72E2" w:rsidR="00DB7482" w:rsidRDefault="00F60B05" w:rsidP="00DB7482">
      <w:r>
        <w:lastRenderedPageBreak/>
        <w:t>Shakespeare</w:t>
      </w:r>
      <w:r w:rsidR="005066BE">
        <w:t xml:space="preserve"> then correlates this with the youth’s</w:t>
      </w:r>
      <w:r w:rsidR="00F45543">
        <w:t xml:space="preserve"> </w:t>
      </w:r>
      <w:r w:rsidR="005066BE">
        <w:t xml:space="preserve">inner </w:t>
      </w:r>
      <w:r w:rsidR="00456921">
        <w:t>life</w:t>
      </w:r>
      <w:r w:rsidR="005066BE">
        <w:t>, noting their “woman’s gentle heart”</w:t>
      </w:r>
      <w:r w:rsidR="00F45543">
        <w:t>. In doing so, he sets up the idea of an inner truth</w:t>
      </w:r>
      <w:r w:rsidR="00C44B81">
        <w:t xml:space="preserve"> that qualifies external appearances</w:t>
      </w:r>
      <w:r>
        <w:t xml:space="preserve">, repeating the </w:t>
      </w:r>
      <w:r w:rsidR="00027B40">
        <w:t>psychological account of</w:t>
      </w:r>
      <w:r>
        <w:t xml:space="preserve"> transness </w:t>
      </w:r>
      <w:r w:rsidR="00027B40">
        <w:t>a</w:t>
      </w:r>
      <w:r>
        <w:t>s a matter of an inner identity</w:t>
      </w:r>
      <w:r w:rsidR="00C44B81">
        <w:t>.</w:t>
      </w:r>
      <w:r w:rsidR="007C5AE1">
        <w:t xml:space="preserve"> However, Gordon argues, elsewhere in Shakespeare’s sonnets the heart is less an internal guarantor of external truth than something that i</w:t>
      </w:r>
      <w:r w:rsidR="00EC2E25">
        <w:t>tself bears the mark of artifice: hearts attract via the mediation of faces and appearances</w:t>
      </w:r>
      <w:r w:rsidR="00C21EC2">
        <w:t>, apart from which they cannot be known.</w:t>
      </w:r>
      <w:r w:rsidR="006A3077">
        <w:t xml:space="preserve"> This is reflected in Sonnet 20’s use of the term, “a woman’s heart”, which resembles the phrase, “a woman’s art”- referring to makeup.</w:t>
      </w:r>
      <w:r w:rsidR="00675EF5">
        <w:t xml:space="preserve"> Inner nature, represented by the heart, is thus once again blurred with artifice</w:t>
      </w:r>
      <w:r w:rsidR="009A0485">
        <w:t xml:space="preserve"> in a queer move that puts fixed or natural identity into question.</w:t>
      </w:r>
    </w:p>
    <w:p w14:paraId="48FE0044" w14:textId="41C1B466" w:rsidR="00504073" w:rsidRDefault="00504073" w:rsidP="00DB7482">
      <w:r>
        <w:t>Shakespear also uses other imagery that blurs the distinction between nature and artifice. For example, in describing makeup as “gilding” he evokes the changing artistic standards of his time, in which gilding – a form of decoration applie</w:t>
      </w:r>
      <w:r w:rsidR="00810E89">
        <w:t>d</w:t>
      </w:r>
      <w:r>
        <w:t xml:space="preserve"> by underlings in a workshop - was seen as an inauthentic substitute </w:t>
      </w:r>
      <w:r w:rsidR="00810E89">
        <w:t>for</w:t>
      </w:r>
      <w:r>
        <w:t xml:space="preserve"> the authentic skill of the artist himself. </w:t>
      </w:r>
      <w:r w:rsidR="00F37EE1">
        <w:t>Rather than nature entailing closeness to God</w:t>
      </w:r>
      <w:r>
        <w:t xml:space="preserve">, nature’s hand </w:t>
      </w:r>
      <w:r w:rsidR="00F37EE1">
        <w:t>is presented here as</w:t>
      </w:r>
      <w:r>
        <w:t xml:space="preserve"> appl</w:t>
      </w:r>
      <w:r w:rsidR="00F37EE1">
        <w:t>ying the gilding, and thus creating</w:t>
      </w:r>
      <w:r>
        <w:t xml:space="preserve"> distancing from its own </w:t>
      </w:r>
      <w:r w:rsidR="00F37EE1">
        <w:t>creator.</w:t>
      </w:r>
    </w:p>
    <w:p w14:paraId="1C409533" w14:textId="74A87A93" w:rsidR="000A0E2A" w:rsidRDefault="000A0E2A" w:rsidP="00DB7482">
      <w:r>
        <w:t>Gordon also notes the “hue” of the makeup was originally printed as h-e-w, or “hew” as in to cut. This, he argues, raises the spectre of more invasive transformations – not just trans surgeries, but other procedures such as the then-prevalent use of caustic chemicals to de-age the skin. These were denigrated in Shakespeare’s time as an attack on nature, damaging the body to create an artificial appearance of youthful femininity. Presented in this context, it is nature’s hand which attacks itself to produce femininity in this way.</w:t>
      </w:r>
    </w:p>
    <w:p w14:paraId="58A97406" w14:textId="0377EAAA" w:rsidR="000A0E2A" w:rsidRDefault="000A0E2A" w:rsidP="00DB7482">
      <w:r>
        <w:t>Finally, through these techniques the youth makes herself attractive and enthralling to others.</w:t>
      </w:r>
      <w:r w:rsidR="002B5141">
        <w:t xml:space="preserve"> </w:t>
      </w:r>
      <w:r w:rsidR="002B0C75">
        <w:t xml:space="preserve">In this way, the youth feminises her onlookers in the sense of enkindling passion in them – which is to say, moving them, or rendering them “passive”. </w:t>
      </w:r>
      <w:r w:rsidR="00793C9A">
        <w:t xml:space="preserve">It also </w:t>
      </w:r>
      <w:r w:rsidR="00F81680">
        <w:t xml:space="preserve">raises the spectre of non-natural reproduction, </w:t>
      </w:r>
      <w:r w:rsidR="0080413C">
        <w:t>encouraging further use of cosmetics</w:t>
      </w:r>
      <w:r w:rsidR="00793C9A">
        <w:t>, while also evoking imagery from other sonnets in which the youth is represented as imaging her mother, as if in a mirror.</w:t>
      </w:r>
      <w:r w:rsidR="0065577B">
        <w:t xml:space="preserve"> This threatens the naturalised regime of heterosexual reproduction</w:t>
      </w:r>
      <w:r w:rsidR="00941252">
        <w:t>, holding out other possibilities.</w:t>
      </w:r>
    </w:p>
    <w:p w14:paraId="119B5F74" w14:textId="57D3B32B" w:rsidR="00B75178" w:rsidRDefault="00B75178" w:rsidP="00DB7482">
      <w:r>
        <w:t>Gordon notes that interpreters of this poem have often looked to the final line, with its punning reference to the youth’s penis, as a stepping-back from homoeroticism and the stabilisation of gender in the poem. The youth has a penis: she is really a man, as evidenced by the fact that it is useless to the sexual desire of the poet.</w:t>
      </w:r>
      <w:r w:rsidR="008B7A69">
        <w:t xml:space="preserve"> However, he argues, these interpretations miss the significance of </w:t>
      </w:r>
      <w:r w:rsidR="00012337">
        <w:t>the actual word used, “pricking”. This, according to Gordon, can be read as a reference to a stage of the lengthy,</w:t>
      </w:r>
      <w:r w:rsidR="001B0751">
        <w:t xml:space="preserve"> collaborative</w:t>
      </w:r>
      <w:r w:rsidR="00195844">
        <w:t>,</w:t>
      </w:r>
      <w:r w:rsidR="009E2910">
        <w:t xml:space="preserve"> often non-linear </w:t>
      </w:r>
      <w:r w:rsidR="001B0751">
        <w:t xml:space="preserve">and even improvisational </w:t>
      </w:r>
      <w:r w:rsidR="009E2910">
        <w:t>process of transferring the design for a fresco from an original drawing to the plaster that is going to be painted.</w:t>
      </w:r>
      <w:r w:rsidR="005D344D">
        <w:t xml:space="preserve"> </w:t>
      </w:r>
      <w:r w:rsidR="00224FAE">
        <w:t>I don’t have space to go into it here, but Gordon argues that t</w:t>
      </w:r>
      <w:r w:rsidR="005D344D">
        <w:t xml:space="preserve">he realities of this process undermine the kinds of assumptions we might have about the nature of frescos, disturbing notions of singular artistry, </w:t>
      </w:r>
      <w:r w:rsidR="008E2A9C">
        <w:t xml:space="preserve">and </w:t>
      </w:r>
      <w:r w:rsidR="00C219A0">
        <w:t>linear progress.</w:t>
      </w:r>
      <w:r w:rsidR="008E2A9C">
        <w:t xml:space="preserve"> Likewise, the physical act of pricking involved penetration into the depths of the material, shaping the depths according to the surface. Combined with the non-linear nature of the pricking process, the distinction between interior and exterior surface as the two parts of the fresco would constantly have to be renegotiated in relation to one another</w:t>
      </w:r>
      <w:r w:rsidR="005D6EBD">
        <w:t>, with the surface determining the depths rather than simply the other way around.</w:t>
      </w:r>
    </w:p>
    <w:p w14:paraId="2C221CDC" w14:textId="4D3AB270" w:rsidR="00DD3135" w:rsidRDefault="00DD3135" w:rsidP="00DB7482">
      <w:r>
        <w:t>Viewed in this way, the youth’s genitals no longer serve as a simple guarantee of her nature or identity over and against the blurrings of the rest of the poem. Rather, her “prick”</w:t>
      </w:r>
      <w:r w:rsidR="00570DF2">
        <w:t xml:space="preserve"> serves to mark the</w:t>
      </w:r>
      <w:r w:rsidR="008E2A9C">
        <w:t xml:space="preserve"> fluid and</w:t>
      </w:r>
      <w:r w:rsidR="00570DF2">
        <w:t xml:space="preserve"> unfinished</w:t>
      </w:r>
      <w:r w:rsidR="008E2A9C">
        <w:t xml:space="preserve"> nature of her body. </w:t>
      </w:r>
      <w:r w:rsidR="005D6EBD">
        <w:t xml:space="preserve">Likewise the interaction between depth and surface </w:t>
      </w:r>
      <w:r w:rsidR="005D6EBD">
        <w:lastRenderedPageBreak/>
        <w:t>in “pricking” suggests that the image she constructs with makeup, rather than simply obscuring the depths,</w:t>
      </w:r>
      <w:r w:rsidR="0002189F">
        <w:t xml:space="preserve"> actually produces them. As Gordon puts it, “the master-mistress – prick included – is surface all the way down</w:t>
      </w:r>
      <w:r w:rsidR="006A1EB5">
        <w:t>, a creature of pure, layered exteriority” (57).</w:t>
      </w:r>
    </w:p>
    <w:p w14:paraId="7DD787C8" w14:textId="47284C09" w:rsidR="00EA0B8C" w:rsidRDefault="00EA0B8C" w:rsidP="00DB7482">
      <w:r>
        <w:t>Gordon also entertains another reading of “pricking” as evoking textile manufacture, and the vast amount of labour that went into it. Read this way, nature’s “pricking” suggests the ongoing</w:t>
      </w:r>
      <w:r w:rsidR="0078707A">
        <w:t>, collaborative</w:t>
      </w:r>
      <w:r>
        <w:t xml:space="preserve"> and laborious construction of the </w:t>
      </w:r>
      <w:r w:rsidR="0078707A">
        <w:t xml:space="preserve">gendered </w:t>
      </w:r>
      <w:r>
        <w:t>body.</w:t>
      </w:r>
      <w:r w:rsidR="0078707A">
        <w:t xml:space="preserve"> Textile “pricking” also evokesboth design transfers and </w:t>
      </w:r>
      <w:r w:rsidR="005F3432">
        <w:t>nonlinear, improvisational processes of crafting that connotes similarly to “pricking” read in terms of frescos</w:t>
      </w:r>
      <w:r w:rsidR="00A630A6">
        <w:t>. T</w:t>
      </w:r>
      <w:r w:rsidR="00D04A55">
        <w:t xml:space="preserve">he feminine nature of the activity </w:t>
      </w:r>
      <w:r w:rsidR="00A630A6">
        <w:t xml:space="preserve">also </w:t>
      </w:r>
      <w:r w:rsidR="00D04A55">
        <w:t xml:space="preserve">suggests </w:t>
      </w:r>
      <w:r w:rsidR="003B1836">
        <w:t xml:space="preserve">“a feminine Nature the Needleworker” in place of </w:t>
      </w:r>
      <w:r w:rsidR="004D48CE">
        <w:t>the</w:t>
      </w:r>
      <w:r w:rsidR="003B1836">
        <w:t xml:space="preserve"> masculine God the Father</w:t>
      </w:r>
      <w:r w:rsidR="004D48CE">
        <w:t xml:space="preserve"> with whom nature might otherwise be identified in the poem</w:t>
      </w:r>
      <w:r w:rsidR="00A630A6">
        <w:t xml:space="preserve">, with the explicitly technical dimension of pricking in this context </w:t>
      </w:r>
      <w:r w:rsidR="00D3509A">
        <w:t xml:space="preserve">additionally suggesting that this process is genuinely productive, rather than the gendered </w:t>
      </w:r>
      <w:r w:rsidR="00A630A6">
        <w:t>bod</w:t>
      </w:r>
      <w:r w:rsidR="00D3509A">
        <w:t>y</w:t>
      </w:r>
      <w:r w:rsidR="00A630A6">
        <w:t xml:space="preserve"> </w:t>
      </w:r>
      <w:r w:rsidR="00D3509A">
        <w:t>simply being the image of God or otherwise a given.</w:t>
      </w:r>
      <w:r w:rsidR="00985917">
        <w:t xml:space="preserve"> Gordon </w:t>
      </w:r>
      <w:r w:rsidR="00F10990">
        <w:t>puns, “the pricked body is itself a pure fabrication, a technical creation that has been transitional and contingent from the moment of its conception” (60).</w:t>
      </w:r>
    </w:p>
    <w:p w14:paraId="13B43D79" w14:textId="4F9B2478" w:rsidR="005D4AD9" w:rsidRDefault="005D4AD9" w:rsidP="00DB7482">
      <w:r>
        <w:t xml:space="preserve">Finally, Gordon notes that this </w:t>
      </w:r>
      <w:r w:rsidR="009E01F8">
        <w:t xml:space="preserve">alternative interpretation of her “prick” </w:t>
      </w:r>
      <w:r>
        <w:t>enables us to read the poem</w:t>
      </w:r>
      <w:r w:rsidR="009E01F8">
        <w:t>’s concluding statement on desire differently. Rather than</w:t>
      </w:r>
      <w:r>
        <w:t xml:space="preserve"> a rejection of the youth for men’s </w:t>
      </w:r>
      <w:r w:rsidR="00711F76">
        <w:t>pleasure because she is ‘really’ male</w:t>
      </w:r>
      <w:r>
        <w:t xml:space="preserve">, </w:t>
      </w:r>
      <w:r w:rsidR="009E01F8">
        <w:t>we might read it as</w:t>
      </w:r>
      <w:r w:rsidR="00F07518">
        <w:t xml:space="preserve"> </w:t>
      </w:r>
      <w:r>
        <w:t>an</w:t>
      </w:r>
      <w:r w:rsidR="00711F76">
        <w:t xml:space="preserve"> active</w:t>
      </w:r>
      <w:r>
        <w:t xml:space="preserve"> </w:t>
      </w:r>
      <w:r w:rsidR="00711F76">
        <w:t xml:space="preserve">statement of her role in </w:t>
      </w:r>
      <w:r w:rsidR="00325EE5">
        <w:t>“</w:t>
      </w:r>
      <w:r w:rsidR="00711F76">
        <w:t>women’s pleasure</w:t>
      </w:r>
      <w:r w:rsidR="00325EE5">
        <w:t>”</w:t>
      </w:r>
      <w:r>
        <w:t>.</w:t>
      </w:r>
      <w:r w:rsidR="00325EE5">
        <w:t xml:space="preserve"> Nor does this desire have to be that of </w:t>
      </w:r>
      <w:r w:rsidR="00325EE5">
        <w:rPr>
          <w:i/>
          <w:iCs/>
        </w:rPr>
        <w:t xml:space="preserve">other </w:t>
      </w:r>
      <w:r w:rsidR="00325EE5">
        <w:t>women</w:t>
      </w:r>
      <w:r w:rsidR="00853A8F">
        <w:t>: as he puts it, “the prick not only gives pleasure to women</w:t>
      </w:r>
      <w:r w:rsidR="00F07518">
        <w:t>, it also offers its host body the kind of pleasure that is experienced by women… Already outfitted with a woman’s face and woman’s heart, by the end of the poem the youth also has a woman’s prick”</w:t>
      </w:r>
      <w:r w:rsidR="00670A33">
        <w:t xml:space="preserve"> (61)</w:t>
      </w:r>
      <w:r w:rsidR="00F07518">
        <w:t xml:space="preserve">. </w:t>
      </w:r>
    </w:p>
    <w:p w14:paraId="6016ABA0" w14:textId="038B78FC" w:rsidR="006E7EEB" w:rsidRDefault="006E7EEB" w:rsidP="006E7EEB">
      <w:pPr>
        <w:pStyle w:val="Heading1"/>
      </w:pPr>
      <w:r>
        <w:t xml:space="preserve">Part 4 – </w:t>
      </w:r>
      <w:r w:rsidR="00887673">
        <w:t>A</w:t>
      </w:r>
      <w:r>
        <w:t>fter we were secular</w:t>
      </w:r>
    </w:p>
    <w:p w14:paraId="60C2F369" w14:textId="2CC87427" w:rsidR="006E7EEB" w:rsidRDefault="009C343E" w:rsidP="006E7EEB">
      <w:r>
        <w:t>A final aspect of</w:t>
      </w:r>
      <w:r w:rsidR="006E7EEB">
        <w:t xml:space="preserve"> Gordon</w:t>
      </w:r>
      <w:r>
        <w:t xml:space="preserve">’s book that is worth reflecting on is its use of theology </w:t>
      </w:r>
      <w:r w:rsidRPr="009C343E">
        <w:rPr>
          <w:i/>
          <w:iCs/>
        </w:rPr>
        <w:t>as such</w:t>
      </w:r>
      <w:r>
        <w:t>.</w:t>
      </w:r>
      <w:r w:rsidR="006E7EEB">
        <w:t xml:space="preserve"> </w:t>
      </w:r>
      <w:r>
        <w:t xml:space="preserve">Gordon </w:t>
      </w:r>
      <w:r w:rsidR="001116CA">
        <w:t>employs theology to contest secular transphobia. In this respect, his approach might be described as</w:t>
      </w:r>
      <w:r w:rsidR="006E7EEB">
        <w:t xml:space="preserve"> “postsecular”. The secular is the sphere of society in which religion is </w:t>
      </w:r>
      <w:r w:rsidR="00BF5C57">
        <w:t xml:space="preserve">(notionally) </w:t>
      </w:r>
      <w:r w:rsidR="006E7EEB">
        <w:t>absent. Generally, in Western society, both politics and knowledge are assumed to be more or less secular. We live in a pluralistic society, so the assumption goes, and so politics must be able to speak in a relatively neutral way to various groups. Religion, in this view, is inescapably partial or partisan, and so is not the natural language for politics. Rather, it is something that governs private life, informing personal values and being practiced in private locations like the home or the church. This is actually less the case than people assume in the UK, where the Church of England is embedded within the country’s legal and political institutions—but this is frequently seen as inappropriate or an aberration, reflecting the secular presumption. Likewise, religion is seen as revolving around private faith, defined against reason and knowledge, which are more readily identified with secular ways of thinking that do not turn on doctrinal assumptions or make reference to the supernatural.</w:t>
      </w:r>
    </w:p>
    <w:p w14:paraId="3200FEA1" w14:textId="77777777" w:rsidR="006E7EEB" w:rsidRDefault="006E7EEB" w:rsidP="006E7EEB">
      <w:r>
        <w:t xml:space="preserve">This idea of the secular is the product of modernity. Medieval society understood itself in terms of Christendom—a political organisation in which membership of the Church served as the unifying principle for society, with Church authorities then legitimating worldly powers like the Emperor or the kings who ruled under him, as well as lower level political groups like guilds. After the Reformation, Christianity could no longer serve as this unifying principle—nor therefore could churches legitimate worldly authorities in a way that would be universally acknowledged. Early modern political philosophy had to find other principles to play these roles, with the idea of non-religious reasoning, and the human will exercised without reference </w:t>
      </w:r>
      <w:r>
        <w:lastRenderedPageBreak/>
        <w:t>to religious authority coming to play these roles. These served as the foundation for what came to be known as Liberal politics: a way of organising society revolving around a split between a secular ‘public’ sphere and correspondingly ‘privatised’ religion, and emphasis on individual liberties co-ordinated through a social contract, along with free-market economics where society could be organised by individuals exercising their reason to pursue their own interests within the bounds of that contract.</w:t>
      </w:r>
    </w:p>
    <w:p w14:paraId="6B352726" w14:textId="791EA051" w:rsidR="006E7EEB" w:rsidRDefault="006E7EEB" w:rsidP="006E7EEB">
      <w:r>
        <w:t>In the latter half of the 20</w:t>
      </w:r>
      <w:r w:rsidRPr="004D5494">
        <w:rPr>
          <w:vertAlign w:val="superscript"/>
        </w:rPr>
        <w:t>th</w:t>
      </w:r>
      <w:r>
        <w:t xml:space="preserve"> Century, various “postliberal” thinkers began to question these assumptions. Post-liberal political theologians argued that the secular ideal was enabled by specific theological developments in the late medieval period—-for example, putting God at a distance from the world, thus rendering creation a sphere of ‘pure nature’ that could be understood and acted in without reference to the divine. Likewise, some post-Liberal political philosophers suggested that Liberal politics were unable to sustain their own aspirations, for example the nonviolent negotiation of political differences, or the creation of a shared moral language. Finally, empowered by a postmodern skepticism towards the possibility of formulating a truly universal theory of morality, knowledge, or ethics, postsecular thinkers of all kinds argued that secular reasoning is no more necessarily neutral or valid than religious reasoning in the public sphere.</w:t>
      </w:r>
    </w:p>
    <w:p w14:paraId="712BD3A3" w14:textId="77777777" w:rsidR="006E7EEB" w:rsidRDefault="006E7EEB" w:rsidP="006E7EEB">
      <w:r>
        <w:t>Many of these postliberal critics of secular politics have a decidedly reactionary undercurrent to their work. Their underlying concern about the secular exclusion of religious reasoning from politics is motivated in no small part by the exclusion of conservative religious reasoning around culture-war flashpoints. Their concern about the failure of Liberal politics to nonviolently mediate differences emerges in part from a concern about the policing of religious attitudes that are deemed unacceptably prejudicial. Their concern for the validity of religious reasoning and authority in politics is in part a concern for preserving historical modes of social organisation that enshrine traditional hierarchies and enforce traditional norms. For examples of postliberal thinkers in this vein, you might look up John Milbank, or R.R Reno.</w:t>
      </w:r>
    </w:p>
    <w:p w14:paraId="396317B7" w14:textId="77777777" w:rsidR="006E7EEB" w:rsidRPr="00205581" w:rsidRDefault="006E7EEB" w:rsidP="006E7EEB">
      <w:r>
        <w:t xml:space="preserve">Gordon himself is deeply aware of these tendencies. In particular, he notes that the kinds of genealogies of secularism drawn by these thinkers fail to reckon with the role of race in the early modern roots of secular liberalism, and </w:t>
      </w:r>
      <w:r>
        <w:rPr>
          <w:i/>
          <w:iCs/>
        </w:rPr>
        <w:t xml:space="preserve">Glorious Bodies </w:t>
      </w:r>
      <w:r>
        <w:t>is an argument that transness and transphobia must also be integrated into this picture. In leaving out these factors, more conservative postliberals remain blind to the way that their own politics reproduce not just racism and transphobia, but racism and transphobia specifically as components of the very politics they supposedly critique.</w:t>
      </w:r>
    </w:p>
    <w:p w14:paraId="3A8099D0" w14:textId="77777777" w:rsidR="00E747F4" w:rsidRDefault="006E7EEB" w:rsidP="006E7EEB">
      <w:r>
        <w:t xml:space="preserve">In this respect, Gordon represents another face of postliberalism, or at least postsecularism. In recovering theological accounts of transness </w:t>
      </w:r>
      <w:r>
        <w:rPr>
          <w:i/>
          <w:iCs/>
        </w:rPr>
        <w:t xml:space="preserve">against </w:t>
      </w:r>
      <w:r>
        <w:t xml:space="preserve">secular transphobia, he advocates for a return to theological reasoning in the face of what he identifies as the failure of secular politics. Yet he does so in a way that seeks to further trans liberation </w:t>
      </w:r>
      <w:r>
        <w:rPr>
          <w:i/>
          <w:iCs/>
        </w:rPr>
        <w:t xml:space="preserve">against </w:t>
      </w:r>
      <w:r>
        <w:t xml:space="preserve">the kinds of political impulses that often animate postliberalism. </w:t>
      </w:r>
    </w:p>
    <w:p w14:paraId="6ACCFF02" w14:textId="77777777" w:rsidR="00E31EF6" w:rsidRDefault="006E7EEB" w:rsidP="006E7EEB">
      <w:r>
        <w:t>I say “theological reasoning” here, but Gordon introduces a point of ambiguity into this, writing that, in the face of secular transphobia, “perhaps it is time to lean into the irrational pleasures and sublime possibilities of nonsecular transness” (173)</w:t>
      </w:r>
      <w:r w:rsidR="00E747F4">
        <w:t xml:space="preserve">—and it is also on this point that Gordon potentially differs from more conservative postsecularisms. </w:t>
      </w:r>
      <w:r w:rsidR="00860421">
        <w:t xml:space="preserve">Postliberal theologians seek to recover religious traditions as a form of rationality, or norms governing the intellectual life of a community. </w:t>
      </w:r>
    </w:p>
    <w:p w14:paraId="48B99056" w14:textId="7EB7ECFD" w:rsidR="00860421" w:rsidRDefault="00860421" w:rsidP="006E7EEB">
      <w:r>
        <w:lastRenderedPageBreak/>
        <w:t>In this respect, they reject secular distinctions between secular reason and irrational religion. Religion, for postliberalism, is rational in its own way—and one of the limitations of secularism is that it only permits one form of rationality, to the exclusion of these religious others.</w:t>
      </w:r>
      <w:r w:rsidR="00E31EF6">
        <w:t xml:space="preserve"> </w:t>
      </w:r>
      <w:r>
        <w:t>Critics of postliberalism predictably argue that these attempts to recover or preserve religious rationality end up being just as—if not more—exclusive than secularism. They are inevitably Christian ones, and postliberals seek to enshrine</w:t>
      </w:r>
      <w:r w:rsidR="00C77664">
        <w:t xml:space="preserve"> them in institutional structures that are even more hostile towards various kinds of difference than even the secular state.</w:t>
      </w:r>
      <w:r w:rsidR="00E31EF6">
        <w:t xml:space="preserve"> But this is beside the point here: postliberalism is does not embrace </w:t>
      </w:r>
      <w:r w:rsidR="0042121F">
        <w:t>religion as a source of “irrational pleasures”, but of rationality.</w:t>
      </w:r>
    </w:p>
    <w:p w14:paraId="67BF6EF8" w14:textId="0F16DF3A" w:rsidR="0042121F" w:rsidRDefault="0042121F" w:rsidP="006E7EEB">
      <w:r>
        <w:t>This leaves me wondering—does Gordon impoverish his own approach when he rejects the idea of religious rationality? If he demonstrates that what might be described as religious reasoning can be used to articulate a trans politics that does not fall into the same authoritarian traps that often characterise postsecular theologies more broadly,</w:t>
      </w:r>
      <w:r w:rsidR="00034245">
        <w:t xml:space="preserve"> then might there not be value in approaching it </w:t>
      </w:r>
      <w:r w:rsidR="00034245">
        <w:rPr>
          <w:i/>
          <w:iCs/>
        </w:rPr>
        <w:t xml:space="preserve">as </w:t>
      </w:r>
      <w:r w:rsidR="00034245">
        <w:t>reason? Doing so might enable Gordon’s project to become intellectually generative in a way that an “irrational” reading might not, serving as the basis for new ways of thinking and arguing that can engage others and claim legitimacy alongside or even against secular rationality. On the other hand, perhaps I am just reading too much into this line—although it is the final one of the book</w:t>
      </w:r>
      <w:r w:rsidR="00C8334E">
        <w:t>, so probably can’t simply be dismissed as a throwaway comment either.</w:t>
      </w:r>
    </w:p>
    <w:p w14:paraId="39557FBB" w14:textId="7EFC7872" w:rsidR="004C4C55" w:rsidRDefault="004C4C55" w:rsidP="004C4C55">
      <w:pPr>
        <w:pStyle w:val="Heading1"/>
      </w:pPr>
      <w:r>
        <w:t>Part 5 —questions</w:t>
      </w:r>
    </w:p>
    <w:p w14:paraId="09BAFDE9" w14:textId="2BBA1F10" w:rsidR="004C4C55" w:rsidRDefault="004C4C55" w:rsidP="004C4C55">
      <w:r>
        <w:t>This week’s reading is the chapter on Shakespeare I summarised earlier. As you take a look at it I’d like you to consider the following questions:</w:t>
      </w:r>
    </w:p>
    <w:p w14:paraId="114B9B23" w14:textId="7A7E46CD" w:rsidR="004C4C55" w:rsidRDefault="004C4C55" w:rsidP="004C4C55">
      <w:pPr>
        <w:pStyle w:val="ListParagraph"/>
        <w:numPr>
          <w:ilvl w:val="0"/>
          <w:numId w:val="1"/>
        </w:numPr>
      </w:pPr>
      <w:r>
        <w:t>What are the advantages and risks of reading transness into the past like Stryker and Gordon?</w:t>
      </w:r>
    </w:p>
    <w:p w14:paraId="1853E1B7" w14:textId="101CCB1E" w:rsidR="004C4C55" w:rsidRDefault="00A42CF6" w:rsidP="004C4C55">
      <w:pPr>
        <w:pStyle w:val="ListParagraph"/>
        <w:numPr>
          <w:ilvl w:val="0"/>
          <w:numId w:val="1"/>
        </w:numPr>
      </w:pPr>
      <w:r>
        <w:t>What might trans theology have to say to secular transphobia?</w:t>
      </w:r>
    </w:p>
    <w:p w14:paraId="4D160CE3" w14:textId="5DFE648C" w:rsidR="007A10CB" w:rsidRDefault="00210054" w:rsidP="007A10CB">
      <w:pPr>
        <w:pStyle w:val="ListParagraph"/>
        <w:numPr>
          <w:ilvl w:val="0"/>
          <w:numId w:val="1"/>
        </w:numPr>
      </w:pPr>
      <w:r>
        <w:t>How compelling do you find Gordon’s Shakespearean theology of sex as artifice?</w:t>
      </w:r>
    </w:p>
    <w:p w14:paraId="6E21BFB7" w14:textId="6D247DF4" w:rsidR="00650420" w:rsidRDefault="007A10CB" w:rsidP="007A10CB">
      <w:pPr>
        <w:pStyle w:val="ListParagraph"/>
        <w:numPr>
          <w:ilvl w:val="0"/>
          <w:numId w:val="1"/>
        </w:numPr>
      </w:pPr>
      <w:r>
        <w:t>How important should rationality be to trans theology?</w:t>
      </w:r>
    </w:p>
    <w:sectPr w:rsidR="00650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E5154"/>
    <w:multiLevelType w:val="hybridMultilevel"/>
    <w:tmpl w:val="9410AE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53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CA"/>
    <w:rsid w:val="000070D8"/>
    <w:rsid w:val="0001035A"/>
    <w:rsid w:val="00012337"/>
    <w:rsid w:val="000126EF"/>
    <w:rsid w:val="0001789C"/>
    <w:rsid w:val="0002189F"/>
    <w:rsid w:val="0002696E"/>
    <w:rsid w:val="00027B40"/>
    <w:rsid w:val="00034245"/>
    <w:rsid w:val="000616E6"/>
    <w:rsid w:val="00070690"/>
    <w:rsid w:val="00071199"/>
    <w:rsid w:val="00072833"/>
    <w:rsid w:val="00073754"/>
    <w:rsid w:val="0008140E"/>
    <w:rsid w:val="000838E1"/>
    <w:rsid w:val="00097484"/>
    <w:rsid w:val="000A073B"/>
    <w:rsid w:val="000A0E2A"/>
    <w:rsid w:val="000A7FFA"/>
    <w:rsid w:val="000B29C8"/>
    <w:rsid w:val="000C04E0"/>
    <w:rsid w:val="000C6A56"/>
    <w:rsid w:val="000D4EAE"/>
    <w:rsid w:val="000E1348"/>
    <w:rsid w:val="001116CA"/>
    <w:rsid w:val="00122CC5"/>
    <w:rsid w:val="00125F7E"/>
    <w:rsid w:val="0013160B"/>
    <w:rsid w:val="00141027"/>
    <w:rsid w:val="0014115D"/>
    <w:rsid w:val="00142793"/>
    <w:rsid w:val="001444F2"/>
    <w:rsid w:val="00157ACC"/>
    <w:rsid w:val="001663C6"/>
    <w:rsid w:val="001709A5"/>
    <w:rsid w:val="00184153"/>
    <w:rsid w:val="00190601"/>
    <w:rsid w:val="00194A18"/>
    <w:rsid w:val="00195844"/>
    <w:rsid w:val="00197215"/>
    <w:rsid w:val="001B0751"/>
    <w:rsid w:val="001D65CD"/>
    <w:rsid w:val="001E70B9"/>
    <w:rsid w:val="001F6054"/>
    <w:rsid w:val="00205581"/>
    <w:rsid w:val="002058C6"/>
    <w:rsid w:val="00210054"/>
    <w:rsid w:val="00217255"/>
    <w:rsid w:val="002240DC"/>
    <w:rsid w:val="00224C66"/>
    <w:rsid w:val="00224FAE"/>
    <w:rsid w:val="002337EC"/>
    <w:rsid w:val="00240215"/>
    <w:rsid w:val="00247EE4"/>
    <w:rsid w:val="0025065D"/>
    <w:rsid w:val="00253FB8"/>
    <w:rsid w:val="00260F75"/>
    <w:rsid w:val="00275EF8"/>
    <w:rsid w:val="002A05F9"/>
    <w:rsid w:val="002B0C75"/>
    <w:rsid w:val="002B5141"/>
    <w:rsid w:val="002B6F1A"/>
    <w:rsid w:val="002C328B"/>
    <w:rsid w:val="002C3FE9"/>
    <w:rsid w:val="002D7105"/>
    <w:rsid w:val="002E0999"/>
    <w:rsid w:val="002E602C"/>
    <w:rsid w:val="002F2E78"/>
    <w:rsid w:val="002F6552"/>
    <w:rsid w:val="003003A7"/>
    <w:rsid w:val="00306C75"/>
    <w:rsid w:val="00314EC6"/>
    <w:rsid w:val="003216C0"/>
    <w:rsid w:val="00321D4F"/>
    <w:rsid w:val="00325EE5"/>
    <w:rsid w:val="00326F90"/>
    <w:rsid w:val="00333280"/>
    <w:rsid w:val="00341D85"/>
    <w:rsid w:val="00351A0B"/>
    <w:rsid w:val="00353263"/>
    <w:rsid w:val="00356B85"/>
    <w:rsid w:val="00375F34"/>
    <w:rsid w:val="0038622C"/>
    <w:rsid w:val="00390EAB"/>
    <w:rsid w:val="00392463"/>
    <w:rsid w:val="00393230"/>
    <w:rsid w:val="003A24DC"/>
    <w:rsid w:val="003A636D"/>
    <w:rsid w:val="003B1836"/>
    <w:rsid w:val="003B3E3C"/>
    <w:rsid w:val="003C1049"/>
    <w:rsid w:val="003E4E6A"/>
    <w:rsid w:val="003F4416"/>
    <w:rsid w:val="0040179E"/>
    <w:rsid w:val="0042121F"/>
    <w:rsid w:val="0042361D"/>
    <w:rsid w:val="0043593A"/>
    <w:rsid w:val="00456921"/>
    <w:rsid w:val="00476292"/>
    <w:rsid w:val="004B0DFF"/>
    <w:rsid w:val="004B2299"/>
    <w:rsid w:val="004C36D5"/>
    <w:rsid w:val="004C4C55"/>
    <w:rsid w:val="004D058E"/>
    <w:rsid w:val="004D48CE"/>
    <w:rsid w:val="004D5494"/>
    <w:rsid w:val="004E131C"/>
    <w:rsid w:val="004E4F86"/>
    <w:rsid w:val="004F4B82"/>
    <w:rsid w:val="004F52EB"/>
    <w:rsid w:val="00504073"/>
    <w:rsid w:val="005066BE"/>
    <w:rsid w:val="00506F55"/>
    <w:rsid w:val="0051012A"/>
    <w:rsid w:val="0051137B"/>
    <w:rsid w:val="00512C05"/>
    <w:rsid w:val="0051555B"/>
    <w:rsid w:val="00517394"/>
    <w:rsid w:val="00520450"/>
    <w:rsid w:val="005210D6"/>
    <w:rsid w:val="00522EF2"/>
    <w:rsid w:val="00535BBB"/>
    <w:rsid w:val="00536C36"/>
    <w:rsid w:val="005406C8"/>
    <w:rsid w:val="0054783E"/>
    <w:rsid w:val="0055502D"/>
    <w:rsid w:val="00555D59"/>
    <w:rsid w:val="00561C31"/>
    <w:rsid w:val="00570DF2"/>
    <w:rsid w:val="005A41C5"/>
    <w:rsid w:val="005B0CA0"/>
    <w:rsid w:val="005B3DF1"/>
    <w:rsid w:val="005B54DF"/>
    <w:rsid w:val="005B637C"/>
    <w:rsid w:val="005C5980"/>
    <w:rsid w:val="005D344D"/>
    <w:rsid w:val="005D4AD9"/>
    <w:rsid w:val="005D6EBD"/>
    <w:rsid w:val="005E21CE"/>
    <w:rsid w:val="005E7A21"/>
    <w:rsid w:val="005F3432"/>
    <w:rsid w:val="00601BE5"/>
    <w:rsid w:val="00602745"/>
    <w:rsid w:val="00617141"/>
    <w:rsid w:val="00620020"/>
    <w:rsid w:val="00647E50"/>
    <w:rsid w:val="00650420"/>
    <w:rsid w:val="006544DE"/>
    <w:rsid w:val="0065577B"/>
    <w:rsid w:val="00661444"/>
    <w:rsid w:val="00670A33"/>
    <w:rsid w:val="00675EF5"/>
    <w:rsid w:val="0069132A"/>
    <w:rsid w:val="006956F7"/>
    <w:rsid w:val="006A1EB5"/>
    <w:rsid w:val="006A3077"/>
    <w:rsid w:val="006A4873"/>
    <w:rsid w:val="006B6CB7"/>
    <w:rsid w:val="006D4300"/>
    <w:rsid w:val="006D5DB8"/>
    <w:rsid w:val="006E099E"/>
    <w:rsid w:val="006E49A5"/>
    <w:rsid w:val="006E66DE"/>
    <w:rsid w:val="006E7EEB"/>
    <w:rsid w:val="006F5D2E"/>
    <w:rsid w:val="006F706F"/>
    <w:rsid w:val="0071024A"/>
    <w:rsid w:val="00710C2B"/>
    <w:rsid w:val="00711DE0"/>
    <w:rsid w:val="00711F76"/>
    <w:rsid w:val="00714FBE"/>
    <w:rsid w:val="0071725B"/>
    <w:rsid w:val="00720233"/>
    <w:rsid w:val="00730075"/>
    <w:rsid w:val="007325BB"/>
    <w:rsid w:val="00736C79"/>
    <w:rsid w:val="00741461"/>
    <w:rsid w:val="007423BE"/>
    <w:rsid w:val="00744C35"/>
    <w:rsid w:val="00744EE1"/>
    <w:rsid w:val="0075308C"/>
    <w:rsid w:val="00761C74"/>
    <w:rsid w:val="007649DB"/>
    <w:rsid w:val="0078707A"/>
    <w:rsid w:val="00792052"/>
    <w:rsid w:val="00793C9A"/>
    <w:rsid w:val="007A0540"/>
    <w:rsid w:val="007A10CB"/>
    <w:rsid w:val="007A4743"/>
    <w:rsid w:val="007B4217"/>
    <w:rsid w:val="007C1975"/>
    <w:rsid w:val="007C5AE1"/>
    <w:rsid w:val="007C6244"/>
    <w:rsid w:val="007D4C32"/>
    <w:rsid w:val="007D630D"/>
    <w:rsid w:val="007D6E6A"/>
    <w:rsid w:val="007F51F2"/>
    <w:rsid w:val="008020A2"/>
    <w:rsid w:val="0080413C"/>
    <w:rsid w:val="0080665B"/>
    <w:rsid w:val="00810E89"/>
    <w:rsid w:val="00813D7D"/>
    <w:rsid w:val="00814D4E"/>
    <w:rsid w:val="0082075C"/>
    <w:rsid w:val="008261AF"/>
    <w:rsid w:val="00827B84"/>
    <w:rsid w:val="00833828"/>
    <w:rsid w:val="00837912"/>
    <w:rsid w:val="00847A6A"/>
    <w:rsid w:val="00853A8F"/>
    <w:rsid w:val="00860421"/>
    <w:rsid w:val="008621BC"/>
    <w:rsid w:val="00871507"/>
    <w:rsid w:val="00883FCE"/>
    <w:rsid w:val="00884AC4"/>
    <w:rsid w:val="008859F9"/>
    <w:rsid w:val="00887673"/>
    <w:rsid w:val="00895AAB"/>
    <w:rsid w:val="008A3A0D"/>
    <w:rsid w:val="008B140A"/>
    <w:rsid w:val="008B7679"/>
    <w:rsid w:val="008B7A69"/>
    <w:rsid w:val="008C3951"/>
    <w:rsid w:val="008E1F77"/>
    <w:rsid w:val="008E2A9C"/>
    <w:rsid w:val="008E6631"/>
    <w:rsid w:val="00903334"/>
    <w:rsid w:val="00903AC5"/>
    <w:rsid w:val="009154CB"/>
    <w:rsid w:val="00920045"/>
    <w:rsid w:val="009229E2"/>
    <w:rsid w:val="00925A58"/>
    <w:rsid w:val="00936A07"/>
    <w:rsid w:val="009370C6"/>
    <w:rsid w:val="00941252"/>
    <w:rsid w:val="00943D29"/>
    <w:rsid w:val="00944D68"/>
    <w:rsid w:val="00957FAA"/>
    <w:rsid w:val="0096117B"/>
    <w:rsid w:val="00984933"/>
    <w:rsid w:val="00985917"/>
    <w:rsid w:val="009A0485"/>
    <w:rsid w:val="009B5628"/>
    <w:rsid w:val="009B7175"/>
    <w:rsid w:val="009C343E"/>
    <w:rsid w:val="009C46B8"/>
    <w:rsid w:val="009C4E2D"/>
    <w:rsid w:val="009D4FCE"/>
    <w:rsid w:val="009E01F8"/>
    <w:rsid w:val="009E2910"/>
    <w:rsid w:val="00A13506"/>
    <w:rsid w:val="00A16262"/>
    <w:rsid w:val="00A26D15"/>
    <w:rsid w:val="00A33FF1"/>
    <w:rsid w:val="00A42CF6"/>
    <w:rsid w:val="00A45B2B"/>
    <w:rsid w:val="00A54D5D"/>
    <w:rsid w:val="00A630A6"/>
    <w:rsid w:val="00A6423A"/>
    <w:rsid w:val="00A807E5"/>
    <w:rsid w:val="00A94787"/>
    <w:rsid w:val="00AA5FA4"/>
    <w:rsid w:val="00AC4C85"/>
    <w:rsid w:val="00AE4003"/>
    <w:rsid w:val="00AE5A9F"/>
    <w:rsid w:val="00AF2748"/>
    <w:rsid w:val="00AF5E4F"/>
    <w:rsid w:val="00B034A9"/>
    <w:rsid w:val="00B167B9"/>
    <w:rsid w:val="00B56C30"/>
    <w:rsid w:val="00B65770"/>
    <w:rsid w:val="00B71326"/>
    <w:rsid w:val="00B75178"/>
    <w:rsid w:val="00B8021C"/>
    <w:rsid w:val="00B83BBC"/>
    <w:rsid w:val="00B93F7A"/>
    <w:rsid w:val="00BB1C6B"/>
    <w:rsid w:val="00BB3DB6"/>
    <w:rsid w:val="00BD3C3F"/>
    <w:rsid w:val="00BE24F3"/>
    <w:rsid w:val="00BF5C57"/>
    <w:rsid w:val="00C03AB7"/>
    <w:rsid w:val="00C20C80"/>
    <w:rsid w:val="00C219A0"/>
    <w:rsid w:val="00C21EC2"/>
    <w:rsid w:val="00C33BC1"/>
    <w:rsid w:val="00C40779"/>
    <w:rsid w:val="00C42706"/>
    <w:rsid w:val="00C44B81"/>
    <w:rsid w:val="00C46C57"/>
    <w:rsid w:val="00C577E0"/>
    <w:rsid w:val="00C6309A"/>
    <w:rsid w:val="00C70E95"/>
    <w:rsid w:val="00C77664"/>
    <w:rsid w:val="00C804F8"/>
    <w:rsid w:val="00C8334E"/>
    <w:rsid w:val="00CB64F4"/>
    <w:rsid w:val="00CC2A47"/>
    <w:rsid w:val="00CC30EA"/>
    <w:rsid w:val="00CC72B9"/>
    <w:rsid w:val="00CD0AF4"/>
    <w:rsid w:val="00CD69A2"/>
    <w:rsid w:val="00CE4B31"/>
    <w:rsid w:val="00CE7E77"/>
    <w:rsid w:val="00D04A55"/>
    <w:rsid w:val="00D0516F"/>
    <w:rsid w:val="00D057E2"/>
    <w:rsid w:val="00D05B6A"/>
    <w:rsid w:val="00D1149F"/>
    <w:rsid w:val="00D14E8A"/>
    <w:rsid w:val="00D1714C"/>
    <w:rsid w:val="00D26652"/>
    <w:rsid w:val="00D3509A"/>
    <w:rsid w:val="00D634E0"/>
    <w:rsid w:val="00D67B5A"/>
    <w:rsid w:val="00D70262"/>
    <w:rsid w:val="00D719FB"/>
    <w:rsid w:val="00DB1EB5"/>
    <w:rsid w:val="00DB2C91"/>
    <w:rsid w:val="00DB7482"/>
    <w:rsid w:val="00DD3135"/>
    <w:rsid w:val="00DD34B5"/>
    <w:rsid w:val="00E03B48"/>
    <w:rsid w:val="00E1237F"/>
    <w:rsid w:val="00E13216"/>
    <w:rsid w:val="00E17740"/>
    <w:rsid w:val="00E31EF6"/>
    <w:rsid w:val="00E37E8D"/>
    <w:rsid w:val="00E43A90"/>
    <w:rsid w:val="00E51AA0"/>
    <w:rsid w:val="00E62210"/>
    <w:rsid w:val="00E747F4"/>
    <w:rsid w:val="00E84764"/>
    <w:rsid w:val="00E85297"/>
    <w:rsid w:val="00E93BD5"/>
    <w:rsid w:val="00E966EC"/>
    <w:rsid w:val="00EA0B8C"/>
    <w:rsid w:val="00EA5165"/>
    <w:rsid w:val="00EB3937"/>
    <w:rsid w:val="00EC2E25"/>
    <w:rsid w:val="00ED5D67"/>
    <w:rsid w:val="00ED636D"/>
    <w:rsid w:val="00EE2225"/>
    <w:rsid w:val="00EE2F86"/>
    <w:rsid w:val="00F024B1"/>
    <w:rsid w:val="00F02970"/>
    <w:rsid w:val="00F07518"/>
    <w:rsid w:val="00F10136"/>
    <w:rsid w:val="00F10990"/>
    <w:rsid w:val="00F27C1F"/>
    <w:rsid w:val="00F31E03"/>
    <w:rsid w:val="00F37EE1"/>
    <w:rsid w:val="00F45543"/>
    <w:rsid w:val="00F465F6"/>
    <w:rsid w:val="00F47996"/>
    <w:rsid w:val="00F57ACA"/>
    <w:rsid w:val="00F602EB"/>
    <w:rsid w:val="00F60B05"/>
    <w:rsid w:val="00F62D13"/>
    <w:rsid w:val="00F74E27"/>
    <w:rsid w:val="00F80970"/>
    <w:rsid w:val="00F81680"/>
    <w:rsid w:val="00F82CF3"/>
    <w:rsid w:val="00F849D4"/>
    <w:rsid w:val="00F85033"/>
    <w:rsid w:val="00F85AB1"/>
    <w:rsid w:val="00FA2C24"/>
    <w:rsid w:val="00FA456C"/>
    <w:rsid w:val="00FB3EF1"/>
    <w:rsid w:val="00FB472C"/>
    <w:rsid w:val="00FB6636"/>
    <w:rsid w:val="00FC6CE1"/>
    <w:rsid w:val="00FD0030"/>
    <w:rsid w:val="00FD51E6"/>
    <w:rsid w:val="00FD60FE"/>
    <w:rsid w:val="00FE6926"/>
    <w:rsid w:val="00FF15B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D579"/>
  <w15:chartTrackingRefBased/>
  <w15:docId w15:val="{54CBC8DC-B628-4934-A9A3-7D6B3802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A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ACA"/>
    <w:rPr>
      <w:rFonts w:eastAsiaTheme="majorEastAsia" w:cstheme="majorBidi"/>
      <w:color w:val="272727" w:themeColor="text1" w:themeTint="D8"/>
    </w:rPr>
  </w:style>
  <w:style w:type="paragraph" w:styleId="Title">
    <w:name w:val="Title"/>
    <w:basedOn w:val="Normal"/>
    <w:next w:val="Normal"/>
    <w:link w:val="TitleChar"/>
    <w:uiPriority w:val="10"/>
    <w:qFormat/>
    <w:rsid w:val="00F57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ACA"/>
    <w:pPr>
      <w:spacing w:before="160"/>
      <w:jc w:val="center"/>
    </w:pPr>
    <w:rPr>
      <w:i/>
      <w:iCs/>
      <w:color w:val="404040" w:themeColor="text1" w:themeTint="BF"/>
    </w:rPr>
  </w:style>
  <w:style w:type="character" w:customStyle="1" w:styleId="QuoteChar">
    <w:name w:val="Quote Char"/>
    <w:basedOn w:val="DefaultParagraphFont"/>
    <w:link w:val="Quote"/>
    <w:uiPriority w:val="29"/>
    <w:rsid w:val="00F57ACA"/>
    <w:rPr>
      <w:i/>
      <w:iCs/>
      <w:color w:val="404040" w:themeColor="text1" w:themeTint="BF"/>
    </w:rPr>
  </w:style>
  <w:style w:type="paragraph" w:styleId="ListParagraph">
    <w:name w:val="List Paragraph"/>
    <w:basedOn w:val="Normal"/>
    <w:uiPriority w:val="34"/>
    <w:qFormat/>
    <w:rsid w:val="00F57ACA"/>
    <w:pPr>
      <w:ind w:left="720"/>
      <w:contextualSpacing/>
    </w:pPr>
  </w:style>
  <w:style w:type="character" w:styleId="IntenseEmphasis">
    <w:name w:val="Intense Emphasis"/>
    <w:basedOn w:val="DefaultParagraphFont"/>
    <w:uiPriority w:val="21"/>
    <w:qFormat/>
    <w:rsid w:val="00F57ACA"/>
    <w:rPr>
      <w:i/>
      <w:iCs/>
      <w:color w:val="0F4761" w:themeColor="accent1" w:themeShade="BF"/>
    </w:rPr>
  </w:style>
  <w:style w:type="paragraph" w:styleId="IntenseQuote">
    <w:name w:val="Intense Quote"/>
    <w:basedOn w:val="Normal"/>
    <w:next w:val="Normal"/>
    <w:link w:val="IntenseQuoteChar"/>
    <w:uiPriority w:val="30"/>
    <w:qFormat/>
    <w:rsid w:val="00F57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ACA"/>
    <w:rPr>
      <w:i/>
      <w:iCs/>
      <w:color w:val="0F4761" w:themeColor="accent1" w:themeShade="BF"/>
    </w:rPr>
  </w:style>
  <w:style w:type="character" w:styleId="IntenseReference">
    <w:name w:val="Intense Reference"/>
    <w:basedOn w:val="DefaultParagraphFont"/>
    <w:uiPriority w:val="32"/>
    <w:qFormat/>
    <w:rsid w:val="00F57A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9f930703bb118c88126740165fae9337">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3d128f301fb7b3d2f473a5b1c88eb1bb"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13DE7C28-5D25-4D7D-8613-E2ABBB045FBB}"/>
</file>

<file path=customXml/itemProps2.xml><?xml version="1.0" encoding="utf-8"?>
<ds:datastoreItem xmlns:ds="http://schemas.openxmlformats.org/officeDocument/2006/customXml" ds:itemID="{91477FF5-A077-496E-A9FD-2694C937EA1F}"/>
</file>

<file path=customXml/itemProps3.xml><?xml version="1.0" encoding="utf-8"?>
<ds:datastoreItem xmlns:ds="http://schemas.openxmlformats.org/officeDocument/2006/customXml" ds:itemID="{07075AE2-81E7-41CD-B397-0CDD76585A69}"/>
</file>

<file path=docProps/app.xml><?xml version="1.0" encoding="utf-8"?>
<Properties xmlns="http://schemas.openxmlformats.org/officeDocument/2006/extended-properties" xmlns:vt="http://schemas.openxmlformats.org/officeDocument/2006/docPropsVTypes">
  <Template>Normal</Template>
  <TotalTime>2649</TotalTime>
  <Pages>10</Pages>
  <Words>5720</Words>
  <Characters>30264</Characters>
  <Application>Microsoft Office Word</Application>
  <DocSecurity>0</DocSecurity>
  <Lines>420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Nicolete Burbach</dc:creator>
  <cp:keywords/>
  <dc:description/>
  <cp:lastModifiedBy>Dr Nicolete Burbach</cp:lastModifiedBy>
  <cp:revision>369</cp:revision>
  <dcterms:created xsi:type="dcterms:W3CDTF">2026-05-06T09:00:00Z</dcterms:created>
  <dcterms:modified xsi:type="dcterms:W3CDTF">2026-06-15T14:48:00Z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ies>
</file>