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19FC" w14:textId="0A931B8E" w:rsidR="000E6BF9" w:rsidRPr="005445EF" w:rsidRDefault="00B70B0A" w:rsidP="005445EF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Email Template</w:t>
      </w:r>
    </w:p>
    <w:p w14:paraId="4FAF3655" w14:textId="77777777" w:rsidR="00B70B0A" w:rsidRDefault="00B70B0A" w:rsidP="00CC5850">
      <w:pPr>
        <w:spacing w:line="276" w:lineRule="auto"/>
      </w:pPr>
    </w:p>
    <w:p w14:paraId="3301A13E" w14:textId="1FC7D125" w:rsidR="005445EF" w:rsidRDefault="005445EF" w:rsidP="00CC5850">
      <w:pPr>
        <w:spacing w:line="276" w:lineRule="auto"/>
      </w:pPr>
      <w:r>
        <w:t>Please edit and amend based on the month, your relationship with the stakeholders and their level of experience</w:t>
      </w:r>
    </w:p>
    <w:p w14:paraId="5C9D15FD" w14:textId="0872B11F" w:rsidR="00024726" w:rsidRDefault="005445EF" w:rsidP="00CC5850">
      <w:pPr>
        <w:spacing w:line="276" w:lineRule="auto"/>
      </w:pPr>
      <w:r>
        <w:t xml:space="preserve"> </w:t>
      </w:r>
    </w:p>
    <w:p w14:paraId="0B1C69D6" w14:textId="77777777" w:rsidR="005445EF" w:rsidRPr="00715C03" w:rsidRDefault="005445EF" w:rsidP="005445EF">
      <w:pPr>
        <w:spacing w:line="276" w:lineRule="auto"/>
      </w:pPr>
      <w:r>
        <w:t>------------------------------------------------------------------------------------------------------------------------------------------</w:t>
      </w:r>
    </w:p>
    <w:p w14:paraId="2CE1C5E3" w14:textId="77777777" w:rsidR="005445EF" w:rsidRDefault="005445EF" w:rsidP="00CC5850">
      <w:pPr>
        <w:spacing w:line="276" w:lineRule="auto"/>
      </w:pPr>
    </w:p>
    <w:p w14:paraId="28D9A7AE" w14:textId="5A15B0E3" w:rsidR="00024726" w:rsidRDefault="00024726" w:rsidP="00CC5850">
      <w:pPr>
        <w:spacing w:line="276" w:lineRule="auto"/>
      </w:pPr>
      <w:r>
        <w:t>Hi Team,</w:t>
      </w:r>
    </w:p>
    <w:p w14:paraId="186DD2B4" w14:textId="341C5D04" w:rsidR="00024726" w:rsidRDefault="00024726" w:rsidP="00CC5850">
      <w:pPr>
        <w:spacing w:line="276" w:lineRule="auto"/>
      </w:pPr>
      <w:r>
        <w:t xml:space="preserve">We are one week away from [Insert M1/M2/M3] </w:t>
      </w:r>
      <w:proofErr w:type="gramStart"/>
      <w:r>
        <w:t>forecast</w:t>
      </w:r>
      <w:proofErr w:type="gramEnd"/>
    </w:p>
    <w:p w14:paraId="5FBD7924" w14:textId="4FCB6702" w:rsidR="0091413B" w:rsidRDefault="0091413B" w:rsidP="00CC5850">
      <w:pPr>
        <w:spacing w:line="276" w:lineRule="auto"/>
      </w:pPr>
      <w:r>
        <w:t xml:space="preserve">Please review the following three focus points: </w:t>
      </w:r>
    </w:p>
    <w:p w14:paraId="4B71AAB4" w14:textId="20F82701" w:rsidR="00024726" w:rsidRPr="009170DB" w:rsidRDefault="00024726" w:rsidP="00024726">
      <w:pPr>
        <w:pStyle w:val="Heading2"/>
        <w:rPr>
          <w:rFonts w:eastAsia="Times New Roman"/>
          <w:color w:val="FF0000"/>
          <w:sz w:val="24"/>
          <w:szCs w:val="24"/>
          <w:lang w:val="en-US"/>
        </w:rPr>
      </w:pPr>
      <w:r w:rsidRPr="009170DB">
        <w:rPr>
          <w:rFonts w:eastAsia="Times New Roman"/>
          <w:b/>
          <w:bCs/>
          <w:sz w:val="24"/>
          <w:szCs w:val="24"/>
          <w:u w:val="single"/>
          <w:lang w:val="en-US"/>
        </w:rPr>
        <w:t>Focus 1: Clean Non-Compliant Opportunities</w:t>
      </w:r>
      <w:r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9170DB">
        <w:rPr>
          <w:rFonts w:eastAsia="Times New Roman"/>
          <w:b/>
          <w:bCs/>
          <w:color w:val="FF0000"/>
          <w:sz w:val="24"/>
          <w:szCs w:val="24"/>
          <w:lang w:val="en-US"/>
        </w:rPr>
        <w:t>(</w:t>
      </w:r>
      <w:r w:rsidR="0091413B" w:rsidRPr="009170DB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 [</w:t>
      </w:r>
      <w:proofErr w:type="gramEnd"/>
      <w:r w:rsidR="0091413B" w:rsidRPr="009170DB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ADD NC </w:t>
      </w:r>
      <w:proofErr w:type="spellStart"/>
      <w:r w:rsidR="0091413B" w:rsidRPr="009170DB">
        <w:rPr>
          <w:rFonts w:eastAsia="Times New Roman"/>
          <w:b/>
          <w:bCs/>
          <w:color w:val="FF0000"/>
          <w:sz w:val="24"/>
          <w:szCs w:val="24"/>
          <w:lang w:val="en-US"/>
        </w:rPr>
        <w:t>Opps</w:t>
      </w:r>
      <w:proofErr w:type="spellEnd"/>
      <w:r w:rsidR="0091413B" w:rsidRPr="009170DB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] </w:t>
      </w:r>
      <w:r w:rsidRPr="009170DB">
        <w:rPr>
          <w:rFonts w:eastAsia="Times New Roman"/>
          <w:b/>
          <w:bCs/>
          <w:color w:val="FF0000"/>
          <w:sz w:val="24"/>
          <w:szCs w:val="24"/>
          <w:lang w:val="en-US"/>
        </w:rPr>
        <w:t>Opportunities as of today)</w:t>
      </w:r>
    </w:p>
    <w:p w14:paraId="7CBA4401" w14:textId="77777777" w:rsidR="005445EF" w:rsidRDefault="005445EF" w:rsidP="005445EF">
      <w:pPr>
        <w:rPr>
          <w:lang w:val="en-US"/>
        </w:rPr>
      </w:pPr>
    </w:p>
    <w:p w14:paraId="0DB4D1FD" w14:textId="5EFACA6B" w:rsidR="005445EF" w:rsidRPr="005445EF" w:rsidRDefault="005445EF" w:rsidP="005445EF">
      <w:pPr>
        <w:rPr>
          <w:lang w:val="en-US"/>
        </w:rPr>
      </w:pPr>
      <w:r>
        <w:rPr>
          <w:lang w:val="en-US"/>
        </w:rPr>
        <w:t xml:space="preserve">As a reminder, here is the criteria for </w:t>
      </w:r>
      <w:proofErr w:type="gramStart"/>
      <w:r>
        <w:rPr>
          <w:lang w:val="en-US"/>
        </w:rPr>
        <w:t>Non-Compliant</w:t>
      </w:r>
      <w:proofErr w:type="gramEnd"/>
      <w:r>
        <w:rPr>
          <w:lang w:val="en-US"/>
        </w:rPr>
        <w:t xml:space="preserve"> opportunities:</w:t>
      </w:r>
    </w:p>
    <w:p w14:paraId="32DB0CFC" w14:textId="77777777" w:rsidR="00024726" w:rsidRDefault="00024726" w:rsidP="005445EF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Instruments or Opportunities </w:t>
      </w:r>
      <w:r>
        <w:rPr>
          <w:rFonts w:eastAsia="Times New Roman"/>
          <w:color w:val="000000"/>
          <w:spacing w:val="8"/>
          <w:shd w:val="clear" w:color="auto" w:fill="FFFFFF"/>
        </w:rPr>
        <w:t>&gt;$50k</w:t>
      </w:r>
    </w:p>
    <w:p w14:paraId="188DF81D" w14:textId="77777777" w:rsidR="00024726" w:rsidRDefault="00024726" w:rsidP="005445EF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Last Modified Date</w:t>
      </w:r>
    </w:p>
    <w:p w14:paraId="19743ED7" w14:textId="77777777" w:rsidR="00024726" w:rsidRDefault="00024726" w:rsidP="005445EF">
      <w:pPr>
        <w:pStyle w:val="NoSpacing"/>
        <w:numPr>
          <w:ilvl w:val="1"/>
          <w:numId w:val="3"/>
        </w:numPr>
        <w:rPr>
          <w:rStyle w:val="ui-provider"/>
          <w:lang w:val="en-GB"/>
        </w:rPr>
      </w:pPr>
      <w:r>
        <w:rPr>
          <w:rStyle w:val="ui-provider"/>
        </w:rPr>
        <w:t>Close date CQ: 14 days</w:t>
      </w:r>
    </w:p>
    <w:p w14:paraId="1B9B6A77" w14:textId="77777777" w:rsidR="00024726" w:rsidRDefault="00024726" w:rsidP="005445EF">
      <w:pPr>
        <w:pStyle w:val="NoSpacing"/>
        <w:numPr>
          <w:ilvl w:val="1"/>
          <w:numId w:val="3"/>
        </w:numPr>
        <w:rPr>
          <w:rStyle w:val="ui-provider"/>
        </w:rPr>
      </w:pPr>
      <w:r>
        <w:rPr>
          <w:rStyle w:val="ui-provider"/>
        </w:rPr>
        <w:t>Close date: CQ+ 1: 30 days</w:t>
      </w:r>
    </w:p>
    <w:p w14:paraId="34501F16" w14:textId="77777777" w:rsidR="00024726" w:rsidRDefault="00024726" w:rsidP="005445EF">
      <w:pPr>
        <w:pStyle w:val="NoSpacing"/>
        <w:numPr>
          <w:ilvl w:val="1"/>
          <w:numId w:val="3"/>
        </w:numPr>
        <w:rPr>
          <w:rStyle w:val="ui-provider"/>
        </w:rPr>
      </w:pPr>
      <w:r>
        <w:rPr>
          <w:rStyle w:val="ui-provider"/>
        </w:rPr>
        <w:t>Close date CQ+ 2: 45 days</w:t>
      </w:r>
    </w:p>
    <w:p w14:paraId="00C57041" w14:textId="77777777" w:rsidR="00024726" w:rsidRDefault="00024726" w:rsidP="005445EF">
      <w:pPr>
        <w:pStyle w:val="NoSpacing"/>
        <w:numPr>
          <w:ilvl w:val="1"/>
          <w:numId w:val="3"/>
        </w:numPr>
        <w:rPr>
          <w:rStyle w:val="ui-provider"/>
        </w:rPr>
      </w:pPr>
      <w:r>
        <w:rPr>
          <w:rStyle w:val="ui-provider"/>
        </w:rPr>
        <w:t>Close date CQ +3 and more: 180 days</w:t>
      </w:r>
    </w:p>
    <w:p w14:paraId="31701840" w14:textId="77777777" w:rsidR="00024726" w:rsidRDefault="00024726" w:rsidP="00024726">
      <w:pPr>
        <w:pStyle w:val="NoSpacing"/>
        <w:ind w:left="720"/>
        <w:rPr>
          <w:lang w:val="en-GB"/>
        </w:rPr>
      </w:pPr>
    </w:p>
    <w:p w14:paraId="345F104A" w14:textId="310120D9" w:rsidR="00024726" w:rsidRPr="009170DB" w:rsidRDefault="00024726" w:rsidP="005445EF">
      <w:pPr>
        <w:pStyle w:val="NoSpacing"/>
        <w:rPr>
          <w:b/>
          <w:bCs/>
          <w:color w:val="FF0000"/>
        </w:rPr>
      </w:pPr>
      <w:r>
        <w:t xml:space="preserve">You can find the non-compliant opportunities split by criteria in </w:t>
      </w:r>
      <w:r w:rsidRPr="009170DB">
        <w:t xml:space="preserve">the </w:t>
      </w:r>
      <w:hyperlink r:id="rId5" w:history="1">
        <w:r w:rsidRPr="009170DB">
          <w:rPr>
            <w:rStyle w:val="Hyperlink"/>
            <w:b/>
            <w:bCs/>
            <w:color w:val="FF0000"/>
          </w:rPr>
          <w:t>Sales Cockpit</w:t>
        </w:r>
      </w:hyperlink>
      <w:r w:rsidRPr="009170DB">
        <w:rPr>
          <w:b/>
          <w:bCs/>
          <w:color w:val="FF0000"/>
        </w:rPr>
        <w:t xml:space="preserve"> </w:t>
      </w:r>
      <w:r w:rsidR="009170DB" w:rsidRPr="009170DB">
        <w:rPr>
          <w:b/>
          <w:bCs/>
          <w:color w:val="FF0000"/>
        </w:rPr>
        <w:t>[ADD your SR cockpit]</w:t>
      </w:r>
    </w:p>
    <w:p w14:paraId="3E00BF56" w14:textId="77777777" w:rsidR="00024726" w:rsidRDefault="00024726" w:rsidP="00024726">
      <w:pPr>
        <w:pStyle w:val="NoSpacing"/>
      </w:pPr>
    </w:p>
    <w:p w14:paraId="3DB91D46" w14:textId="77777777" w:rsidR="00024726" w:rsidRDefault="00024726" w:rsidP="005445EF">
      <w:pPr>
        <w:pStyle w:val="NoSpacing"/>
      </w:pPr>
      <w:r>
        <w:t>As a reminder, you can open each Non-Compliant Opportunity report from the Sales Cockpit and update the opportunities by clicking the ‘Enable Field Editing’ button:</w:t>
      </w:r>
    </w:p>
    <w:p w14:paraId="01A4CC1E" w14:textId="0CF11BE9" w:rsidR="00024726" w:rsidRDefault="00024726" w:rsidP="00024726">
      <w:pPr>
        <w:pStyle w:val="NoSpacing"/>
        <w:ind w:left="720"/>
      </w:pPr>
    </w:p>
    <w:p w14:paraId="2A374B87" w14:textId="61261499" w:rsidR="00024726" w:rsidRDefault="00024726" w:rsidP="00024726">
      <w:pPr>
        <w:pStyle w:val="NoSpacing"/>
        <w:ind w:left="720"/>
        <w:rPr>
          <w14:ligatures w14:val="none"/>
        </w:rPr>
      </w:pPr>
      <w:r>
        <w:rPr>
          <w:noProof/>
          <w:lang w:val="en-GB"/>
        </w:rPr>
        <w:drawing>
          <wp:anchor distT="0" distB="0" distL="114300" distR="114300" simplePos="0" relativeHeight="251658244" behindDoc="0" locked="0" layoutInCell="1" allowOverlap="1" wp14:anchorId="3D48832F" wp14:editId="3AE238E5">
            <wp:simplePos x="0" y="0"/>
            <wp:positionH relativeFrom="column">
              <wp:posOffset>544195</wp:posOffset>
            </wp:positionH>
            <wp:positionV relativeFrom="paragraph">
              <wp:posOffset>198755</wp:posOffset>
            </wp:positionV>
            <wp:extent cx="1704975" cy="381000"/>
            <wp:effectExtent l="0" t="0" r="9525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4843B90D" wp14:editId="6FA78EDE">
            <wp:extent cx="5257800" cy="981075"/>
            <wp:effectExtent l="0" t="0" r="0" b="9525"/>
            <wp:docPr id="12" name="Picture 1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4F77" w14:textId="77777777" w:rsidR="00024726" w:rsidRDefault="00024726" w:rsidP="00024726">
      <w:pPr>
        <w:pStyle w:val="NoSpacing"/>
        <w:rPr>
          <w:b/>
          <w:bCs/>
        </w:rPr>
      </w:pPr>
    </w:p>
    <w:p w14:paraId="036F0C6A" w14:textId="77777777" w:rsidR="00024726" w:rsidRDefault="00024726" w:rsidP="00024726">
      <w:pPr>
        <w:rPr>
          <w:lang w:val="en-US"/>
        </w:rPr>
      </w:pPr>
    </w:p>
    <w:p w14:paraId="563BF4D4" w14:textId="77777777" w:rsidR="00024726" w:rsidRPr="009170DB" w:rsidRDefault="00024726" w:rsidP="00024726">
      <w:pPr>
        <w:pStyle w:val="Heading2"/>
        <w:rPr>
          <w:rFonts w:eastAsia="Times New Roman"/>
          <w:b/>
          <w:bCs/>
          <w:sz w:val="24"/>
          <w:szCs w:val="24"/>
          <w:u w:val="single"/>
          <w:lang w:val="en-US"/>
        </w:rPr>
      </w:pPr>
      <w:r w:rsidRPr="009170DB">
        <w:rPr>
          <w:rFonts w:eastAsia="Times New Roman"/>
          <w:b/>
          <w:bCs/>
          <w:sz w:val="24"/>
          <w:szCs w:val="24"/>
          <w:u w:val="single"/>
          <w:lang w:val="en-US"/>
        </w:rPr>
        <w:t xml:space="preserve">Focus 2: Use new </w:t>
      </w:r>
      <w:hyperlink r:id="rId9" w:history="1">
        <w:r w:rsidRPr="009170DB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Instrument Pipeline</w:t>
        </w:r>
      </w:hyperlink>
      <w:r w:rsidRPr="009170DB">
        <w:rPr>
          <w:rFonts w:eastAsia="Times New Roman"/>
          <w:b/>
          <w:bCs/>
          <w:sz w:val="24"/>
          <w:szCs w:val="24"/>
          <w:u w:val="single"/>
          <w:lang w:val="en-US"/>
        </w:rPr>
        <w:t xml:space="preserve"> dashboard when inputting in TM1</w:t>
      </w:r>
    </w:p>
    <w:p w14:paraId="552C5D4E" w14:textId="3C9074B0" w:rsidR="00024726" w:rsidRDefault="00024726" w:rsidP="00024726">
      <w:pPr>
        <w:rPr>
          <w:b/>
          <w:bCs/>
          <w:u w:val="single"/>
          <w:lang w:val="en-US"/>
        </w:rPr>
      </w:pPr>
    </w:p>
    <w:p w14:paraId="22044F95" w14:textId="48B7B85C" w:rsidR="00024726" w:rsidRPr="005445EF" w:rsidRDefault="00024726" w:rsidP="005445E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lang w:val="en-US"/>
        </w:rPr>
      </w:pPr>
      <w:r w:rsidRPr="005445EF">
        <w:rPr>
          <w:rFonts w:eastAsia="Times New Roman"/>
          <w:lang w:val="en-US"/>
        </w:rPr>
        <w:t>Check your Rollup vs Forecast for discrepancies. Any variance can indicate misalignment between SFDC (which feeds your Rollup) and TM1 (which feeds your Forecast):</w:t>
      </w:r>
    </w:p>
    <w:p w14:paraId="1A6DBD3B" w14:textId="3EB96B01" w:rsidR="00024726" w:rsidRDefault="00024726" w:rsidP="00024726">
      <w:pPr>
        <w:ind w:left="360"/>
        <w:rPr>
          <w:lang w:val="en-US"/>
        </w:rPr>
      </w:pPr>
    </w:p>
    <w:p w14:paraId="7F013973" w14:textId="6A4ACF3E" w:rsidR="00024726" w:rsidRDefault="00024726" w:rsidP="00024726">
      <w:pPr>
        <w:ind w:left="36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21DD77A5" wp14:editId="56AE7737">
            <wp:simplePos x="0" y="0"/>
            <wp:positionH relativeFrom="column">
              <wp:posOffset>1934845</wp:posOffset>
            </wp:positionH>
            <wp:positionV relativeFrom="paragraph">
              <wp:posOffset>6350</wp:posOffset>
            </wp:positionV>
            <wp:extent cx="942975" cy="3714750"/>
            <wp:effectExtent l="0" t="0" r="9525" b="0"/>
            <wp:wrapNone/>
            <wp:docPr id="13" name="Picture 13" descr="A black and orange rectangles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orange rectangles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691F05D5" wp14:editId="5D8953B1">
            <wp:extent cx="2657475" cy="3686175"/>
            <wp:effectExtent l="0" t="0" r="9525" b="9525"/>
            <wp:docPr id="11" name="Picture 1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screenshot, numb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F9BE" w14:textId="77777777" w:rsidR="00024726" w:rsidRDefault="00024726" w:rsidP="00024726">
      <w:pPr>
        <w:rPr>
          <w:lang w:val="en-US"/>
        </w:rPr>
      </w:pPr>
    </w:p>
    <w:p w14:paraId="194AEFBA" w14:textId="69765747" w:rsidR="00024726" w:rsidRPr="005445EF" w:rsidRDefault="00024726" w:rsidP="005445E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lang w:val="en-US"/>
        </w:rPr>
      </w:pPr>
      <w:r w:rsidRPr="005445EF">
        <w:rPr>
          <w:rFonts w:eastAsia="Times New Roman"/>
          <w:lang w:val="en-US"/>
        </w:rPr>
        <w:t xml:space="preserve">Adjust your pipeline (SFDC) or TM1 forecast accordingly. </w:t>
      </w:r>
    </w:p>
    <w:p w14:paraId="6ADB763A" w14:textId="773E3E3A" w:rsidR="00024726" w:rsidRDefault="00024726" w:rsidP="00024726">
      <w:pPr>
        <w:rPr>
          <w:b/>
          <w:bCs/>
          <w:lang w:val="en-US"/>
        </w:rPr>
      </w:pPr>
    </w:p>
    <w:p w14:paraId="0053901A" w14:textId="3431CA06" w:rsidR="00024726" w:rsidRPr="003E54DD" w:rsidRDefault="00024726" w:rsidP="00024726">
      <w:pPr>
        <w:pStyle w:val="Heading2"/>
        <w:rPr>
          <w:rFonts w:eastAsia="Times New Roman"/>
          <w:b/>
          <w:bCs/>
          <w:color w:val="FF0000"/>
          <w:sz w:val="24"/>
          <w:szCs w:val="24"/>
          <w:u w:val="single"/>
          <w:lang w:val="en-US"/>
        </w:rPr>
      </w:pPr>
      <w:r w:rsidRPr="009170DB">
        <w:rPr>
          <w:rFonts w:eastAsia="Times New Roman"/>
          <w:b/>
          <w:bCs/>
          <w:sz w:val="24"/>
          <w:szCs w:val="24"/>
          <w:u w:val="single"/>
          <w:lang w:val="en-US"/>
        </w:rPr>
        <w:t>Focus 3: Clean Opportunity Stage to reflect accurate pipeline</w:t>
      </w:r>
      <w:r w:rsidR="003E54DD">
        <w:rPr>
          <w:rFonts w:eastAsia="Times New Roman"/>
          <w:b/>
          <w:bCs/>
          <w:sz w:val="24"/>
          <w:szCs w:val="24"/>
          <w:u w:val="single"/>
          <w:lang w:val="en-US"/>
        </w:rPr>
        <w:t xml:space="preserve"> </w:t>
      </w:r>
      <w:r w:rsidR="003E54DD" w:rsidRPr="003E54DD">
        <w:rPr>
          <w:rFonts w:eastAsia="Times New Roman"/>
          <w:b/>
          <w:bCs/>
          <w:color w:val="FF0000"/>
          <w:sz w:val="24"/>
          <w:szCs w:val="24"/>
          <w:u w:val="single"/>
          <w:lang w:val="en-US"/>
        </w:rPr>
        <w:t>[only for M2/M3]</w:t>
      </w:r>
    </w:p>
    <w:p w14:paraId="20CBE0D5" w14:textId="77777777" w:rsidR="00024726" w:rsidRDefault="00024726" w:rsidP="00024726">
      <w:pPr>
        <w:rPr>
          <w:b/>
          <w:bCs/>
          <w:lang w:val="en-US"/>
        </w:rPr>
      </w:pPr>
    </w:p>
    <w:p w14:paraId="42CAE3A7" w14:textId="5975D229" w:rsidR="00FD3965" w:rsidRPr="00625D8C" w:rsidRDefault="00FD3965" w:rsidP="00024726">
      <w:pPr>
        <w:rPr>
          <w:b/>
          <w:bCs/>
          <w:i/>
          <w:iCs/>
          <w:lang w:val="en-US"/>
        </w:rPr>
      </w:pPr>
      <w:r w:rsidRPr="00625D8C">
        <w:rPr>
          <w:b/>
          <w:bCs/>
          <w:i/>
          <w:iCs/>
          <w:lang w:val="en-US"/>
        </w:rPr>
        <w:t xml:space="preserve">*Reminder to record competitor information </w:t>
      </w:r>
      <w:r w:rsidR="00642586">
        <w:rPr>
          <w:b/>
          <w:bCs/>
          <w:i/>
          <w:iCs/>
          <w:lang w:val="en-US"/>
        </w:rPr>
        <w:t>which they can</w:t>
      </w:r>
      <w:r w:rsidRPr="00625D8C">
        <w:rPr>
          <w:b/>
          <w:bCs/>
          <w:i/>
          <w:iCs/>
          <w:lang w:val="en-US"/>
        </w:rPr>
        <w:t xml:space="preserve"> visualize </w:t>
      </w:r>
      <w:r w:rsidR="009665CB" w:rsidRPr="00625D8C">
        <w:rPr>
          <w:b/>
          <w:bCs/>
          <w:i/>
          <w:iCs/>
          <w:lang w:val="en-US"/>
        </w:rPr>
        <w:t>in the competitors view dashboard (Sales Cockpits)</w:t>
      </w:r>
    </w:p>
    <w:p w14:paraId="61BC8688" w14:textId="4C7D80B6" w:rsidR="009170DB" w:rsidRPr="005445EF" w:rsidRDefault="003E54DD" w:rsidP="00024726">
      <w:pPr>
        <w:rPr>
          <w:b/>
          <w:bCs/>
          <w:i/>
          <w:iCs/>
          <w:lang w:val="en-US"/>
        </w:rPr>
      </w:pPr>
      <w:r w:rsidRPr="005445EF">
        <w:rPr>
          <w:b/>
          <w:bCs/>
          <w:i/>
          <w:iCs/>
          <w:lang w:val="en-US"/>
        </w:rPr>
        <w:t xml:space="preserve">**Depending on the month, remind them </w:t>
      </w:r>
      <w:r w:rsidR="005445EF" w:rsidRPr="005445EF">
        <w:rPr>
          <w:b/>
          <w:bCs/>
          <w:i/>
          <w:iCs/>
          <w:lang w:val="en-US"/>
        </w:rPr>
        <w:t xml:space="preserve">about the stages and send screenshot </w:t>
      </w:r>
    </w:p>
    <w:p w14:paraId="0DF8FA87" w14:textId="77777777" w:rsidR="00024726" w:rsidRDefault="00024726" w:rsidP="00024726">
      <w:pPr>
        <w:rPr>
          <w:lang w:val="en-US"/>
        </w:rPr>
      </w:pPr>
    </w:p>
    <w:p w14:paraId="2B7BDD55" w14:textId="4F955420" w:rsidR="00024726" w:rsidRDefault="00024726" w:rsidP="00024726">
      <w:pPr>
        <w:rPr>
          <w:lang w:val="en-US"/>
        </w:rPr>
      </w:pPr>
      <w:r>
        <w:rPr>
          <w:lang w:val="en-US"/>
        </w:rPr>
        <w:t>Once you have completed these steps, going into the forecast week you will have ensured that all the system and large opportunities are scrubbed, SFDC &amp; TM1 are aligned, and any discrepancy between Rollup and Forecast is understood.</w:t>
      </w:r>
    </w:p>
    <w:p w14:paraId="3486DC8A" w14:textId="77777777" w:rsidR="00024726" w:rsidRDefault="00024726" w:rsidP="00024726">
      <w:pPr>
        <w:ind w:left="360"/>
        <w:rPr>
          <w:lang w:val="en-US"/>
        </w:rPr>
      </w:pPr>
    </w:p>
    <w:p w14:paraId="2AD53915" w14:textId="34D18AE2" w:rsidR="002C2402" w:rsidRDefault="005445EF" w:rsidP="00CC5850">
      <w:pPr>
        <w:spacing w:line="276" w:lineRule="auto"/>
      </w:pPr>
      <w:r>
        <w:t xml:space="preserve">Thank </w:t>
      </w:r>
      <w:proofErr w:type="gramStart"/>
      <w:r>
        <w:t>you</w:t>
      </w:r>
      <w:proofErr w:type="gramEnd"/>
    </w:p>
    <w:p w14:paraId="084B2BCD" w14:textId="1401D88F" w:rsidR="005445EF" w:rsidRDefault="005445EF" w:rsidP="00CC5850">
      <w:pPr>
        <w:spacing w:line="276" w:lineRule="auto"/>
      </w:pPr>
      <w:r>
        <w:t>Sales Ops</w:t>
      </w:r>
    </w:p>
    <w:p w14:paraId="170B919A" w14:textId="4E3FF946" w:rsidR="005445EF" w:rsidRPr="00715C03" w:rsidRDefault="005445EF" w:rsidP="00CC5850">
      <w:pPr>
        <w:spacing w:line="276" w:lineRule="auto"/>
      </w:pPr>
      <w:r>
        <w:t>------------------------------------------------------------------------------------------------------------------------------------------</w:t>
      </w:r>
    </w:p>
    <w:sectPr w:rsidR="005445EF" w:rsidRPr="00715C03" w:rsidSect="00054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EF8B"/>
      </v:shape>
    </w:pict>
  </w:numPicBullet>
  <w:abstractNum w:abstractNumId="0" w15:restartNumberingAfterBreak="0">
    <w:nsid w:val="006374CC"/>
    <w:multiLevelType w:val="hybridMultilevel"/>
    <w:tmpl w:val="E6EA218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34601"/>
    <w:multiLevelType w:val="hybridMultilevel"/>
    <w:tmpl w:val="8344545E"/>
    <w:lvl w:ilvl="0" w:tplc="AE020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22E"/>
    <w:multiLevelType w:val="hybridMultilevel"/>
    <w:tmpl w:val="41722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AE7"/>
    <w:multiLevelType w:val="hybridMultilevel"/>
    <w:tmpl w:val="5AD8A13E"/>
    <w:lvl w:ilvl="0" w:tplc="D604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060"/>
    <w:multiLevelType w:val="hybridMultilevel"/>
    <w:tmpl w:val="C35E9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3DD"/>
    <w:multiLevelType w:val="hybridMultilevel"/>
    <w:tmpl w:val="612AF6E8"/>
    <w:lvl w:ilvl="0" w:tplc="5142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2AC9"/>
    <w:multiLevelType w:val="hybridMultilevel"/>
    <w:tmpl w:val="E6EA2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B6987"/>
    <w:multiLevelType w:val="hybridMultilevel"/>
    <w:tmpl w:val="6D92E5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762B"/>
    <w:multiLevelType w:val="hybridMultilevel"/>
    <w:tmpl w:val="3F9E1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51596"/>
    <w:multiLevelType w:val="hybridMultilevel"/>
    <w:tmpl w:val="913C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B6294"/>
    <w:multiLevelType w:val="hybridMultilevel"/>
    <w:tmpl w:val="07A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6D12"/>
    <w:multiLevelType w:val="hybridMultilevel"/>
    <w:tmpl w:val="1C8471FA"/>
    <w:lvl w:ilvl="0" w:tplc="245C4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B81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61C5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260D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1C70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51C01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2841F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930D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9460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7296EE0"/>
    <w:multiLevelType w:val="hybridMultilevel"/>
    <w:tmpl w:val="4A146A9A"/>
    <w:lvl w:ilvl="0" w:tplc="85FC8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6663"/>
    <w:multiLevelType w:val="hybridMultilevel"/>
    <w:tmpl w:val="342266F8"/>
    <w:lvl w:ilvl="0" w:tplc="F7506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1F7B"/>
    <w:multiLevelType w:val="hybridMultilevel"/>
    <w:tmpl w:val="C0F4C2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577A"/>
    <w:multiLevelType w:val="hybridMultilevel"/>
    <w:tmpl w:val="6F7A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1E5F"/>
    <w:multiLevelType w:val="hybridMultilevel"/>
    <w:tmpl w:val="E42E736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AE4ED1"/>
    <w:multiLevelType w:val="hybridMultilevel"/>
    <w:tmpl w:val="B5DC30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62ED5"/>
    <w:multiLevelType w:val="hybridMultilevel"/>
    <w:tmpl w:val="F8383B68"/>
    <w:lvl w:ilvl="0" w:tplc="FAAE9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7479"/>
    <w:multiLevelType w:val="hybridMultilevel"/>
    <w:tmpl w:val="E5684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2716E"/>
    <w:multiLevelType w:val="hybridMultilevel"/>
    <w:tmpl w:val="7186B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36784"/>
    <w:multiLevelType w:val="hybridMultilevel"/>
    <w:tmpl w:val="0E60CDA8"/>
    <w:lvl w:ilvl="0" w:tplc="12A4A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0117E"/>
    <w:multiLevelType w:val="hybridMultilevel"/>
    <w:tmpl w:val="22F693D4"/>
    <w:lvl w:ilvl="0" w:tplc="47F4C16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A6C60"/>
    <w:multiLevelType w:val="hybridMultilevel"/>
    <w:tmpl w:val="10DE6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34CF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211110312">
    <w:abstractNumId w:val="22"/>
  </w:num>
  <w:num w:numId="2" w16cid:durableId="1241134588">
    <w:abstractNumId w:val="16"/>
  </w:num>
  <w:num w:numId="3" w16cid:durableId="206600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549418">
    <w:abstractNumId w:val="24"/>
  </w:num>
  <w:num w:numId="5" w16cid:durableId="2056000184">
    <w:abstractNumId w:val="14"/>
  </w:num>
  <w:num w:numId="6" w16cid:durableId="923956968">
    <w:abstractNumId w:val="11"/>
  </w:num>
  <w:num w:numId="7" w16cid:durableId="1511530160">
    <w:abstractNumId w:val="4"/>
  </w:num>
  <w:num w:numId="8" w16cid:durableId="1607226375">
    <w:abstractNumId w:val="15"/>
  </w:num>
  <w:num w:numId="9" w16cid:durableId="244843734">
    <w:abstractNumId w:val="9"/>
  </w:num>
  <w:num w:numId="10" w16cid:durableId="582492831">
    <w:abstractNumId w:val="19"/>
  </w:num>
  <w:num w:numId="11" w16cid:durableId="1524441870">
    <w:abstractNumId w:val="23"/>
  </w:num>
  <w:num w:numId="12" w16cid:durableId="1436292080">
    <w:abstractNumId w:val="2"/>
  </w:num>
  <w:num w:numId="13" w16cid:durableId="270286061">
    <w:abstractNumId w:val="8"/>
  </w:num>
  <w:num w:numId="14" w16cid:durableId="613253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2851563">
    <w:abstractNumId w:val="18"/>
  </w:num>
  <w:num w:numId="16" w16cid:durableId="1529030533">
    <w:abstractNumId w:val="1"/>
  </w:num>
  <w:num w:numId="17" w16cid:durableId="484249050">
    <w:abstractNumId w:val="5"/>
  </w:num>
  <w:num w:numId="18" w16cid:durableId="951404795">
    <w:abstractNumId w:val="21"/>
  </w:num>
  <w:num w:numId="19" w16cid:durableId="737367250">
    <w:abstractNumId w:val="12"/>
  </w:num>
  <w:num w:numId="20" w16cid:durableId="1084497136">
    <w:abstractNumId w:val="3"/>
  </w:num>
  <w:num w:numId="21" w16cid:durableId="42339723">
    <w:abstractNumId w:val="7"/>
  </w:num>
  <w:num w:numId="22" w16cid:durableId="697001492">
    <w:abstractNumId w:val="20"/>
  </w:num>
  <w:num w:numId="23" w16cid:durableId="643704048">
    <w:abstractNumId w:val="10"/>
  </w:num>
  <w:num w:numId="24" w16cid:durableId="72825067">
    <w:abstractNumId w:val="17"/>
  </w:num>
  <w:num w:numId="25" w16cid:durableId="132329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84947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3D"/>
    <w:rsid w:val="00024726"/>
    <w:rsid w:val="0005449F"/>
    <w:rsid w:val="000B7D53"/>
    <w:rsid w:val="000E6BF9"/>
    <w:rsid w:val="00154DC0"/>
    <w:rsid w:val="0022766F"/>
    <w:rsid w:val="00261936"/>
    <w:rsid w:val="002C2402"/>
    <w:rsid w:val="003E54DD"/>
    <w:rsid w:val="003F67DE"/>
    <w:rsid w:val="0045022C"/>
    <w:rsid w:val="0045543D"/>
    <w:rsid w:val="004A5F0A"/>
    <w:rsid w:val="004D3614"/>
    <w:rsid w:val="005445EF"/>
    <w:rsid w:val="00555C1F"/>
    <w:rsid w:val="005F051D"/>
    <w:rsid w:val="00625D8C"/>
    <w:rsid w:val="00642586"/>
    <w:rsid w:val="006C57FA"/>
    <w:rsid w:val="00715C03"/>
    <w:rsid w:val="00717109"/>
    <w:rsid w:val="007969BC"/>
    <w:rsid w:val="007D07BD"/>
    <w:rsid w:val="00801F9E"/>
    <w:rsid w:val="0091413B"/>
    <w:rsid w:val="009170DB"/>
    <w:rsid w:val="009261F2"/>
    <w:rsid w:val="00961E20"/>
    <w:rsid w:val="009665CB"/>
    <w:rsid w:val="0097357D"/>
    <w:rsid w:val="009E6F11"/>
    <w:rsid w:val="00A41655"/>
    <w:rsid w:val="00A82BEF"/>
    <w:rsid w:val="00AE4315"/>
    <w:rsid w:val="00AE7274"/>
    <w:rsid w:val="00B70B0A"/>
    <w:rsid w:val="00BE4F75"/>
    <w:rsid w:val="00CB15C8"/>
    <w:rsid w:val="00CC5850"/>
    <w:rsid w:val="00D245BE"/>
    <w:rsid w:val="00D74402"/>
    <w:rsid w:val="00D77E9E"/>
    <w:rsid w:val="00D876E2"/>
    <w:rsid w:val="00DA4127"/>
    <w:rsid w:val="00DE4CE8"/>
    <w:rsid w:val="00EB4E97"/>
    <w:rsid w:val="00F12BD7"/>
    <w:rsid w:val="00FC3B6F"/>
    <w:rsid w:val="00FD3256"/>
    <w:rsid w:val="00FD3965"/>
    <w:rsid w:val="37F921F0"/>
    <w:rsid w:val="3822D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A31C"/>
  <w15:chartTrackingRefBased/>
  <w15:docId w15:val="{38E68599-0CA2-46BF-95F9-FB1BC8BE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24726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kern w:val="0"/>
      <w:sz w:val="26"/>
      <w:szCs w:val="2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43D"/>
    <w:pPr>
      <w:spacing w:after="0" w:line="240" w:lineRule="auto"/>
    </w:pPr>
    <w:rPr>
      <w:lang w:val="en-US"/>
    </w:rPr>
  </w:style>
  <w:style w:type="character" w:customStyle="1" w:styleId="ui-provider">
    <w:name w:val="ui-provider"/>
    <w:basedOn w:val="DefaultParagraphFont"/>
    <w:rsid w:val="009E6F11"/>
  </w:style>
  <w:style w:type="paragraph" w:styleId="ListParagraph">
    <w:name w:val="List Paragraph"/>
    <w:basedOn w:val="Normal"/>
    <w:uiPriority w:val="34"/>
    <w:qFormat/>
    <w:rsid w:val="009E6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C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726"/>
    <w:rPr>
      <w:rFonts w:ascii="Calibri Light" w:hAnsi="Calibri Light" w:cs="Calibri Light"/>
      <w:color w:val="2F5496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A379.CAD669C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cid:image004.png@01D9A379.CAD669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illumina.lightning.force.com/lightning/r/Dashboard/01Z8X000001UlHSUA0/view?queryScope=userFolder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tableau.illumina.com/t/Commercial/views/EuropePipelineHealth_16764766642610/HelicopterVie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325</Words>
  <Characters>1859</Characters>
  <Application>Microsoft Office Word</Application>
  <DocSecurity>0</DocSecurity>
  <Lines>15</Lines>
  <Paragraphs>4</Paragraphs>
  <ScaleCrop>false</ScaleCrop>
  <Company>Illumina, Inc.</Company>
  <LinksUpToDate>false</LinksUpToDate>
  <CharactersWithSpaces>2180</CharactersWithSpaces>
  <SharedDoc>false</SharedDoc>
  <HLinks>
    <vt:vector size="36" baseType="variant">
      <vt:variant>
        <vt:i4>3407873</vt:i4>
      </vt:variant>
      <vt:variant>
        <vt:i4>15</vt:i4>
      </vt:variant>
      <vt:variant>
        <vt:i4>0</vt:i4>
      </vt:variant>
      <vt:variant>
        <vt:i4>5</vt:i4>
      </vt:variant>
      <vt:variant>
        <vt:lpwstr>https://tableau.illumina.com/t/Commercial/views/EuropePipelineHealth_16764766642610/HelicopterView</vt:lpwstr>
      </vt:variant>
      <vt:variant>
        <vt:lpwstr/>
      </vt:variant>
      <vt:variant>
        <vt:i4>655443</vt:i4>
      </vt:variant>
      <vt:variant>
        <vt:i4>12</vt:i4>
      </vt:variant>
      <vt:variant>
        <vt:i4>0</vt:i4>
      </vt:variant>
      <vt:variant>
        <vt:i4>5</vt:i4>
      </vt:variant>
      <vt:variant>
        <vt:lpwstr>https://illumina.lightning.force.com/lightning/r/Dashboard/01Z8X000001UlHSUA0/view?queryScope=userFolders</vt:lpwstr>
      </vt:variant>
      <vt:variant>
        <vt:lpwstr/>
      </vt:variant>
      <vt:variant>
        <vt:i4>1441911</vt:i4>
      </vt:variant>
      <vt:variant>
        <vt:i4>9</vt:i4>
      </vt:variant>
      <vt:variant>
        <vt:i4>0</vt:i4>
      </vt:variant>
      <vt:variant>
        <vt:i4>5</vt:i4>
      </vt:variant>
      <vt:variant>
        <vt:lpwstr>https://ilmn-my.sharepoint.com/:x:/r/personal/sefthymiadi_illumina_com/Documents/_FromBox/EMEA Work Instructions/Sales Ops/Strategy Analyst/Non-Compliant Tracker (20June).xlsx?d=w33a5a0a1de684f2a966066244d1f09bd&amp;csf=1&amp;web=1&amp;e=rx6m0T</vt:lpwstr>
      </vt:variant>
      <vt:variant>
        <vt:lpwstr/>
      </vt:variant>
      <vt:variant>
        <vt:i4>7995424</vt:i4>
      </vt:variant>
      <vt:variant>
        <vt:i4>6</vt:i4>
      </vt:variant>
      <vt:variant>
        <vt:i4>0</vt:i4>
      </vt:variant>
      <vt:variant>
        <vt:i4>5</vt:i4>
      </vt:variant>
      <vt:variant>
        <vt:lpwstr>https://illumina.lightning.force.com/lightning/r/Report/00O8X000007ro8NUAQ/view?queryScope=userFolders</vt:lpwstr>
      </vt:variant>
      <vt:variant>
        <vt:lpwstr/>
      </vt:variant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https://tableau.illumina.com/</vt:lpwstr>
      </vt:variant>
      <vt:variant>
        <vt:lpwstr>/site/Commercial/views/EuropePipelineHealth_16764766642610/HelicopterView</vt:lpwstr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https://illumina.lightning.force.com/lightning/r/Dashboard/01Z8X000001UlHSUA0/view?queryScope=userFolders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Niv</dc:creator>
  <cp:keywords/>
  <dc:description/>
  <cp:lastModifiedBy>Lee, Jeremy</cp:lastModifiedBy>
  <cp:revision>3</cp:revision>
  <dcterms:created xsi:type="dcterms:W3CDTF">2023-07-06T14:10:00Z</dcterms:created>
  <dcterms:modified xsi:type="dcterms:W3CDTF">2023-07-06T14:11:00Z</dcterms:modified>
</cp:coreProperties>
</file>