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color w:val="27245E"/>
          <w:sz w:val="40"/>
        </w:rPr>
        <w:t>Free Gap Analysis Template — Hospital example</w:t>
      </w:r>
    </w:p>
    <w:p>
      <w:pPr>
        <w:spacing w:after="80"/>
      </w:pPr>
      <w:r>
        <w:rPr>
          <w:rFonts w:ascii="Arial" w:hAnsi="Arial"/>
          <w:b w:val="0"/>
          <w:i/>
          <w:color w:val="5B6478"/>
          <w:sz w:val="20"/>
        </w:rPr>
        <w:t>Built from 20,000+ strategic plans analyzed (2017–2024).</w:t>
      </w:r>
    </w:p>
    <w:p>
      <w:pPr>
        <w:keepNext/>
        <w:spacing w:before="200" w:after="80"/>
      </w:pPr>
      <w:r>
        <w:rPr>
          <w:rFonts w:ascii="Arial" w:hAnsi="Arial"/>
          <w:b/>
          <w:color w:val="27245E"/>
          <w:sz w:val="28"/>
        </w:rPr>
        <w:t>How to use this gap analysis template in 7 steps</w:t>
      </w:r>
    </w:p>
    <w:p>
      <w:pPr>
        <w:spacing w:after="80"/>
      </w:pPr>
      <w:r>
        <w:rPr>
          <w:rFonts w:ascii="Arial" w:hAnsi="Arial"/>
          <w:b w:val="0"/>
          <w:i w:val="0"/>
          <w:color w:val="2B3445"/>
          <w:sz w:val="20"/>
        </w:rPr>
        <w:t>Fill the header first, then one grid row per measure. Pull the current reading with its date and source, write the target with its deadline and assumption, and measure the gap. Name the gap type, run five whys once, then write one action with one named owner and a due date. Review the grid on a fixed day.</w:t>
      </w:r>
    </w:p>
    <w:p>
      <w:pPr>
        <w:spacing w:after="60"/>
      </w:pPr>
      <w:r>
        <w:rPr>
          <w:b/>
          <w:color w:val="27245E"/>
        </w:rPr>
        <w:t xml:space="preserve">1. Pick one goal and one measure per row. </w:t>
      </w:r>
      <w:r>
        <w:t>Use a measure someone updates at least monthly, owned by a person who controls its inputs. If nobody can say what would move it by 10%, it's a placeholder, not a measure.</w:t>
      </w:r>
    </w:p>
    <w:p>
      <w:pPr>
        <w:spacing w:after="60"/>
      </w:pPr>
      <w:r>
        <w:rPr>
          <w:b/>
          <w:color w:val="27245E"/>
        </w:rPr>
        <w:t xml:space="preserve">2. Write the current state with its date and source. </w:t>
      </w:r>
      <w:r>
        <w:t>For example: 7.5 minutes, September 2026, CAD export pulled October 3. A number without a date starts arguments, not decisions.</w:t>
      </w:r>
    </w:p>
    <w:p>
      <w:pPr>
        <w:spacing w:after="60"/>
      </w:pPr>
      <w:r>
        <w:rPr>
          <w:b/>
          <w:color w:val="27245E"/>
        </w:rPr>
        <w:t xml:space="preserve">3. Write the target state with its deadline and assumption. </w:t>
      </w:r>
      <w:r>
        <w:t>“7.2 minutes by June 30, 2027, assuming all patrol positions are filled” tells you what to check first when the gap opens.</w:t>
      </w:r>
    </w:p>
    <w:p>
      <w:pPr>
        <w:spacing w:after="60"/>
      </w:pPr>
      <w:r>
        <w:rPr>
          <w:b/>
          <w:color w:val="27245E"/>
        </w:rPr>
        <w:t xml:space="preserve">4. Measure the gap and name its type. </w:t>
      </w:r>
      <w:r>
        <w:t>Write the difference and its direction over the last three readings. Then pick one of the four gap types: performance, tracking, definition or strategy.</w:t>
      </w:r>
    </w:p>
    <w:p>
      <w:pPr>
        <w:spacing w:after="60"/>
      </w:pPr>
      <w:r>
        <w:rPr>
          <w:b/>
          <w:color w:val="27245E"/>
        </w:rPr>
        <w:t xml:space="preserve">5. Run five whys once. </w:t>
      </w:r>
      <w:r>
        <w:t>Ask why the gap exists, then why again, until you reach something your organization can change this year. That answer goes in the root cause column.</w:t>
      </w:r>
    </w:p>
    <w:p>
      <w:pPr>
        <w:spacing w:after="60"/>
      </w:pPr>
      <w:r>
        <w:rPr>
          <w:b/>
          <w:color w:val="27245E"/>
        </w:rPr>
        <w:t xml:space="preserve">6. Write one action, one owner and one due date. </w:t>
      </w:r>
      <w:r>
        <w:t>Name a person, with a title, who controls the inputs. In ClearPoint plan data, initiatives with a named owner are completed 2.5× as often (21.5% vs 8.7%).</w:t>
      </w:r>
    </w:p>
    <w:p>
      <w:pPr>
        <w:spacing w:after="60"/>
      </w:pPr>
      <w:r>
        <w:rPr>
          <w:b/>
          <w:color w:val="27245E"/>
        </w:rPr>
        <w:t xml:space="preserve">7. Review the grid on a fixed day. </w:t>
      </w:r>
      <w:r>
        <w:t>Re-read every row on the monthly update day. Close a row when the reading meets its target line. Re-baseline a target when its assumption breaks, and write down why.</w:t>
      </w:r>
    </w:p>
    <w:p>
      <w:pPr>
        <w:keepNext/>
        <w:spacing w:before="200" w:after="80"/>
      </w:pPr>
      <w:r>
        <w:rPr>
          <w:rFonts w:ascii="Arial" w:hAnsi="Arial"/>
          <w:b/>
          <w:color w:val="27245E"/>
          <w:sz w:val="28"/>
        </w:rPr>
        <w:t>The four types of gap</w:t>
      </w:r>
    </w:p>
    <w:tbl>
      <w:tblPr>
        <w:tblStyle w:val="TableGrid"/>
        <w:tblW w:type="auto" w:w="0"/>
        <w:jc w:val="center"/>
        <w:tblLayout w:type="fixed"/>
        <w:tblLook w:firstColumn="1" w:firstRow="1" w:lastColumn="0" w:lastRow="0" w:noHBand="0" w:noVBand="1" w:val="04A0"/>
      </w:tblPr>
      <w:tblGrid>
        <w:gridCol w:w="2880"/>
        <w:gridCol w:w="2880"/>
        <w:gridCol w:w="2880"/>
        <w:gridCol w:w="2880"/>
        <w:gridCol w:w="2880"/>
      </w:tblGrid>
      <w:tr>
        <w:trPr>
          <w:tblHeader w:val="true"/>
        </w:trPr>
        <w:tc>
          <w:tcPr>
            <w:tcW w:type="dxa" w:w="1872"/>
            <w:shd w:val="clear" w:color="auto" w:fill="27245E"/>
          </w:tcPr>
          <w:p>
            <w:pPr>
              <w:spacing w:after="0"/>
            </w:pPr>
            <w:r/>
            <w:r>
              <w:rPr>
                <w:rFonts w:ascii="Arial" w:hAnsi="Arial"/>
                <w:b/>
                <w:i w:val="0"/>
                <w:color w:val="FFFFFF"/>
                <w:sz w:val="16"/>
              </w:rPr>
              <w:t>Gap type</w:t>
            </w:r>
          </w:p>
        </w:tc>
        <w:tc>
          <w:tcPr>
            <w:tcW w:type="dxa" w:w="3312"/>
            <w:shd w:val="clear" w:color="auto" w:fill="27245E"/>
          </w:tcPr>
          <w:p>
            <w:pPr>
              <w:spacing w:after="0"/>
            </w:pPr>
            <w:r/>
            <w:r>
              <w:rPr>
                <w:rFonts w:ascii="Arial" w:hAnsi="Arial"/>
                <w:b/>
                <w:i w:val="0"/>
                <w:color w:val="FFFFFF"/>
                <w:sz w:val="16"/>
              </w:rPr>
              <w:t>What you see</w:t>
            </w:r>
          </w:p>
        </w:tc>
        <w:tc>
          <w:tcPr>
            <w:tcW w:type="dxa" w:w="3024"/>
            <w:shd w:val="clear" w:color="auto" w:fill="27245E"/>
          </w:tcPr>
          <w:p>
            <w:pPr>
              <w:spacing w:after="0"/>
            </w:pPr>
            <w:r/>
            <w:r>
              <w:rPr>
                <w:rFonts w:ascii="Arial" w:hAnsi="Arial"/>
                <w:b/>
                <w:i w:val="0"/>
                <w:color w:val="FFFFFF"/>
                <w:sz w:val="16"/>
              </w:rPr>
              <w:t>What it usually means</w:t>
            </w:r>
          </w:p>
        </w:tc>
        <w:tc>
          <w:tcPr>
            <w:tcW w:type="dxa" w:w="3600"/>
            <w:shd w:val="clear" w:color="auto" w:fill="27245E"/>
          </w:tcPr>
          <w:p>
            <w:pPr>
              <w:spacing w:after="0"/>
            </w:pPr>
            <w:r/>
            <w:r>
              <w:rPr>
                <w:rFonts w:ascii="Arial" w:hAnsi="Arial"/>
                <w:b/>
                <w:i w:val="0"/>
                <w:color w:val="FFFFFF"/>
                <w:sz w:val="16"/>
              </w:rPr>
              <w:t>First fix</w:t>
            </w:r>
          </w:p>
        </w:tc>
        <w:tc>
          <w:tcPr>
            <w:tcW w:type="dxa" w:w="2592"/>
            <w:shd w:val="clear" w:color="auto" w:fill="27245E"/>
          </w:tcPr>
          <w:p>
            <w:pPr>
              <w:spacing w:after="0"/>
            </w:pPr>
            <w:r/>
            <w:r>
              <w:rPr>
                <w:rFonts w:ascii="Arial" w:hAnsi="Arial"/>
                <w:b/>
                <w:i w:val="0"/>
                <w:color w:val="FFFFFF"/>
                <w:sz w:val="16"/>
              </w:rPr>
              <w:t>In the examples</w:t>
            </w:r>
          </w:p>
        </w:tc>
      </w:tr>
      <w:tr>
        <w:tc>
          <w:tcPr>
            <w:tcW w:type="dxa" w:w="1872"/>
            <w:shd w:val="clear" w:color="auto" w:fill="FDE2DF"/>
          </w:tcPr>
          <w:p>
            <w:pPr>
              <w:spacing w:after="0"/>
            </w:pPr>
            <w:r/>
            <w:r>
              <w:rPr>
                <w:rFonts w:ascii="Arial" w:hAnsi="Arial"/>
                <w:b/>
                <w:i w:val="0"/>
                <w:color w:val="9B2A21"/>
                <w:sz w:val="16"/>
              </w:rPr>
              <w:t>Performance</w:t>
            </w:r>
          </w:p>
        </w:tc>
        <w:tc>
          <w:tcPr>
            <w:tcW w:type="dxa" w:w="3312"/>
          </w:tcPr>
          <w:p>
            <w:pPr>
              <w:spacing w:after="0"/>
            </w:pPr>
            <w:r/>
            <w:r>
              <w:rPr>
                <w:rFonts w:ascii="Arial" w:hAnsi="Arial"/>
                <w:b w:val="0"/>
                <w:i w:val="0"/>
                <w:color w:val="2B3445"/>
                <w:sz w:val="16"/>
              </w:rPr>
              <w:t>A fresh reading, worse than the target line.</w:t>
            </w:r>
          </w:p>
        </w:tc>
        <w:tc>
          <w:tcPr>
            <w:tcW w:type="dxa" w:w="3024"/>
          </w:tcPr>
          <w:p>
            <w:pPr>
              <w:spacing w:after="0"/>
            </w:pPr>
            <w:r/>
            <w:r>
              <w:rPr>
                <w:rFonts w:ascii="Arial" w:hAnsi="Arial"/>
                <w:b w:val="0"/>
                <w:i w:val="0"/>
                <w:color w:val="2B3445"/>
                <w:sz w:val="16"/>
              </w:rPr>
              <w:t>The work isn't producing the result.</w:t>
            </w:r>
          </w:p>
        </w:tc>
        <w:tc>
          <w:tcPr>
            <w:tcW w:type="dxa" w:w="3600"/>
          </w:tcPr>
          <w:p>
            <w:pPr>
              <w:spacing w:after="0"/>
            </w:pPr>
            <w:r/>
            <w:r>
              <w:rPr>
                <w:rFonts w:ascii="Arial" w:hAnsi="Arial"/>
                <w:b w:val="0"/>
                <w:i w:val="0"/>
                <w:color w:val="2B3445"/>
                <w:sz w:val="16"/>
              </w:rPr>
              <w:t>Change or add one action. Check in within 90 days.</w:t>
            </w:r>
          </w:p>
        </w:tc>
        <w:tc>
          <w:tcPr>
            <w:tcW w:type="dxa" w:w="2592"/>
          </w:tcPr>
          <w:p>
            <w:pPr>
              <w:spacing w:after="0"/>
            </w:pPr>
            <w:r/>
            <w:r>
              <w:rPr>
                <w:rFonts w:ascii="Arial" w:hAnsi="Arial"/>
                <w:b w:val="0"/>
                <w:i w:val="0"/>
                <w:color w:val="2B3445"/>
                <w:sz w:val="16"/>
              </w:rPr>
              <w:t>City 2.1 · Hospital 1.1 · University 1.1</w:t>
            </w:r>
          </w:p>
        </w:tc>
      </w:tr>
      <w:tr>
        <w:tc>
          <w:tcPr>
            <w:tcW w:type="dxa" w:w="1872"/>
            <w:shd w:val="clear" w:color="auto" w:fill="FFE6D9"/>
          </w:tcPr>
          <w:p>
            <w:pPr>
              <w:spacing w:after="0"/>
            </w:pPr>
            <w:r/>
            <w:r>
              <w:rPr>
                <w:rFonts w:ascii="Arial" w:hAnsi="Arial"/>
                <w:b/>
                <w:i w:val="0"/>
                <w:color w:val="A8431C"/>
                <w:sz w:val="16"/>
              </w:rPr>
              <w:t>Tracking</w:t>
            </w:r>
          </w:p>
        </w:tc>
        <w:tc>
          <w:tcPr>
            <w:tcW w:type="dxa" w:w="3312"/>
          </w:tcPr>
          <w:p>
            <w:pPr>
              <w:spacing w:after="0"/>
            </w:pPr>
            <w:r/>
            <w:r>
              <w:rPr>
                <w:rFonts w:ascii="Arial" w:hAnsi="Arial"/>
                <w:b w:val="0"/>
                <w:i w:val="0"/>
                <w:color w:val="2B3445"/>
                <w:sz w:val="16"/>
              </w:rPr>
              <w:t>No reading on the update day, or the same value for months.</w:t>
            </w:r>
          </w:p>
        </w:tc>
        <w:tc>
          <w:tcPr>
            <w:tcW w:type="dxa" w:w="3024"/>
          </w:tcPr>
          <w:p>
            <w:pPr>
              <w:spacing w:after="0"/>
            </w:pPr>
            <w:r/>
            <w:r>
              <w:rPr>
                <w:rFonts w:ascii="Arial" w:hAnsi="Arial"/>
                <w:b w:val="0"/>
                <w:i w:val="0"/>
                <w:color w:val="2B3445"/>
                <w:sz w:val="16"/>
              </w:rPr>
              <w:t>Nobody owns the reading.</w:t>
            </w:r>
          </w:p>
        </w:tc>
        <w:tc>
          <w:tcPr>
            <w:tcW w:type="dxa" w:w="3600"/>
          </w:tcPr>
          <w:p>
            <w:pPr>
              <w:spacing w:after="0"/>
            </w:pPr>
            <w:r/>
            <w:r>
              <w:rPr>
                <w:rFonts w:ascii="Arial" w:hAnsi="Arial"/>
                <w:b w:val="0"/>
                <w:i w:val="0"/>
                <w:color w:val="2B3445"/>
                <w:sz w:val="16"/>
              </w:rPr>
              <w:t>Name an owner for the data before you add any work.</w:t>
            </w:r>
          </w:p>
        </w:tc>
        <w:tc>
          <w:tcPr>
            <w:tcW w:type="dxa" w:w="2592"/>
          </w:tcPr>
          <w:p>
            <w:pPr>
              <w:spacing w:after="0"/>
            </w:pPr>
            <w:r/>
            <w:r>
              <w:rPr>
                <w:rFonts w:ascii="Arial" w:hAnsi="Arial"/>
                <w:b w:val="0"/>
                <w:i w:val="0"/>
                <w:color w:val="2B3445"/>
                <w:sz w:val="16"/>
              </w:rPr>
              <w:t>City 4.2 · Hospital 4.1 · University 4.1</w:t>
            </w:r>
          </w:p>
        </w:tc>
      </w:tr>
      <w:tr>
        <w:tc>
          <w:tcPr>
            <w:tcW w:type="dxa" w:w="1872"/>
            <w:shd w:val="clear" w:color="auto" w:fill="DCEEFA"/>
          </w:tcPr>
          <w:p>
            <w:pPr>
              <w:spacing w:after="0"/>
            </w:pPr>
            <w:r/>
            <w:r>
              <w:rPr>
                <w:rFonts w:ascii="Arial" w:hAnsi="Arial"/>
                <w:b/>
                <w:i w:val="0"/>
                <w:color w:val="155F8F"/>
                <w:sz w:val="16"/>
              </w:rPr>
              <w:t>Definition</w:t>
            </w:r>
          </w:p>
        </w:tc>
        <w:tc>
          <w:tcPr>
            <w:tcW w:type="dxa" w:w="3312"/>
          </w:tcPr>
          <w:p>
            <w:pPr>
              <w:spacing w:after="0"/>
            </w:pPr>
            <w:r/>
            <w:r>
              <w:rPr>
                <w:rFonts w:ascii="Arial" w:hAnsi="Arial"/>
                <w:b w:val="0"/>
                <w:i w:val="0"/>
                <w:color w:val="2B3445"/>
                <w:sz w:val="16"/>
              </w:rPr>
              <w:t>The measure moved, but the target no longer makes sense.</w:t>
            </w:r>
          </w:p>
        </w:tc>
        <w:tc>
          <w:tcPr>
            <w:tcW w:type="dxa" w:w="3024"/>
          </w:tcPr>
          <w:p>
            <w:pPr>
              <w:spacing w:after="0"/>
            </w:pPr>
            <w:r/>
            <w:r>
              <w:rPr>
                <w:rFonts w:ascii="Arial" w:hAnsi="Arial"/>
                <w:b w:val="0"/>
                <w:i w:val="0"/>
                <w:color w:val="2B3445"/>
                <w:sz w:val="16"/>
              </w:rPr>
              <w:t>An assumption behind the target broke.</w:t>
            </w:r>
          </w:p>
        </w:tc>
        <w:tc>
          <w:tcPr>
            <w:tcW w:type="dxa" w:w="3600"/>
          </w:tcPr>
          <w:p>
            <w:pPr>
              <w:spacing w:after="0"/>
            </w:pPr>
            <w:r/>
            <w:r>
              <w:rPr>
                <w:rFonts w:ascii="Arial" w:hAnsi="Arial"/>
                <w:b w:val="0"/>
                <w:i w:val="0"/>
                <w:color w:val="2B3445"/>
                <w:sz w:val="16"/>
              </w:rPr>
              <w:t>Re-baseline the target and write down which assumption changed.</w:t>
            </w:r>
          </w:p>
        </w:tc>
        <w:tc>
          <w:tcPr>
            <w:tcW w:type="dxa" w:w="2592"/>
          </w:tcPr>
          <w:p>
            <w:pPr>
              <w:spacing w:after="0"/>
            </w:pPr>
            <w:r/>
            <w:r>
              <w:rPr>
                <w:rFonts w:ascii="Arial" w:hAnsi="Arial"/>
                <w:b w:val="0"/>
                <w:i w:val="0"/>
                <w:color w:val="2B3445"/>
                <w:sz w:val="16"/>
              </w:rPr>
              <w:t>City 3.1 · Hospital 3.1 · University 2.2</w:t>
            </w:r>
          </w:p>
        </w:tc>
      </w:tr>
      <w:tr>
        <w:tc>
          <w:tcPr>
            <w:tcW w:type="dxa" w:w="1872"/>
            <w:shd w:val="clear" w:color="auto" w:fill="E4E3F1"/>
          </w:tcPr>
          <w:p>
            <w:pPr>
              <w:spacing w:after="0"/>
            </w:pPr>
            <w:r/>
            <w:r>
              <w:rPr>
                <w:rFonts w:ascii="Arial" w:hAnsi="Arial"/>
                <w:b/>
                <w:i w:val="0"/>
                <w:color w:val="27245E"/>
                <w:sz w:val="16"/>
              </w:rPr>
              <w:t>Strategy</w:t>
            </w:r>
          </w:p>
        </w:tc>
        <w:tc>
          <w:tcPr>
            <w:tcW w:type="dxa" w:w="3312"/>
          </w:tcPr>
          <w:p>
            <w:pPr>
              <w:spacing w:after="0"/>
            </w:pPr>
            <w:r/>
            <w:r>
              <w:rPr>
                <w:rFonts w:ascii="Arial" w:hAnsi="Arial"/>
                <w:b w:val="0"/>
                <w:i w:val="0"/>
                <w:color w:val="2B3445"/>
                <w:sz w:val="16"/>
              </w:rPr>
              <w:t>Projects finish on time, and the measure still misses.</w:t>
            </w:r>
          </w:p>
        </w:tc>
        <w:tc>
          <w:tcPr>
            <w:tcW w:type="dxa" w:w="3024"/>
          </w:tcPr>
          <w:p>
            <w:pPr>
              <w:spacing w:after="0"/>
            </w:pPr>
            <w:r/>
            <w:r>
              <w:rPr>
                <w:rFonts w:ascii="Arial" w:hAnsi="Arial"/>
                <w:b w:val="0"/>
                <w:i w:val="0"/>
                <w:color w:val="2B3445"/>
                <w:sz w:val="16"/>
              </w:rPr>
              <w:t>The plan is working on the wrong cause.</w:t>
            </w:r>
          </w:p>
        </w:tc>
        <w:tc>
          <w:tcPr>
            <w:tcW w:type="dxa" w:w="3600"/>
          </w:tcPr>
          <w:p>
            <w:pPr>
              <w:spacing w:after="0"/>
            </w:pPr>
            <w:r/>
            <w:r>
              <w:rPr>
                <w:rFonts w:ascii="Arial" w:hAnsi="Arial"/>
                <w:b w:val="0"/>
                <w:i w:val="0"/>
                <w:color w:val="2B3445"/>
                <w:sz w:val="16"/>
              </w:rPr>
              <w:t>Pause the projects. Run a strategy review on that goal.</w:t>
            </w:r>
          </w:p>
        </w:tc>
        <w:tc>
          <w:tcPr>
            <w:tcW w:type="dxa" w:w="2592"/>
          </w:tcPr>
          <w:p>
            <w:pPr>
              <w:spacing w:after="0"/>
            </w:pPr>
            <w:r/>
            <w:r>
              <w:rPr>
                <w:rFonts w:ascii="Arial" w:hAnsi="Arial"/>
                <w:b w:val="0"/>
                <w:i w:val="0"/>
                <w:color w:val="2B3445"/>
                <w:sz w:val="16"/>
              </w:rPr>
              <w:t>City 1.1 · Hospital 1.2 · University 1.2</w:t>
            </w:r>
          </w:p>
        </w:tc>
      </w:tr>
    </w:tbl>
    <w:p>
      <w:r>
        <w:br w:type="page"/>
      </w:r>
    </w:p>
    <w:p>
      <w:pPr>
        <w:keepNext/>
        <w:spacing w:before="200" w:after="80"/>
      </w:pPr>
      <w:r>
        <w:rPr>
          <w:rFonts w:ascii="Arial" w:hAnsi="Arial"/>
          <w:b/>
          <w:color w:val="27245E"/>
          <w:sz w:val="32"/>
        </w:rPr>
        <w:t>Example 2: gap analysis for a community hospital</w:t>
      </w:r>
    </w:p>
    <w:p>
      <w:pPr>
        <w:spacing w:after="80"/>
      </w:pPr>
      <w:r>
        <w:rPr>
          <w:rFonts w:ascii="Arial" w:hAnsi="Arial"/>
          <w:b w:val="0"/>
          <w:i w:val="0"/>
          <w:color w:val="2B3445"/>
          <w:sz w:val="20"/>
        </w:rPr>
        <w:t>This is the template filled in for the 180-bed nonprofit community hospital of our 5-year strategic plan template. The April 2027 analysis covers infection control, the operating margin, new-nurse turnover and readmissions. Readings come from NHSN, the monthly finance close, the HR report and the quality dashboard, and the board quality committee reviews them.</w:t>
      </w:r>
    </w:p>
    <w:p>
      <w:pPr>
        <w:spacing w:after="80"/>
      </w:pPr>
      <w:r>
        <w:rPr>
          <w:rFonts w:ascii="Arial" w:hAnsi="Arial"/>
          <w:b w:val="0"/>
          <w:i/>
          <w:color w:val="5B6478"/>
          <w:sz w:val="20"/>
        </w:rPr>
        <w:t>Illustrative example. Owner names are ClearPoint demo personas.</w:t>
      </w:r>
    </w:p>
    <w:tbl>
      <w:tblPr>
        <w:tblStyle w:val="TableGrid"/>
        <w:tblW w:type="auto" w:w="0"/>
        <w:jc w:val="center"/>
        <w:tblLayout w:type="fixed"/>
        <w:tblLook w:firstColumn="1" w:firstRow="1" w:lastColumn="0" w:lastRow="0" w:noHBand="0" w:noVBand="1" w:val="04A0"/>
      </w:tblPr>
      <w:tblGrid>
        <w:gridCol w:w="7200"/>
        <w:gridCol w:w="7200"/>
      </w:tblGrid>
      <w:tr>
        <w:trPr>
          <w:tblHeader w:val="true"/>
        </w:trPr>
        <w:tc>
          <w:tcPr>
            <w:tcW w:type="dxa" w:w="2880"/>
            <w:shd w:val="clear" w:color="auto" w:fill="27245E"/>
          </w:tcPr>
          <w:p>
            <w:pPr>
              <w:spacing w:after="0"/>
            </w:pPr>
            <w:r/>
            <w:r>
              <w:rPr>
                <w:rFonts w:ascii="Arial" w:hAnsi="Arial"/>
                <w:b/>
                <w:i w:val="0"/>
                <w:color w:val="FFFFFF"/>
                <w:sz w:val="16"/>
              </w:rPr>
              <w:t>Field</w:t>
            </w:r>
          </w:p>
        </w:tc>
        <w:tc>
          <w:tcPr>
            <w:tcW w:type="dxa" w:w="11520"/>
            <w:shd w:val="clear" w:color="auto" w:fill="27245E"/>
          </w:tcPr>
          <w:p>
            <w:pPr>
              <w:spacing w:after="0"/>
            </w:pPr>
            <w:r/>
            <w:r>
              <w:rPr>
                <w:rFonts w:ascii="Arial" w:hAnsi="Arial"/>
                <w:b/>
                <w:i w:val="0"/>
                <w:color w:val="FFFFFF"/>
                <w:sz w:val="16"/>
              </w:rPr>
              <w:t>Hospital example</w:t>
            </w:r>
          </w:p>
        </w:tc>
      </w:tr>
      <w:tr>
        <w:tc>
          <w:tcPr>
            <w:tcW w:type="dxa" w:w="2880"/>
            <w:shd w:val="clear" w:color="auto" w:fill="F4F4F6"/>
          </w:tcPr>
          <w:p>
            <w:pPr>
              <w:spacing w:after="0"/>
            </w:pPr>
            <w:r/>
            <w:r>
              <w:rPr>
                <w:rFonts w:ascii="Arial" w:hAnsi="Arial"/>
                <w:b/>
                <w:i w:val="0"/>
                <w:color w:val="2B3445"/>
                <w:sz w:val="16"/>
              </w:rPr>
              <w:t>Organization and plan</w:t>
            </w:r>
          </w:p>
        </w:tc>
        <w:tc>
          <w:tcPr>
            <w:tcW w:type="dxa" w:w="11520"/>
          </w:tcPr>
          <w:p>
            <w:pPr>
              <w:spacing w:after="0"/>
            </w:pPr>
            <w:r/>
            <w:r>
              <w:rPr>
                <w:rFonts w:ascii="Arial" w:hAnsi="Arial"/>
                <w:b w:val="0"/>
                <w:i w:val="0"/>
                <w:color w:val="2B3445"/>
                <w:sz w:val="16"/>
              </w:rPr>
              <w:t>Community hospital strategic plan 2027–2031, 180-bed nonprofit hospital with a primary care network.</w:t>
            </w:r>
          </w:p>
        </w:tc>
      </w:tr>
      <w:tr>
        <w:tc>
          <w:tcPr>
            <w:tcW w:type="dxa" w:w="2880"/>
            <w:shd w:val="clear" w:color="auto" w:fill="F4F4F6"/>
          </w:tcPr>
          <w:p>
            <w:pPr>
              <w:spacing w:after="0"/>
            </w:pPr>
            <w:r/>
            <w:r>
              <w:rPr>
                <w:rFonts w:ascii="Arial" w:hAnsi="Arial"/>
                <w:b/>
                <w:i w:val="0"/>
                <w:color w:val="2B3445"/>
                <w:sz w:val="16"/>
              </w:rPr>
              <w:t>Analysis date</w:t>
            </w:r>
          </w:p>
        </w:tc>
        <w:tc>
          <w:tcPr>
            <w:tcW w:type="dxa" w:w="11520"/>
          </w:tcPr>
          <w:p>
            <w:pPr>
              <w:spacing w:after="0"/>
            </w:pPr>
            <w:r/>
            <w:r>
              <w:rPr>
                <w:rFonts w:ascii="Arial" w:hAnsi="Arial"/>
                <w:b w:val="0"/>
                <w:i w:val="0"/>
                <w:color w:val="2B3445"/>
                <w:sz w:val="16"/>
              </w:rPr>
              <w:t>April 12, 2027 (the 8th working day, the monthly update day)</w:t>
            </w:r>
          </w:p>
        </w:tc>
      </w:tr>
      <w:tr>
        <w:tc>
          <w:tcPr>
            <w:tcW w:type="dxa" w:w="2880"/>
            <w:shd w:val="clear" w:color="auto" w:fill="F4F4F6"/>
          </w:tcPr>
          <w:p>
            <w:pPr>
              <w:spacing w:after="0"/>
            </w:pPr>
            <w:r/>
            <w:r>
              <w:rPr>
                <w:rFonts w:ascii="Arial" w:hAnsi="Arial"/>
                <w:b/>
                <w:i w:val="0"/>
                <w:color w:val="2B3445"/>
                <w:sz w:val="16"/>
              </w:rPr>
              <w:t>Period covered</w:t>
            </w:r>
          </w:p>
        </w:tc>
        <w:tc>
          <w:tcPr>
            <w:tcW w:type="dxa" w:w="11520"/>
          </w:tcPr>
          <w:p>
            <w:pPr>
              <w:spacing w:after="0"/>
            </w:pPr>
            <w:r/>
            <w:r>
              <w:rPr>
                <w:rFonts w:ascii="Arial" w:hAnsi="Arial"/>
                <w:b w:val="0"/>
                <w:i w:val="0"/>
                <w:color w:val="2B3445"/>
                <w:sz w:val="16"/>
              </w:rPr>
              <w:t>Q1 2027: January to March</w:t>
            </w:r>
          </w:p>
        </w:tc>
      </w:tr>
      <w:tr>
        <w:tc>
          <w:tcPr>
            <w:tcW w:type="dxa" w:w="2880"/>
            <w:shd w:val="clear" w:color="auto" w:fill="F4F4F6"/>
          </w:tcPr>
          <w:p>
            <w:pPr>
              <w:spacing w:after="0"/>
            </w:pPr>
            <w:r/>
            <w:r>
              <w:rPr>
                <w:rFonts w:ascii="Arial" w:hAnsi="Arial"/>
                <w:b/>
                <w:i w:val="0"/>
                <w:color w:val="2B3445"/>
                <w:sz w:val="16"/>
              </w:rPr>
              <w:t>Data sources</w:t>
            </w:r>
          </w:p>
        </w:tc>
        <w:tc>
          <w:tcPr>
            <w:tcW w:type="dxa" w:w="11520"/>
          </w:tcPr>
          <w:p>
            <w:pPr>
              <w:spacing w:after="0"/>
            </w:pPr>
            <w:r/>
            <w:r>
              <w:rPr>
                <w:rFonts w:ascii="Arial" w:hAnsi="Arial"/>
                <w:b w:val="0"/>
                <w:i w:val="0"/>
                <w:color w:val="2B3445"/>
                <w:sz w:val="16"/>
              </w:rPr>
              <w:t>NHSN infection reports · monthly finance close · HR turnover report · readmission report from the quality dashboard</w:t>
            </w:r>
          </w:p>
        </w:tc>
      </w:tr>
      <w:tr>
        <w:tc>
          <w:tcPr>
            <w:tcW w:type="dxa" w:w="2880"/>
            <w:shd w:val="clear" w:color="auto" w:fill="F4F4F6"/>
          </w:tcPr>
          <w:p>
            <w:pPr>
              <w:spacing w:after="0"/>
            </w:pPr>
            <w:r/>
            <w:r>
              <w:rPr>
                <w:rFonts w:ascii="Arial" w:hAnsi="Arial"/>
                <w:b/>
                <w:i w:val="0"/>
                <w:color w:val="2B3445"/>
                <w:sz w:val="16"/>
              </w:rPr>
              <w:t>Prepared by</w:t>
            </w:r>
          </w:p>
        </w:tc>
        <w:tc>
          <w:tcPr>
            <w:tcW w:type="dxa" w:w="11520"/>
          </w:tcPr>
          <w:p>
            <w:pPr>
              <w:spacing w:after="0"/>
            </w:pPr>
            <w:r/>
            <w:r>
              <w:rPr>
                <w:rFonts w:ascii="Arial" w:hAnsi="Arial"/>
                <w:b w:val="0"/>
                <w:i w:val="0"/>
                <w:color w:val="2B3445"/>
                <w:sz w:val="16"/>
              </w:rPr>
              <w:t>Lance B., Chief Medical Officer</w:t>
            </w:r>
          </w:p>
        </w:tc>
      </w:tr>
      <w:tr>
        <w:tc>
          <w:tcPr>
            <w:tcW w:type="dxa" w:w="2880"/>
            <w:shd w:val="clear" w:color="auto" w:fill="F4F4F6"/>
          </w:tcPr>
          <w:p>
            <w:pPr>
              <w:spacing w:after="0"/>
            </w:pPr>
            <w:r/>
            <w:r>
              <w:rPr>
                <w:rFonts w:ascii="Arial" w:hAnsi="Arial"/>
                <w:b/>
                <w:i w:val="0"/>
                <w:color w:val="2B3445"/>
                <w:sz w:val="16"/>
              </w:rPr>
              <w:t>Reviewed at</w:t>
            </w:r>
          </w:p>
        </w:tc>
        <w:tc>
          <w:tcPr>
            <w:tcW w:type="dxa" w:w="11520"/>
          </w:tcPr>
          <w:p>
            <w:pPr>
              <w:spacing w:after="0"/>
            </w:pPr>
            <w:r/>
            <w:r>
              <w:rPr>
                <w:rFonts w:ascii="Arial" w:hAnsi="Arial"/>
                <w:b w:val="0"/>
                <w:i w:val="0"/>
                <w:color w:val="2B3445"/>
                <w:sz w:val="16"/>
              </w:rPr>
              <w:t>Board quality committee, May 4, 2027</w:t>
            </w:r>
          </w:p>
        </w:tc>
      </w:tr>
      <w:tr>
        <w:tc>
          <w:tcPr>
            <w:tcW w:type="dxa" w:w="2880"/>
            <w:shd w:val="clear" w:color="auto" w:fill="F4F4F6"/>
          </w:tcPr>
          <w:p>
            <w:pPr>
              <w:spacing w:after="0"/>
            </w:pPr>
            <w:r/>
            <w:r>
              <w:rPr>
                <w:rFonts w:ascii="Arial" w:hAnsi="Arial"/>
                <w:b/>
                <w:i w:val="0"/>
                <w:color w:val="2B3445"/>
                <w:sz w:val="16"/>
              </w:rPr>
              <w:t>Gap rule</w:t>
            </w:r>
          </w:p>
        </w:tc>
        <w:tc>
          <w:tcPr>
            <w:tcW w:type="dxa" w:w="11520"/>
          </w:tcPr>
          <w:p>
            <w:pPr>
              <w:spacing w:after="0"/>
            </w:pPr>
            <w:r/>
            <w:r>
              <w:rPr>
                <w:rFonts w:ascii="Arial" w:hAnsi="Arial"/>
                <w:b w:val="0"/>
                <w:i w:val="0"/>
                <w:color w:val="2B3445"/>
                <w:sz w:val="16"/>
              </w:rPr>
              <w:t>A row is a gap when the latest reading misses the target line for the period, or when no reading arrives on the update day.</w:t>
            </w:r>
          </w:p>
        </w:tc>
      </w:tr>
      <w:tr>
        <w:tc>
          <w:tcPr>
            <w:tcW w:type="dxa" w:w="2880"/>
            <w:shd w:val="clear" w:color="auto" w:fill="F4F4F6"/>
          </w:tcPr>
          <w:p>
            <w:pPr>
              <w:spacing w:after="0"/>
            </w:pPr>
            <w:r/>
            <w:r>
              <w:rPr>
                <w:rFonts w:ascii="Arial" w:hAnsi="Arial"/>
                <w:b/>
                <w:i w:val="0"/>
                <w:color w:val="2B3445"/>
                <w:sz w:val="16"/>
              </w:rPr>
              <w:t>Next review</w:t>
            </w:r>
          </w:p>
        </w:tc>
        <w:tc>
          <w:tcPr>
            <w:tcW w:type="dxa" w:w="11520"/>
          </w:tcPr>
          <w:p>
            <w:pPr>
              <w:spacing w:after="0"/>
            </w:pPr>
            <w:r/>
            <w:r>
              <w:rPr>
                <w:rFonts w:ascii="Arial" w:hAnsi="Arial"/>
                <w:b w:val="0"/>
                <w:i w:val="0"/>
                <w:color w:val="2B3445"/>
                <w:sz w:val="16"/>
              </w:rPr>
              <w:t>May 12, 2027 update day</w:t>
            </w:r>
          </w:p>
        </w:tc>
      </w:tr>
    </w:tbl>
    <w:p>
      <w:pPr>
        <w:spacing w:after="80"/>
      </w:pPr>
      <w:r>
        <w:rPr>
          <w:rFonts w:ascii="Arial" w:hAnsi="Arial"/>
          <w:b w:val="0"/>
          <w:i w:val="0"/>
          <w:color w:val="2B3445"/>
          <w:sz w:val="20"/>
        </w:rPr>
      </w:r>
    </w:p>
    <w:tbl>
      <w:tblPr>
        <w:tblStyle w:val="TableGrid"/>
        <w:tblW w:type="auto" w:w="0"/>
        <w:jc w:val="center"/>
        <w:tblLayout w:type="fixed"/>
        <w:tblLook w:firstColumn="1" w:firstRow="1" w:lastColumn="0" w:lastRow="0" w:noHBand="0" w:noVBand="1" w:val="04A0"/>
      </w:tblPr>
      <w:tblGrid>
        <w:gridCol w:w="1600"/>
        <w:gridCol w:w="1600"/>
        <w:gridCol w:w="1600"/>
        <w:gridCol w:w="1600"/>
        <w:gridCol w:w="1600"/>
        <w:gridCol w:w="1600"/>
        <w:gridCol w:w="1600"/>
        <w:gridCol w:w="1600"/>
        <w:gridCol w:w="1600"/>
      </w:tblGrid>
      <w:tr>
        <w:trPr>
          <w:tblHeader w:val="true"/>
        </w:trPr>
        <w:tc>
          <w:tcPr>
            <w:tcW w:type="dxa" w:w="2016"/>
            <w:shd w:val="clear" w:color="auto" w:fill="27245E"/>
          </w:tcPr>
          <w:p>
            <w:pPr>
              <w:spacing w:after="0"/>
            </w:pPr>
            <w:r/>
            <w:r>
              <w:rPr>
                <w:rFonts w:ascii="Arial" w:hAnsi="Arial"/>
                <w:b/>
                <w:i w:val="0"/>
                <w:color w:val="FFFFFF"/>
                <w:sz w:val="16"/>
              </w:rPr>
              <w:t>Goal and measure</w:t>
            </w:r>
          </w:p>
        </w:tc>
        <w:tc>
          <w:tcPr>
            <w:tcW w:type="dxa" w:w="1584"/>
            <w:shd w:val="clear" w:color="auto" w:fill="27245E"/>
          </w:tcPr>
          <w:p>
            <w:pPr>
              <w:spacing w:after="0"/>
            </w:pPr>
            <w:r/>
            <w:r>
              <w:rPr>
                <w:rFonts w:ascii="Arial" w:hAnsi="Arial"/>
                <w:b/>
                <w:i w:val="0"/>
                <w:color w:val="FFFFFF"/>
                <w:sz w:val="16"/>
              </w:rPr>
              <w:t>Current state (value, date, source)</w:t>
            </w:r>
          </w:p>
        </w:tc>
        <w:tc>
          <w:tcPr>
            <w:tcW w:type="dxa" w:w="1728"/>
            <w:shd w:val="clear" w:color="auto" w:fill="27245E"/>
          </w:tcPr>
          <w:p>
            <w:pPr>
              <w:spacing w:after="0"/>
            </w:pPr>
            <w:r/>
            <w:r>
              <w:rPr>
                <w:rFonts w:ascii="Arial" w:hAnsi="Arial"/>
                <w:b/>
                <w:i w:val="0"/>
                <w:color w:val="FFFFFF"/>
                <w:sz w:val="16"/>
              </w:rPr>
              <w:t>Target state (value, deadline, assumption)</w:t>
            </w:r>
          </w:p>
        </w:tc>
        <w:tc>
          <w:tcPr>
            <w:tcW w:type="dxa" w:w="1584"/>
            <w:shd w:val="clear" w:color="auto" w:fill="27245E"/>
          </w:tcPr>
          <w:p>
            <w:pPr>
              <w:spacing w:after="0"/>
            </w:pPr>
            <w:r/>
            <w:r>
              <w:rPr>
                <w:rFonts w:ascii="Arial" w:hAnsi="Arial"/>
                <w:b/>
                <w:i w:val="0"/>
                <w:color w:val="FFFFFF"/>
                <w:sz w:val="16"/>
              </w:rPr>
              <w:t>Gap</w:t>
            </w:r>
          </w:p>
        </w:tc>
        <w:tc>
          <w:tcPr>
            <w:tcW w:type="dxa" w:w="1368"/>
            <w:shd w:val="clear" w:color="auto" w:fill="27245E"/>
          </w:tcPr>
          <w:p>
            <w:pPr>
              <w:spacing w:after="0"/>
            </w:pPr>
            <w:r/>
            <w:r>
              <w:rPr>
                <w:rFonts w:ascii="Arial" w:hAnsi="Arial"/>
                <w:b/>
                <w:i w:val="0"/>
                <w:color w:val="FFFFFF"/>
                <w:sz w:val="16"/>
              </w:rPr>
              <w:t>Gap type</w:t>
            </w:r>
          </w:p>
        </w:tc>
        <w:tc>
          <w:tcPr>
            <w:tcW w:type="dxa" w:w="1944"/>
            <w:shd w:val="clear" w:color="auto" w:fill="27245E"/>
          </w:tcPr>
          <w:p>
            <w:pPr>
              <w:spacing w:after="0"/>
            </w:pPr>
            <w:r/>
            <w:r>
              <w:rPr>
                <w:rFonts w:ascii="Arial" w:hAnsi="Arial"/>
                <w:b/>
                <w:i w:val="0"/>
                <w:color w:val="FFFFFF"/>
                <w:sz w:val="16"/>
              </w:rPr>
              <w:t>Root cause</w:t>
            </w:r>
          </w:p>
        </w:tc>
        <w:tc>
          <w:tcPr>
            <w:tcW w:type="dxa" w:w="1872"/>
            <w:shd w:val="clear" w:color="auto" w:fill="27245E"/>
          </w:tcPr>
          <w:p>
            <w:pPr>
              <w:spacing w:after="0"/>
            </w:pPr>
            <w:r/>
            <w:r>
              <w:rPr>
                <w:rFonts w:ascii="Arial" w:hAnsi="Arial"/>
                <w:b/>
                <w:i w:val="0"/>
                <w:color w:val="FFFFFF"/>
                <w:sz w:val="16"/>
              </w:rPr>
              <w:t>Action</w:t>
            </w:r>
          </w:p>
        </w:tc>
        <w:tc>
          <w:tcPr>
            <w:tcW w:type="dxa" w:w="1224"/>
            <w:shd w:val="clear" w:color="auto" w:fill="27245E"/>
          </w:tcPr>
          <w:p>
            <w:pPr>
              <w:spacing w:after="0"/>
            </w:pPr>
            <w:r/>
            <w:r>
              <w:rPr>
                <w:rFonts w:ascii="Arial" w:hAnsi="Arial"/>
                <w:b/>
                <w:i w:val="0"/>
                <w:color w:val="FFFFFF"/>
                <w:sz w:val="16"/>
              </w:rPr>
              <w:t>Owner</w:t>
            </w:r>
          </w:p>
        </w:tc>
        <w:tc>
          <w:tcPr>
            <w:tcW w:type="dxa" w:w="1080"/>
            <w:shd w:val="clear" w:color="auto" w:fill="27245E"/>
          </w:tcPr>
          <w:p>
            <w:pPr>
              <w:spacing w:after="0"/>
            </w:pPr>
            <w:r/>
            <w:r>
              <w:rPr>
                <w:rFonts w:ascii="Arial" w:hAnsi="Arial"/>
                <w:b/>
                <w:i w:val="0"/>
                <w:color w:val="FFFFFF"/>
                <w:sz w:val="16"/>
              </w:rPr>
              <w:t>Due date</w:t>
            </w:r>
          </w:p>
        </w:tc>
      </w:tr>
      <w:tr>
        <w:tc>
          <w:tcPr>
            <w:tcW w:type="dxa" w:w="2016"/>
          </w:tcPr>
          <w:p>
            <w:pPr>
              <w:spacing w:after="0"/>
            </w:pPr>
            <w:r/>
            <w:r>
              <w:rPr>
                <w:rFonts w:ascii="Arial" w:hAnsi="Arial"/>
                <w:b w:val="0"/>
                <w:i w:val="0"/>
                <w:color w:val="2B3445"/>
                <w:sz w:val="16"/>
              </w:rPr>
              <w:t>1.1 Prevent hospital-acquired infections · Central line infections: standardized infection ratio (CLABSI SIR)</w:t>
            </w:r>
          </w:p>
        </w:tc>
        <w:tc>
          <w:tcPr>
            <w:tcW w:type="dxa" w:w="1584"/>
          </w:tcPr>
          <w:p>
            <w:pPr>
              <w:spacing w:after="0"/>
            </w:pPr>
            <w:r/>
            <w:r>
              <w:rPr>
                <w:rFonts w:ascii="Arial" w:hAnsi="Arial"/>
                <w:b w:val="0"/>
                <w:i w:val="0"/>
                <w:color w:val="2B3445"/>
                <w:sz w:val="16"/>
              </w:rPr>
              <w:t>0.88 (Q1 2027, NHSN)</w:t>
            </w:r>
          </w:p>
        </w:tc>
        <w:tc>
          <w:tcPr>
            <w:tcW w:type="dxa" w:w="1728"/>
          </w:tcPr>
          <w:p>
            <w:pPr>
              <w:spacing w:after="0"/>
            </w:pPr>
            <w:r/>
            <w:r>
              <w:rPr>
                <w:rFonts w:ascii="Arial" w:hAnsi="Arial"/>
                <w:b w:val="0"/>
                <w:i w:val="0"/>
                <w:color w:val="2B3445"/>
                <w:sz w:val="16"/>
              </w:rPr>
              <w:t>0.84 by Dec. 31, 2027</w:t>
            </w:r>
          </w:p>
        </w:tc>
        <w:tc>
          <w:tcPr>
            <w:tcW w:type="dxa" w:w="1584"/>
          </w:tcPr>
          <w:p>
            <w:pPr>
              <w:spacing w:after="0"/>
            </w:pPr>
            <w:r/>
            <w:r>
              <w:rPr>
                <w:rFonts w:ascii="Arial" w:hAnsi="Arial"/>
                <w:b w:val="0"/>
                <w:i w:val="0"/>
                <w:color w:val="2B3445"/>
                <w:sz w:val="16"/>
              </w:rPr>
              <w:t>0.04 above target; 0.92 at baseline, so moving the right way, too slowly</w:t>
            </w:r>
          </w:p>
        </w:tc>
        <w:tc>
          <w:tcPr>
            <w:tcW w:type="dxa" w:w="1368"/>
            <w:shd w:val="clear" w:color="auto" w:fill="FDE2DF"/>
          </w:tcPr>
          <w:p>
            <w:pPr>
              <w:spacing w:after="0"/>
            </w:pPr>
            <w:r/>
            <w:r>
              <w:rPr>
                <w:rFonts w:ascii="Arial" w:hAnsi="Arial"/>
                <w:b/>
                <w:i w:val="0"/>
                <w:color w:val="9B2A21"/>
                <w:sz w:val="16"/>
              </w:rPr>
              <w:t>Performance</w:t>
            </w:r>
          </w:p>
        </w:tc>
        <w:tc>
          <w:tcPr>
            <w:tcW w:type="dxa" w:w="1944"/>
          </w:tcPr>
          <w:p>
            <w:pPr>
              <w:spacing w:after="0"/>
            </w:pPr>
            <w:r/>
            <w:r>
              <w:rPr>
                <w:rFonts w:ascii="Arial" w:hAnsi="Arial"/>
                <w:b w:val="0"/>
                <w:i w:val="0"/>
                <w:color w:val="2B3445"/>
                <w:sz w:val="16"/>
              </w:rPr>
              <w:t>Line-maintenance bundle audits cover 6 of 9 units. The other 3 have no check on dressing changes.</w:t>
            </w:r>
          </w:p>
        </w:tc>
        <w:tc>
          <w:tcPr>
            <w:tcW w:type="dxa" w:w="1872"/>
          </w:tcPr>
          <w:p>
            <w:pPr>
              <w:spacing w:after="0"/>
            </w:pPr>
            <w:r/>
            <w:r>
              <w:rPr>
                <w:rFonts w:ascii="Arial" w:hAnsi="Arial"/>
                <w:b w:val="0"/>
                <w:i w:val="0"/>
                <w:color w:val="2B3445"/>
                <w:sz w:val="16"/>
              </w:rPr>
              <w:t>Start bundle audits on the last 3 units.</w:t>
            </w:r>
          </w:p>
        </w:tc>
        <w:tc>
          <w:tcPr>
            <w:tcW w:type="dxa" w:w="1224"/>
          </w:tcPr>
          <w:p>
            <w:pPr>
              <w:spacing w:after="0"/>
            </w:pPr>
            <w:r/>
            <w:r>
              <w:rPr>
                <w:rFonts w:ascii="Arial" w:hAnsi="Arial"/>
                <w:b w:val="0"/>
                <w:i w:val="0"/>
                <w:color w:val="2B3445"/>
                <w:sz w:val="16"/>
              </w:rPr>
              <w:t>Maggie S., Chief Nursing Officer</w:t>
            </w:r>
          </w:p>
        </w:tc>
        <w:tc>
          <w:tcPr>
            <w:tcW w:type="dxa" w:w="1080"/>
          </w:tcPr>
          <w:p>
            <w:pPr>
              <w:spacing w:after="0"/>
            </w:pPr>
            <w:r/>
            <w:r>
              <w:rPr>
                <w:rFonts w:ascii="Arial" w:hAnsi="Arial"/>
                <w:b w:val="0"/>
                <w:i w:val="0"/>
                <w:color w:val="2B3445"/>
                <w:sz w:val="16"/>
              </w:rPr>
              <w:t>May 1, 2027 · next reading July 12</w:t>
            </w:r>
          </w:p>
        </w:tc>
      </w:tr>
      <w:tr>
        <w:tc>
          <w:tcPr>
            <w:tcW w:type="dxa" w:w="2016"/>
          </w:tcPr>
          <w:p>
            <w:pPr>
              <w:spacing w:after="0"/>
            </w:pPr>
            <w:r/>
            <w:r>
              <w:rPr>
                <w:rFonts w:ascii="Arial" w:hAnsi="Arial"/>
                <w:b w:val="0"/>
                <w:i w:val="0"/>
                <w:color w:val="2B3445"/>
                <w:sz w:val="16"/>
              </w:rPr>
              <w:t>4.1 Return to a sustainable margin · Operating margin</w:t>
            </w:r>
          </w:p>
        </w:tc>
        <w:tc>
          <w:tcPr>
            <w:tcW w:type="dxa" w:w="1584"/>
          </w:tcPr>
          <w:p>
            <w:pPr>
              <w:spacing w:after="0"/>
            </w:pPr>
            <w:r/>
            <w:r>
              <w:rPr>
                <w:rFonts w:ascii="Arial" w:hAnsi="Arial"/>
                <w:b w:val="0"/>
                <w:i w:val="0"/>
                <w:color w:val="2B3445"/>
                <w:sz w:val="16"/>
              </w:rPr>
              <w:t>No reading on the April 12 update day (last entry March 10)</w:t>
            </w:r>
          </w:p>
        </w:tc>
        <w:tc>
          <w:tcPr>
            <w:tcW w:type="dxa" w:w="1728"/>
          </w:tcPr>
          <w:p>
            <w:pPr>
              <w:spacing w:after="0"/>
            </w:pPr>
            <w:r/>
            <w:r>
              <w:rPr>
                <w:rFonts w:ascii="Arial" w:hAnsi="Arial"/>
                <w:b w:val="0"/>
                <w:i w:val="0"/>
                <w:color w:val="2B3445"/>
                <w:sz w:val="16"/>
              </w:rPr>
              <w:t>1.2% for 2027</w:t>
            </w:r>
          </w:p>
        </w:tc>
        <w:tc>
          <w:tcPr>
            <w:tcW w:type="dxa" w:w="1584"/>
          </w:tcPr>
          <w:p>
            <w:pPr>
              <w:spacing w:after="0"/>
            </w:pPr>
            <w:r/>
            <w:r>
              <w:rPr>
                <w:rFonts w:ascii="Arial" w:hAnsi="Arial"/>
                <w:b w:val="0"/>
                <w:i w:val="0"/>
                <w:color w:val="2B3445"/>
                <w:sz w:val="16"/>
              </w:rPr>
              <w:t>Unknown: one update day missed</w:t>
            </w:r>
          </w:p>
        </w:tc>
        <w:tc>
          <w:tcPr>
            <w:tcW w:type="dxa" w:w="1368"/>
            <w:shd w:val="clear" w:color="auto" w:fill="FFE6D9"/>
          </w:tcPr>
          <w:p>
            <w:pPr>
              <w:spacing w:after="0"/>
            </w:pPr>
            <w:r/>
            <w:r>
              <w:rPr>
                <w:rFonts w:ascii="Arial" w:hAnsi="Arial"/>
                <w:b/>
                <w:i w:val="0"/>
                <w:color w:val="A8431C"/>
                <w:sz w:val="16"/>
              </w:rPr>
              <w:t>Tracking</w:t>
            </w:r>
          </w:p>
        </w:tc>
        <w:tc>
          <w:tcPr>
            <w:tcW w:type="dxa" w:w="1944"/>
          </w:tcPr>
          <w:p>
            <w:pPr>
              <w:spacing w:after="0"/>
            </w:pPr>
            <w:r/>
            <w:r>
              <w:rPr>
                <w:rFonts w:ascii="Arial" w:hAnsi="Arial"/>
                <w:b w:val="0"/>
                <w:i w:val="0"/>
                <w:color w:val="2B3445"/>
                <w:sz w:val="16"/>
              </w:rPr>
              <w:t>The monthly close now finishes on the 15th. The update day comes before the numbers exist.</w:t>
            </w:r>
          </w:p>
        </w:tc>
        <w:tc>
          <w:tcPr>
            <w:tcW w:type="dxa" w:w="1872"/>
          </w:tcPr>
          <w:p>
            <w:pPr>
              <w:spacing w:after="0"/>
            </w:pPr>
            <w:r/>
            <w:r>
              <w:rPr>
                <w:rFonts w:ascii="Arial" w:hAnsi="Arial"/>
                <w:b w:val="0"/>
                <w:i w:val="0"/>
                <w:color w:val="2B3445"/>
                <w:sz w:val="16"/>
              </w:rPr>
              <w:t>Move the margin's update to the 12th working day, after the close, and confirm the owner in writing.</w:t>
            </w:r>
          </w:p>
        </w:tc>
        <w:tc>
          <w:tcPr>
            <w:tcW w:type="dxa" w:w="1224"/>
          </w:tcPr>
          <w:p>
            <w:pPr>
              <w:spacing w:after="0"/>
            </w:pPr>
            <w:r/>
            <w:r>
              <w:rPr>
                <w:rFonts w:ascii="Arial" w:hAnsi="Arial"/>
                <w:b w:val="0"/>
                <w:i w:val="0"/>
                <w:color w:val="2B3445"/>
                <w:sz w:val="16"/>
              </w:rPr>
              <w:t>Ron T., Chief Financial Officer</w:t>
            </w:r>
          </w:p>
        </w:tc>
        <w:tc>
          <w:tcPr>
            <w:tcW w:type="dxa" w:w="1080"/>
          </w:tcPr>
          <w:p>
            <w:pPr>
              <w:spacing w:after="0"/>
            </w:pPr>
            <w:r/>
            <w:r>
              <w:rPr>
                <w:rFonts w:ascii="Arial" w:hAnsi="Arial"/>
                <w:b w:val="0"/>
                <w:i w:val="0"/>
                <w:color w:val="2B3445"/>
                <w:sz w:val="16"/>
              </w:rPr>
              <w:t>May 18, 2027 (12th working day)</w:t>
            </w:r>
          </w:p>
        </w:tc>
      </w:tr>
      <w:tr>
        <w:tc>
          <w:tcPr>
            <w:tcW w:type="dxa" w:w="2016"/>
          </w:tcPr>
          <w:p>
            <w:pPr>
              <w:spacing w:after="0"/>
            </w:pPr>
            <w:r/>
            <w:r>
              <w:rPr>
                <w:rFonts w:ascii="Arial" w:hAnsi="Arial"/>
                <w:b w:val="0"/>
                <w:i w:val="0"/>
                <w:color w:val="2B3445"/>
                <w:sz w:val="16"/>
              </w:rPr>
              <w:t>3.1 Keep new nurses · First-year RN turnover</w:t>
            </w:r>
          </w:p>
        </w:tc>
        <w:tc>
          <w:tcPr>
            <w:tcW w:type="dxa" w:w="1584"/>
          </w:tcPr>
          <w:p>
            <w:pPr>
              <w:spacing w:after="0"/>
            </w:pPr>
            <w:r/>
            <w:r>
              <w:rPr>
                <w:rFonts w:ascii="Arial" w:hAnsi="Arial"/>
                <w:b w:val="0"/>
                <w:i w:val="0"/>
                <w:color w:val="2B3445"/>
                <w:sz w:val="16"/>
              </w:rPr>
              <w:t>26% (12 months to March 2027, HR report)</w:t>
            </w:r>
          </w:p>
        </w:tc>
        <w:tc>
          <w:tcPr>
            <w:tcW w:type="dxa" w:w="1728"/>
          </w:tcPr>
          <w:p>
            <w:pPr>
              <w:spacing w:after="0"/>
            </w:pPr>
            <w:r/>
            <w:r>
              <w:rPr>
                <w:rFonts w:ascii="Arial" w:hAnsi="Arial"/>
                <w:b w:val="0"/>
                <w:i w:val="0"/>
                <w:color w:val="2B3445"/>
                <w:sz w:val="16"/>
              </w:rPr>
              <w:t>22% by Dec. 31, 2027, set assuming new-graduate pay stayed in line with the region</w:t>
            </w:r>
          </w:p>
        </w:tc>
        <w:tc>
          <w:tcPr>
            <w:tcW w:type="dxa" w:w="1584"/>
          </w:tcPr>
          <w:p>
            <w:pPr>
              <w:spacing w:after="0"/>
            </w:pPr>
            <w:r/>
            <w:r>
              <w:rPr>
                <w:rFonts w:ascii="Arial" w:hAnsi="Arial"/>
                <w:b w:val="0"/>
                <w:i w:val="0"/>
                <w:color w:val="2B3445"/>
                <w:sz w:val="16"/>
              </w:rPr>
              <w:t>4 points above target; up 2 points from the 24% baseline</w:t>
            </w:r>
          </w:p>
        </w:tc>
        <w:tc>
          <w:tcPr>
            <w:tcW w:type="dxa" w:w="1368"/>
            <w:shd w:val="clear" w:color="auto" w:fill="DCEEFA"/>
          </w:tcPr>
          <w:p>
            <w:pPr>
              <w:spacing w:after="0"/>
            </w:pPr>
            <w:r/>
            <w:r>
              <w:rPr>
                <w:rFonts w:ascii="Arial" w:hAnsi="Arial"/>
                <w:b/>
                <w:i w:val="0"/>
                <w:color w:val="155F8F"/>
                <w:sz w:val="16"/>
              </w:rPr>
              <w:t>Definition</w:t>
            </w:r>
          </w:p>
        </w:tc>
        <w:tc>
          <w:tcPr>
            <w:tcW w:type="dxa" w:w="1944"/>
          </w:tcPr>
          <w:p>
            <w:pPr>
              <w:spacing w:after="0"/>
            </w:pPr>
            <w:r/>
            <w:r>
              <w:rPr>
                <w:rFonts w:ascii="Arial" w:hAnsi="Arial"/>
                <w:b w:val="0"/>
                <w:i w:val="0"/>
                <w:color w:val="2B3445"/>
                <w:sz w:val="16"/>
              </w:rPr>
              <w:t>Two nearby health systems raised new-graduate pay in January. Exit surveys now name pay first. The target assumed they wouldn't.</w:t>
            </w:r>
          </w:p>
        </w:tc>
        <w:tc>
          <w:tcPr>
            <w:tcW w:type="dxa" w:w="1872"/>
          </w:tcPr>
          <w:p>
            <w:pPr>
              <w:spacing w:after="0"/>
            </w:pPr>
            <w:r/>
            <w:r>
              <w:rPr>
                <w:rFonts w:ascii="Arial" w:hAnsi="Arial"/>
                <w:b w:val="0"/>
                <w:i w:val="0"/>
                <w:color w:val="2B3445"/>
                <w:sz w:val="16"/>
              </w:rPr>
              <w:t>Re-baseline the 2027 target with the board and price a 12-month retention bonus.</w:t>
            </w:r>
          </w:p>
        </w:tc>
        <w:tc>
          <w:tcPr>
            <w:tcW w:type="dxa" w:w="1224"/>
          </w:tcPr>
          <w:p>
            <w:pPr>
              <w:spacing w:after="0"/>
            </w:pPr>
            <w:r/>
            <w:r>
              <w:rPr>
                <w:rFonts w:ascii="Arial" w:hAnsi="Arial"/>
                <w:b w:val="0"/>
                <w:i w:val="0"/>
                <w:color w:val="2B3445"/>
                <w:sz w:val="16"/>
              </w:rPr>
              <w:t>Maggie S., Chief Nursing Officer</w:t>
            </w:r>
          </w:p>
        </w:tc>
        <w:tc>
          <w:tcPr>
            <w:tcW w:type="dxa" w:w="1080"/>
          </w:tcPr>
          <w:p>
            <w:pPr>
              <w:spacing w:after="0"/>
            </w:pPr>
            <w:r/>
            <w:r>
              <w:rPr>
                <w:rFonts w:ascii="Arial" w:hAnsi="Arial"/>
                <w:b w:val="0"/>
                <w:i w:val="0"/>
                <w:color w:val="2B3445"/>
                <w:sz w:val="16"/>
              </w:rPr>
              <w:t>June 2027 board meeting</w:t>
            </w:r>
          </w:p>
        </w:tc>
      </w:tr>
      <w:tr>
        <w:tc>
          <w:tcPr>
            <w:tcW w:type="dxa" w:w="2016"/>
          </w:tcPr>
          <w:p>
            <w:pPr>
              <w:spacing w:after="0"/>
            </w:pPr>
            <w:r/>
            <w:r>
              <w:rPr>
                <w:rFonts w:ascii="Arial" w:hAnsi="Arial"/>
                <w:b w:val="0"/>
                <w:i w:val="0"/>
                <w:color w:val="2B3445"/>
                <w:sz w:val="16"/>
              </w:rPr>
              <w:t>1.2 Reduce avoidable readmissions · 30-day all-cause readmission rate</w:t>
            </w:r>
          </w:p>
        </w:tc>
        <w:tc>
          <w:tcPr>
            <w:tcW w:type="dxa" w:w="1584"/>
          </w:tcPr>
          <w:p>
            <w:pPr>
              <w:spacing w:after="0"/>
            </w:pPr>
            <w:r/>
            <w:r>
              <w:rPr>
                <w:rFonts w:ascii="Arial" w:hAnsi="Arial"/>
                <w:b w:val="0"/>
                <w:i w:val="0"/>
                <w:color w:val="2B3445"/>
                <w:sz w:val="16"/>
              </w:rPr>
              <w:t>14.9% (Q1 2027, quality dashboard)</w:t>
            </w:r>
          </w:p>
        </w:tc>
        <w:tc>
          <w:tcPr>
            <w:tcW w:type="dxa" w:w="1728"/>
          </w:tcPr>
          <w:p>
            <w:pPr>
              <w:spacing w:after="0"/>
            </w:pPr>
            <w:r/>
            <w:r>
              <w:rPr>
                <w:rFonts w:ascii="Arial" w:hAnsi="Arial"/>
                <w:b w:val="0"/>
                <w:i w:val="0"/>
                <w:color w:val="2B3445"/>
                <w:sz w:val="16"/>
              </w:rPr>
              <w:t>14.3% by Dec. 31, 2027</w:t>
            </w:r>
          </w:p>
        </w:tc>
        <w:tc>
          <w:tcPr>
            <w:tcW w:type="dxa" w:w="1584"/>
          </w:tcPr>
          <w:p>
            <w:pPr>
              <w:spacing w:after="0"/>
            </w:pPr>
            <w:r/>
            <w:r>
              <w:rPr>
                <w:rFonts w:ascii="Arial" w:hAnsi="Arial"/>
                <w:b w:val="0"/>
                <w:i w:val="0"/>
                <w:color w:val="2B3445"/>
                <w:sz w:val="16"/>
              </w:rPr>
              <w:t>0.6 points above target; flat since the 14.8% baseline while follow-up calls reach 9 in 10 patients within 48 hours</w:t>
            </w:r>
          </w:p>
        </w:tc>
        <w:tc>
          <w:tcPr>
            <w:tcW w:type="dxa" w:w="1368"/>
            <w:shd w:val="clear" w:color="auto" w:fill="E4E3F1"/>
          </w:tcPr>
          <w:p>
            <w:pPr>
              <w:spacing w:after="0"/>
            </w:pPr>
            <w:r/>
            <w:r>
              <w:rPr>
                <w:rFonts w:ascii="Arial" w:hAnsi="Arial"/>
                <w:b/>
                <w:i w:val="0"/>
                <w:color w:val="27245E"/>
                <w:sz w:val="16"/>
              </w:rPr>
              <w:t>Strategy</w:t>
            </w:r>
          </w:p>
        </w:tc>
        <w:tc>
          <w:tcPr>
            <w:tcW w:type="dxa" w:w="1944"/>
          </w:tcPr>
          <w:p>
            <w:pPr>
              <w:spacing w:after="0"/>
            </w:pPr>
            <w:r/>
            <w:r>
              <w:rPr>
                <w:rFonts w:ascii="Arial" w:hAnsi="Arial"/>
                <w:b w:val="0"/>
                <w:i w:val="0"/>
                <w:color w:val="2B3445"/>
                <w:sz w:val="16"/>
              </w:rPr>
              <w:t>Most readmitted patients had no primary care visit within 7 days of discharge. The calls reach patients; they don't get them seen.</w:t>
            </w:r>
          </w:p>
        </w:tc>
        <w:tc>
          <w:tcPr>
            <w:tcW w:type="dxa" w:w="1872"/>
          </w:tcPr>
          <w:p>
            <w:pPr>
              <w:spacing w:after="0"/>
            </w:pPr>
            <w:r/>
            <w:r>
              <w:rPr>
                <w:rFonts w:ascii="Arial" w:hAnsi="Arial"/>
                <w:b w:val="0"/>
                <w:i w:val="0"/>
                <w:color w:val="2B3445"/>
                <w:sz w:val="16"/>
              </w:rPr>
              <w:t>Hold the call program at its current size. Test 7-day follow-up visits booked before discharge at one primary care clinic.</w:t>
            </w:r>
          </w:p>
        </w:tc>
        <w:tc>
          <w:tcPr>
            <w:tcW w:type="dxa" w:w="1224"/>
          </w:tcPr>
          <w:p>
            <w:pPr>
              <w:spacing w:after="0"/>
            </w:pPr>
            <w:r/>
            <w:r>
              <w:rPr>
                <w:rFonts w:ascii="Arial" w:hAnsi="Arial"/>
                <w:b w:val="0"/>
                <w:i w:val="0"/>
                <w:color w:val="2B3445"/>
                <w:sz w:val="16"/>
              </w:rPr>
              <w:t>Lance B., Chief Medical Officer</w:t>
            </w:r>
          </w:p>
        </w:tc>
        <w:tc>
          <w:tcPr>
            <w:tcW w:type="dxa" w:w="1080"/>
          </w:tcPr>
          <w:p>
            <w:pPr>
              <w:spacing w:after="0"/>
            </w:pPr>
            <w:r/>
            <w:r>
              <w:rPr>
                <w:rFonts w:ascii="Arial" w:hAnsi="Arial"/>
                <w:b w:val="0"/>
                <w:i w:val="0"/>
                <w:color w:val="2B3445"/>
                <w:sz w:val="16"/>
              </w:rPr>
              <w:t>June 30, 2027 (pilot start)</w:t>
            </w:r>
          </w:p>
        </w:tc>
      </w:tr>
    </w:tbl>
    <w:p>
      <w:pPr>
        <w:keepNext/>
        <w:spacing w:before="200" w:after="80"/>
      </w:pPr>
      <w:r>
        <w:rPr>
          <w:rFonts w:ascii="Arial" w:hAnsi="Arial"/>
          <w:b/>
          <w:color w:val="27245E"/>
          <w:sz w:val="24"/>
        </w:rPr>
        <w:t>Why it's built this way</w:t>
      </w:r>
    </w:p>
    <w:p>
      <w:pPr>
        <w:pStyle w:val="ListBullet"/>
        <w:spacing w:after="20"/>
      </w:pPr>
      <w:r>
        <w:rPr>
          <w:sz w:val="18"/>
        </w:rPr>
        <w:t>The infection row names the units without audits. A root cause you can point to on a floor plan gets fixed faster.</w:t>
      </w:r>
    </w:p>
    <w:p>
      <w:pPr>
        <w:pStyle w:val="ListBullet"/>
        <w:spacing w:after="20"/>
      </w:pPr>
      <w:r>
        <w:rPr>
          <w:sz w:val="18"/>
        </w:rPr>
        <w:t>The margin row is a calendar problem. Nobody failed: the update day came before the close. The fix is a date.</w:t>
      </w:r>
    </w:p>
    <w:p>
      <w:pPr>
        <w:pStyle w:val="ListBullet"/>
        <w:spacing w:after="20"/>
      </w:pPr>
      <w:r>
        <w:rPr>
          <w:sz w:val="18"/>
        </w:rPr>
        <w:t>The readmission row is the strategy gap. The calls happen, and patients still come back. The plan moves the effort from calling patients to seeing them.</w:t>
      </w:r>
    </w:p>
    <w:p>
      <w:r>
        <w:br w:type="page"/>
      </w:r>
    </w:p>
    <w:p>
      <w:pPr>
        <w:keepNext/>
        <w:spacing w:before="200" w:after="80"/>
      </w:pPr>
      <w:r>
        <w:rPr>
          <w:rFonts w:ascii="Arial" w:hAnsi="Arial"/>
          <w:b/>
          <w:color w:val="27245E"/>
          <w:sz w:val="32"/>
        </w:rPr>
        <w:t>Your gap analysis</w:t>
      </w:r>
    </w:p>
    <w:p>
      <w:pPr>
        <w:spacing w:after="80"/>
      </w:pPr>
      <w:r>
        <w:rPr>
          <w:rFonts w:ascii="Arial" w:hAnsi="Arial"/>
          <w:b w:val="0"/>
          <w:i/>
          <w:color w:val="5B6478"/>
          <w:sz w:val="20"/>
        </w:rPr>
        <w:t>Fill the header first, then one grid row per measure. The first grid row shows what to write.</w:t>
      </w:r>
    </w:p>
    <w:tbl>
      <w:tblPr>
        <w:tblStyle w:val="TableGrid"/>
        <w:tblW w:type="auto" w:w="0"/>
        <w:jc w:val="center"/>
        <w:tblLayout w:type="fixed"/>
        <w:tblLook w:firstColumn="1" w:firstRow="1" w:lastColumn="0" w:lastRow="0" w:noHBand="0" w:noVBand="1" w:val="04A0"/>
      </w:tblPr>
      <w:tblGrid>
        <w:gridCol w:w="7200"/>
        <w:gridCol w:w="7200"/>
      </w:tblGrid>
      <w:tr>
        <w:trPr>
          <w:tblHeader w:val="true"/>
        </w:trPr>
        <w:tc>
          <w:tcPr>
            <w:tcW w:type="dxa" w:w="2880"/>
            <w:shd w:val="clear" w:color="auto" w:fill="27245E"/>
          </w:tcPr>
          <w:p>
            <w:pPr>
              <w:spacing w:after="0"/>
            </w:pPr>
            <w:r/>
            <w:r>
              <w:rPr>
                <w:rFonts w:ascii="Arial" w:hAnsi="Arial"/>
                <w:b/>
                <w:i w:val="0"/>
                <w:color w:val="FFFFFF"/>
                <w:sz w:val="16"/>
              </w:rPr>
              <w:t>Field</w:t>
            </w:r>
          </w:p>
        </w:tc>
        <w:tc>
          <w:tcPr>
            <w:tcW w:type="dxa" w:w="11520"/>
            <w:shd w:val="clear" w:color="auto" w:fill="27245E"/>
          </w:tcPr>
          <w:p>
            <w:pPr>
              <w:spacing w:after="0"/>
            </w:pPr>
            <w:r/>
            <w:r>
              <w:rPr>
                <w:rFonts w:ascii="Arial" w:hAnsi="Arial"/>
                <w:b/>
                <w:i w:val="0"/>
                <w:color w:val="FFFFFF"/>
                <w:sz w:val="16"/>
              </w:rPr>
              <w:t>What to write</w:t>
            </w:r>
          </w:p>
        </w:tc>
      </w:tr>
      <w:tr>
        <w:tc>
          <w:tcPr>
            <w:tcW w:type="dxa" w:w="2880"/>
            <w:shd w:val="clear" w:color="auto" w:fill="F4F4F6"/>
          </w:tcPr>
          <w:p>
            <w:pPr>
              <w:spacing w:after="0"/>
            </w:pPr>
            <w:r/>
            <w:r>
              <w:rPr>
                <w:rFonts w:ascii="Arial" w:hAnsi="Arial"/>
                <w:b/>
                <w:i w:val="0"/>
                <w:color w:val="2B3445"/>
                <w:sz w:val="16"/>
              </w:rPr>
              <w:t>Organization and plan</w:t>
            </w:r>
          </w:p>
        </w:tc>
        <w:tc>
          <w:tcPr>
            <w:tcW w:type="dxa" w:w="11520"/>
          </w:tcPr>
          <w:p>
            <w:pPr>
              <w:spacing w:after="0"/>
            </w:pPr>
            <w:r/>
            <w:r>
              <w:rPr>
                <w:rFonts w:ascii="Arial" w:hAnsi="Arial"/>
                <w:b w:val="0"/>
                <w:i w:val="0"/>
                <w:color w:val="2B3445"/>
                <w:sz w:val="16"/>
              </w:rPr>
              <w:t>"[Organization] Strategic Plan FY2027–FY2031", and the goal area or department this analysis covers.</w:t>
            </w:r>
          </w:p>
        </w:tc>
      </w:tr>
      <w:tr>
        <w:tc>
          <w:tcPr>
            <w:tcW w:type="dxa" w:w="2880"/>
            <w:shd w:val="clear" w:color="auto" w:fill="F4F4F6"/>
          </w:tcPr>
          <w:p>
            <w:pPr>
              <w:spacing w:after="0"/>
            </w:pPr>
            <w:r/>
            <w:r>
              <w:rPr>
                <w:rFonts w:ascii="Arial" w:hAnsi="Arial"/>
                <w:b/>
                <w:i w:val="0"/>
                <w:color w:val="2B3445"/>
                <w:sz w:val="16"/>
              </w:rPr>
              <w:t>Analysis date</w:t>
            </w:r>
          </w:p>
        </w:tc>
        <w:tc>
          <w:tcPr>
            <w:tcW w:type="dxa" w:w="11520"/>
          </w:tcPr>
          <w:p>
            <w:pPr>
              <w:spacing w:after="0"/>
            </w:pPr>
            <w:r/>
            <w:r>
              <w:rPr>
                <w:rFonts w:ascii="Arial" w:hAnsi="Arial"/>
                <w:b w:val="0"/>
                <w:i w:val="0"/>
                <w:color w:val="2B3445"/>
                <w:sz w:val="16"/>
              </w:rPr>
              <w:t>The day you pull the readings. Every value in the grid is as of this date.</w:t>
            </w:r>
          </w:p>
        </w:tc>
      </w:tr>
      <w:tr>
        <w:tc>
          <w:tcPr>
            <w:tcW w:type="dxa" w:w="2880"/>
            <w:shd w:val="clear" w:color="auto" w:fill="F4F4F6"/>
          </w:tcPr>
          <w:p>
            <w:pPr>
              <w:spacing w:after="0"/>
            </w:pPr>
            <w:r/>
            <w:r>
              <w:rPr>
                <w:rFonts w:ascii="Arial" w:hAnsi="Arial"/>
                <w:b/>
                <w:i w:val="0"/>
                <w:color w:val="2B3445"/>
                <w:sz w:val="16"/>
              </w:rPr>
              <w:t>Period covered</w:t>
            </w:r>
          </w:p>
        </w:tc>
        <w:tc>
          <w:tcPr>
            <w:tcW w:type="dxa" w:w="11520"/>
          </w:tcPr>
          <w:p>
            <w:pPr>
              <w:spacing w:after="0"/>
            </w:pPr>
            <w:r/>
            <w:r>
              <w:rPr>
                <w:rFonts w:ascii="Arial" w:hAnsi="Arial"/>
                <w:b w:val="0"/>
                <w:i w:val="0"/>
                <w:color w:val="2B3445"/>
                <w:sz w:val="16"/>
              </w:rPr>
              <w:t>The month, quarter or term the readings describe, for example Q1 FY2027.</w:t>
            </w:r>
          </w:p>
        </w:tc>
      </w:tr>
      <w:tr>
        <w:tc>
          <w:tcPr>
            <w:tcW w:type="dxa" w:w="2880"/>
            <w:shd w:val="clear" w:color="auto" w:fill="F4F4F6"/>
          </w:tcPr>
          <w:p>
            <w:pPr>
              <w:spacing w:after="0"/>
            </w:pPr>
            <w:r/>
            <w:r>
              <w:rPr>
                <w:rFonts w:ascii="Arial" w:hAnsi="Arial"/>
                <w:b/>
                <w:i w:val="0"/>
                <w:color w:val="2B3445"/>
                <w:sz w:val="16"/>
              </w:rPr>
              <w:t>Data sources</w:t>
            </w:r>
          </w:p>
        </w:tc>
        <w:tc>
          <w:tcPr>
            <w:tcW w:type="dxa" w:w="11520"/>
          </w:tcPr>
          <w:p>
            <w:pPr>
              <w:spacing w:after="0"/>
            </w:pPr>
            <w:r/>
            <w:r>
              <w:rPr>
                <w:rFonts w:ascii="Arial" w:hAnsi="Arial"/>
                <w:b w:val="0"/>
                <w:i w:val="0"/>
                <w:color w:val="2B3445"/>
                <w:sz w:val="16"/>
              </w:rPr>
              <w:t>Where each reading comes from: the system, the report, and who exports it.</w:t>
            </w:r>
          </w:p>
        </w:tc>
      </w:tr>
      <w:tr>
        <w:tc>
          <w:tcPr>
            <w:tcW w:type="dxa" w:w="2880"/>
            <w:shd w:val="clear" w:color="auto" w:fill="F4F4F6"/>
          </w:tcPr>
          <w:p>
            <w:pPr>
              <w:spacing w:after="0"/>
            </w:pPr>
            <w:r/>
            <w:r>
              <w:rPr>
                <w:rFonts w:ascii="Arial" w:hAnsi="Arial"/>
                <w:b/>
                <w:i w:val="0"/>
                <w:color w:val="2B3445"/>
                <w:sz w:val="16"/>
              </w:rPr>
              <w:t>Prepared by</w:t>
            </w:r>
          </w:p>
        </w:tc>
        <w:tc>
          <w:tcPr>
            <w:tcW w:type="dxa" w:w="11520"/>
          </w:tcPr>
          <w:p>
            <w:pPr>
              <w:spacing w:after="0"/>
            </w:pPr>
            <w:r/>
            <w:r>
              <w:rPr>
                <w:rFonts w:ascii="Arial" w:hAnsi="Arial"/>
                <w:b w:val="0"/>
                <w:i w:val="0"/>
                <w:color w:val="2B3445"/>
                <w:sz w:val="16"/>
              </w:rPr>
              <w:t>One name: the person who fills the grid and checks the sources.</w:t>
            </w:r>
          </w:p>
        </w:tc>
      </w:tr>
      <w:tr>
        <w:tc>
          <w:tcPr>
            <w:tcW w:type="dxa" w:w="2880"/>
            <w:shd w:val="clear" w:color="auto" w:fill="F4F4F6"/>
          </w:tcPr>
          <w:p>
            <w:pPr>
              <w:spacing w:after="0"/>
            </w:pPr>
            <w:r/>
            <w:r>
              <w:rPr>
                <w:rFonts w:ascii="Arial" w:hAnsi="Arial"/>
                <w:b/>
                <w:i w:val="0"/>
                <w:color w:val="2B3445"/>
                <w:sz w:val="16"/>
              </w:rPr>
              <w:t>Reviewed at</w:t>
            </w:r>
          </w:p>
        </w:tc>
        <w:tc>
          <w:tcPr>
            <w:tcW w:type="dxa" w:w="11520"/>
          </w:tcPr>
          <w:p>
            <w:pPr>
              <w:spacing w:after="0"/>
            </w:pPr>
            <w:r/>
            <w:r>
              <w:rPr>
                <w:rFonts w:ascii="Arial" w:hAnsi="Arial"/>
                <w:b w:val="0"/>
                <w:i w:val="0"/>
                <w:color w:val="2B3445"/>
                <w:sz w:val="16"/>
              </w:rPr>
              <w:t>The meeting that reviews the grid, with its date.</w:t>
            </w:r>
          </w:p>
        </w:tc>
      </w:tr>
      <w:tr>
        <w:tc>
          <w:tcPr>
            <w:tcW w:type="dxa" w:w="2880"/>
            <w:shd w:val="clear" w:color="auto" w:fill="F4F4F6"/>
          </w:tcPr>
          <w:p>
            <w:pPr>
              <w:spacing w:after="0"/>
            </w:pPr>
            <w:r/>
            <w:r>
              <w:rPr>
                <w:rFonts w:ascii="Arial" w:hAnsi="Arial"/>
                <w:b/>
                <w:i w:val="0"/>
                <w:color w:val="2B3445"/>
                <w:sz w:val="16"/>
              </w:rPr>
              <w:t>Gap rule</w:t>
            </w:r>
          </w:p>
        </w:tc>
        <w:tc>
          <w:tcPr>
            <w:tcW w:type="dxa" w:w="11520"/>
          </w:tcPr>
          <w:p>
            <w:pPr>
              <w:spacing w:after="0"/>
            </w:pPr>
            <w:r/>
            <w:r>
              <w:rPr>
                <w:rFonts w:ascii="Arial" w:hAnsi="Arial"/>
                <w:b w:val="0"/>
                <w:i w:val="0"/>
                <w:color w:val="2B3445"/>
                <w:sz w:val="16"/>
              </w:rPr>
              <w:t>When a difference counts as a gap. For example: the latest reading misses the target line for the period, or no reading arrives on the update day.</w:t>
            </w:r>
          </w:p>
        </w:tc>
      </w:tr>
      <w:tr>
        <w:tc>
          <w:tcPr>
            <w:tcW w:type="dxa" w:w="2880"/>
            <w:shd w:val="clear" w:color="auto" w:fill="F4F4F6"/>
          </w:tcPr>
          <w:p>
            <w:pPr>
              <w:spacing w:after="0"/>
            </w:pPr>
            <w:r/>
            <w:r>
              <w:rPr>
                <w:rFonts w:ascii="Arial" w:hAnsi="Arial"/>
                <w:b/>
                <w:i w:val="0"/>
                <w:color w:val="2B3445"/>
                <w:sz w:val="16"/>
              </w:rPr>
              <w:t>Next review</w:t>
            </w:r>
          </w:p>
        </w:tc>
        <w:tc>
          <w:tcPr>
            <w:tcW w:type="dxa" w:w="11520"/>
          </w:tcPr>
          <w:p>
            <w:pPr>
              <w:spacing w:after="0"/>
            </w:pPr>
            <w:r/>
            <w:r>
              <w:rPr>
                <w:rFonts w:ascii="Arial" w:hAnsi="Arial"/>
                <w:b w:val="0"/>
                <w:i w:val="0"/>
                <w:color w:val="2B3445"/>
                <w:sz w:val="16"/>
              </w:rPr>
              <w:t>The date of the next reading, usually the next monthly update day.</w:t>
            </w:r>
          </w:p>
        </w:tc>
      </w:tr>
    </w:tbl>
    <w:p>
      <w:pPr>
        <w:spacing w:after="80"/>
      </w:pPr>
      <w:r>
        <w:rPr>
          <w:rFonts w:ascii="Arial" w:hAnsi="Arial"/>
          <w:b w:val="0"/>
          <w:i w:val="0"/>
          <w:color w:val="2B3445"/>
          <w:sz w:val="20"/>
        </w:rPr>
      </w:r>
    </w:p>
    <w:tbl>
      <w:tblPr>
        <w:tblStyle w:val="TableGrid"/>
        <w:tblW w:type="auto" w:w="0"/>
        <w:jc w:val="center"/>
        <w:tblLayout w:type="fixed"/>
        <w:tblLook w:firstColumn="1" w:firstRow="1" w:lastColumn="0" w:lastRow="0" w:noHBand="0" w:noVBand="1" w:val="04A0"/>
      </w:tblPr>
      <w:tblGrid>
        <w:gridCol w:w="1600"/>
        <w:gridCol w:w="1600"/>
        <w:gridCol w:w="1600"/>
        <w:gridCol w:w="1600"/>
        <w:gridCol w:w="1600"/>
        <w:gridCol w:w="1600"/>
        <w:gridCol w:w="1600"/>
        <w:gridCol w:w="1600"/>
        <w:gridCol w:w="1600"/>
      </w:tblGrid>
      <w:tr>
        <w:trPr>
          <w:tblHeader w:val="true"/>
        </w:trPr>
        <w:tc>
          <w:tcPr>
            <w:tcW w:type="dxa" w:w="2016"/>
            <w:shd w:val="clear" w:color="auto" w:fill="27245E"/>
          </w:tcPr>
          <w:p>
            <w:pPr>
              <w:spacing w:after="0"/>
            </w:pPr>
            <w:r/>
            <w:r>
              <w:rPr>
                <w:rFonts w:ascii="Arial" w:hAnsi="Arial"/>
                <w:b/>
                <w:i w:val="0"/>
                <w:color w:val="FFFFFF"/>
                <w:sz w:val="16"/>
              </w:rPr>
              <w:t>Goal and measure</w:t>
            </w:r>
          </w:p>
        </w:tc>
        <w:tc>
          <w:tcPr>
            <w:tcW w:type="dxa" w:w="1584"/>
            <w:shd w:val="clear" w:color="auto" w:fill="27245E"/>
          </w:tcPr>
          <w:p>
            <w:pPr>
              <w:spacing w:after="0"/>
            </w:pPr>
            <w:r/>
            <w:r>
              <w:rPr>
                <w:rFonts w:ascii="Arial" w:hAnsi="Arial"/>
                <w:b/>
                <w:i w:val="0"/>
                <w:color w:val="FFFFFF"/>
                <w:sz w:val="16"/>
              </w:rPr>
              <w:t>Current state (value, date, source)</w:t>
            </w:r>
          </w:p>
        </w:tc>
        <w:tc>
          <w:tcPr>
            <w:tcW w:type="dxa" w:w="1728"/>
            <w:shd w:val="clear" w:color="auto" w:fill="27245E"/>
          </w:tcPr>
          <w:p>
            <w:pPr>
              <w:spacing w:after="0"/>
            </w:pPr>
            <w:r/>
            <w:r>
              <w:rPr>
                <w:rFonts w:ascii="Arial" w:hAnsi="Arial"/>
                <w:b/>
                <w:i w:val="0"/>
                <w:color w:val="FFFFFF"/>
                <w:sz w:val="16"/>
              </w:rPr>
              <w:t>Target state (value, deadline, assumption)</w:t>
            </w:r>
          </w:p>
        </w:tc>
        <w:tc>
          <w:tcPr>
            <w:tcW w:type="dxa" w:w="1584"/>
            <w:shd w:val="clear" w:color="auto" w:fill="27245E"/>
          </w:tcPr>
          <w:p>
            <w:pPr>
              <w:spacing w:after="0"/>
            </w:pPr>
            <w:r/>
            <w:r>
              <w:rPr>
                <w:rFonts w:ascii="Arial" w:hAnsi="Arial"/>
                <w:b/>
                <w:i w:val="0"/>
                <w:color w:val="FFFFFF"/>
                <w:sz w:val="16"/>
              </w:rPr>
              <w:t>Gap</w:t>
            </w:r>
          </w:p>
        </w:tc>
        <w:tc>
          <w:tcPr>
            <w:tcW w:type="dxa" w:w="1368"/>
            <w:shd w:val="clear" w:color="auto" w:fill="27245E"/>
          </w:tcPr>
          <w:p>
            <w:pPr>
              <w:spacing w:after="0"/>
            </w:pPr>
            <w:r/>
            <w:r>
              <w:rPr>
                <w:rFonts w:ascii="Arial" w:hAnsi="Arial"/>
                <w:b/>
                <w:i w:val="0"/>
                <w:color w:val="FFFFFF"/>
                <w:sz w:val="16"/>
              </w:rPr>
              <w:t>Gap type</w:t>
            </w:r>
          </w:p>
        </w:tc>
        <w:tc>
          <w:tcPr>
            <w:tcW w:type="dxa" w:w="1944"/>
            <w:shd w:val="clear" w:color="auto" w:fill="27245E"/>
          </w:tcPr>
          <w:p>
            <w:pPr>
              <w:spacing w:after="0"/>
            </w:pPr>
            <w:r/>
            <w:r>
              <w:rPr>
                <w:rFonts w:ascii="Arial" w:hAnsi="Arial"/>
                <w:b/>
                <w:i w:val="0"/>
                <w:color w:val="FFFFFF"/>
                <w:sz w:val="16"/>
              </w:rPr>
              <w:t>Root cause</w:t>
            </w:r>
          </w:p>
        </w:tc>
        <w:tc>
          <w:tcPr>
            <w:tcW w:type="dxa" w:w="1872"/>
            <w:shd w:val="clear" w:color="auto" w:fill="27245E"/>
          </w:tcPr>
          <w:p>
            <w:pPr>
              <w:spacing w:after="0"/>
            </w:pPr>
            <w:r/>
            <w:r>
              <w:rPr>
                <w:rFonts w:ascii="Arial" w:hAnsi="Arial"/>
                <w:b/>
                <w:i w:val="0"/>
                <w:color w:val="FFFFFF"/>
                <w:sz w:val="16"/>
              </w:rPr>
              <w:t>Action</w:t>
            </w:r>
          </w:p>
        </w:tc>
        <w:tc>
          <w:tcPr>
            <w:tcW w:type="dxa" w:w="1224"/>
            <w:shd w:val="clear" w:color="auto" w:fill="27245E"/>
          </w:tcPr>
          <w:p>
            <w:pPr>
              <w:spacing w:after="0"/>
            </w:pPr>
            <w:r/>
            <w:r>
              <w:rPr>
                <w:rFonts w:ascii="Arial" w:hAnsi="Arial"/>
                <w:b/>
                <w:i w:val="0"/>
                <w:color w:val="FFFFFF"/>
                <w:sz w:val="16"/>
              </w:rPr>
              <w:t>Owner</w:t>
            </w:r>
          </w:p>
        </w:tc>
        <w:tc>
          <w:tcPr>
            <w:tcW w:type="dxa" w:w="1080"/>
            <w:shd w:val="clear" w:color="auto" w:fill="27245E"/>
          </w:tcPr>
          <w:p>
            <w:pPr>
              <w:spacing w:after="0"/>
            </w:pPr>
            <w:r/>
            <w:r>
              <w:rPr>
                <w:rFonts w:ascii="Arial" w:hAnsi="Arial"/>
                <w:b/>
                <w:i w:val="0"/>
                <w:color w:val="FFFFFF"/>
                <w:sz w:val="16"/>
              </w:rPr>
              <w:t>Due date</w:t>
            </w:r>
          </w:p>
        </w:tc>
      </w:tr>
      <w:tr>
        <w:tc>
          <w:tcPr>
            <w:tcW w:type="dxa" w:w="2016"/>
          </w:tcPr>
          <w:p>
            <w:pPr>
              <w:spacing w:after="0"/>
            </w:pPr>
            <w:r/>
            <w:r>
              <w:rPr>
                <w:rFonts w:ascii="Arial" w:hAnsi="Arial"/>
                <w:b w:val="0"/>
                <w:i/>
                <w:color w:val="5B6478"/>
                <w:sz w:val="16"/>
              </w:rPr>
              <w:t>[Goal number and name] · [the one measure that shows progress]</w:t>
            </w:r>
          </w:p>
        </w:tc>
        <w:tc>
          <w:tcPr>
            <w:tcW w:type="dxa" w:w="1584"/>
          </w:tcPr>
          <w:p>
            <w:pPr>
              <w:spacing w:after="0"/>
            </w:pPr>
            <w:r/>
            <w:r>
              <w:rPr>
                <w:rFonts w:ascii="Arial" w:hAnsi="Arial"/>
                <w:b w:val="0"/>
                <w:i/>
                <w:color w:val="5B6478"/>
                <w:sz w:val="16"/>
              </w:rPr>
              <w:t>[Value] ([date of the reading], [source])</w:t>
            </w:r>
          </w:p>
        </w:tc>
        <w:tc>
          <w:tcPr>
            <w:tcW w:type="dxa" w:w="1728"/>
          </w:tcPr>
          <w:p>
            <w:pPr>
              <w:spacing w:after="0"/>
            </w:pPr>
            <w:r/>
            <w:r>
              <w:rPr>
                <w:rFonts w:ascii="Arial" w:hAnsi="Arial"/>
                <w:b w:val="0"/>
                <w:i/>
                <w:color w:val="5B6478"/>
                <w:sz w:val="16"/>
              </w:rPr>
              <w:t>[Value] by [deadline], assuming [the assumption behind the target]</w:t>
            </w:r>
          </w:p>
        </w:tc>
        <w:tc>
          <w:tcPr>
            <w:tcW w:type="dxa" w:w="1584"/>
          </w:tcPr>
          <w:p>
            <w:pPr>
              <w:spacing w:after="0"/>
            </w:pPr>
            <w:r/>
            <w:r>
              <w:rPr>
                <w:rFonts w:ascii="Arial" w:hAnsi="Arial"/>
                <w:b w:val="0"/>
                <w:i/>
                <w:color w:val="5B6478"/>
                <w:sz w:val="16"/>
              </w:rPr>
              <w:t>[Difference and direction], [trend over the last three readings]</w:t>
            </w:r>
          </w:p>
        </w:tc>
        <w:tc>
          <w:tcPr>
            <w:tcW w:type="dxa" w:w="1368"/>
          </w:tcPr>
          <w:p>
            <w:pPr>
              <w:spacing w:after="0"/>
            </w:pPr>
            <w:r/>
            <w:r>
              <w:rPr>
                <w:rFonts w:ascii="Arial" w:hAnsi="Arial"/>
                <w:b w:val="0"/>
                <w:i/>
                <w:color w:val="5B6478"/>
                <w:sz w:val="16"/>
              </w:rPr>
              <w:t>[Performance / Tracking / Definition / Strategy]</w:t>
            </w:r>
          </w:p>
        </w:tc>
        <w:tc>
          <w:tcPr>
            <w:tcW w:type="dxa" w:w="1944"/>
          </w:tcPr>
          <w:p>
            <w:pPr>
              <w:spacing w:after="0"/>
            </w:pPr>
            <w:r/>
            <w:r>
              <w:rPr>
                <w:rFonts w:ascii="Arial" w:hAnsi="Arial"/>
                <w:b w:val="0"/>
                <w:i/>
                <w:color w:val="5B6478"/>
                <w:sz w:val="16"/>
              </w:rPr>
              <w:t>[What the fifth 'why' points to]</w:t>
            </w:r>
          </w:p>
        </w:tc>
        <w:tc>
          <w:tcPr>
            <w:tcW w:type="dxa" w:w="1872"/>
          </w:tcPr>
          <w:p>
            <w:pPr>
              <w:spacing w:after="0"/>
            </w:pPr>
            <w:r/>
            <w:r>
              <w:rPr>
                <w:rFonts w:ascii="Arial" w:hAnsi="Arial"/>
                <w:b w:val="0"/>
                <w:i/>
                <w:color w:val="5B6478"/>
                <w:sz w:val="16"/>
              </w:rPr>
              <w:t>[One action that removes the root cause]</w:t>
            </w:r>
          </w:p>
        </w:tc>
        <w:tc>
          <w:tcPr>
            <w:tcW w:type="dxa" w:w="1224"/>
          </w:tcPr>
          <w:p>
            <w:pPr>
              <w:spacing w:after="0"/>
            </w:pPr>
            <w:r/>
            <w:r>
              <w:rPr>
                <w:rFonts w:ascii="Arial" w:hAnsi="Arial"/>
                <w:b w:val="0"/>
                <w:i/>
                <w:color w:val="5B6478"/>
                <w:sz w:val="16"/>
              </w:rPr>
              <w:t>[Name, title]</w:t>
            </w:r>
          </w:p>
        </w:tc>
        <w:tc>
          <w:tcPr>
            <w:tcW w:type="dxa" w:w="1080"/>
          </w:tcPr>
          <w:p>
            <w:pPr>
              <w:spacing w:after="0"/>
            </w:pPr>
            <w:r/>
            <w:r>
              <w:rPr>
                <w:rFonts w:ascii="Arial" w:hAnsi="Arial"/>
                <w:b w:val="0"/>
                <w:i/>
                <w:color w:val="5B6478"/>
                <w:sz w:val="16"/>
              </w:rPr>
              <w:t>[Date the action is done] · next reading [date]</w:t>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bl>
    <w:p>
      <w:pPr>
        <w:spacing w:after="80"/>
      </w:pPr>
      <w:r>
        <w:rPr>
          <w:rFonts w:ascii="Arial" w:hAnsi="Arial"/>
          <w:b w:val="0"/>
          <w:i w:val="0"/>
          <w:color w:val="2B3445"/>
          <w:sz w:val="20"/>
        </w:rPr>
      </w:r>
    </w:p>
    <w:p>
      <w:pPr>
        <w:spacing w:after="80"/>
      </w:pPr>
      <w:r>
        <w:rPr>
          <w:rFonts w:ascii="Arial" w:hAnsi="Arial"/>
          <w:b/>
          <w:i w:val="0"/>
          <w:color w:val="27245E"/>
          <w:sz w:val="20"/>
        </w:rPr>
        <w:t>See how ClearPoint keeps every gap, owner and due date current: www.clearpointstrategy.com/get-a-demo</w:t>
      </w:r>
    </w:p>
    <w:sectPr w:rsidR="00FC693F" w:rsidRPr="0006063C" w:rsidSect="00034616">
      <w:footerReference w:type="default" r:id="rId9"/>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color w:val="5B6478"/>
        <w:sz w:val="16"/>
      </w:rPr>
      <w:t>ClearPoint Strategy · Free Gap Analysis Template · https://www.clearpointstrategy.com/blog/gap-analysis-template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Free Gap Analysis Template — Hospital example</dc:title>
  <dc:subject/>
  <dc:creator>ClearPoint Strategy</dc:creator>
  <cp:keywords/>
  <dc:description>generated by python-docx</dc:description>
  <cp:lastModifiedBy>ClearPoint Strategy</cp:lastModifiedBy>
  <cp:revision>1</cp:revision>
  <dcterms:created xsi:type="dcterms:W3CDTF">2013-12-23T23:15:00Z</dcterms:created>
  <dcterms:modified xsi:type="dcterms:W3CDTF">2013-12-23T23:15:00Z</dcterms:modified>
  <cp:category/>
</cp:coreProperties>
</file>