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color w:val="27245E"/>
          <w:sz w:val="40"/>
        </w:rPr>
        <w:t>Free Gap Analysis Template — City example</w:t>
      </w:r>
    </w:p>
    <w:p>
      <w:pPr>
        <w:spacing w:after="80"/>
      </w:pPr>
      <w:r>
        <w:rPr>
          <w:rFonts w:ascii="Arial" w:hAnsi="Arial"/>
          <w:b w:val="0"/>
          <w:i/>
          <w:color w:val="5B6478"/>
          <w:sz w:val="20"/>
        </w:rPr>
        <w:t>Built from 20,000+ strategic plans analyzed (2017–2024).</w:t>
      </w:r>
    </w:p>
    <w:p>
      <w:pPr>
        <w:keepNext/>
        <w:spacing w:before="200" w:after="80"/>
      </w:pPr>
      <w:r>
        <w:rPr>
          <w:rFonts w:ascii="Arial" w:hAnsi="Arial"/>
          <w:b/>
          <w:color w:val="27245E"/>
          <w:sz w:val="28"/>
        </w:rPr>
        <w:t>How to use this gap analysis template in 7 steps</w:t>
      </w:r>
    </w:p>
    <w:p>
      <w:pPr>
        <w:spacing w:after="80"/>
      </w:pPr>
      <w:r>
        <w:rPr>
          <w:rFonts w:ascii="Arial" w:hAnsi="Arial"/>
          <w:b w:val="0"/>
          <w:i w:val="0"/>
          <w:color w:val="2B3445"/>
          <w:sz w:val="20"/>
        </w:rPr>
        <w:t>Fill the header first, then one grid row per measure. Pull the current reading with its date and source, write the target with its deadline and assumption, and measure the gap. Name the gap type, run five whys once, then write one action with one named owner and a due date. Review the grid on a fixed day.</w:t>
      </w:r>
    </w:p>
    <w:p>
      <w:pPr>
        <w:spacing w:after="60"/>
      </w:pPr>
      <w:r>
        <w:rPr>
          <w:b/>
          <w:color w:val="27245E"/>
        </w:rPr>
        <w:t xml:space="preserve">1. Pick one goal and one measure per row. </w:t>
      </w:r>
      <w:r>
        <w:t>Use a measure someone updates at least monthly, owned by a person who controls its inputs. If nobody can say what would move it by 10%, it's a placeholder, not a measure.</w:t>
      </w:r>
    </w:p>
    <w:p>
      <w:pPr>
        <w:spacing w:after="60"/>
      </w:pPr>
      <w:r>
        <w:rPr>
          <w:b/>
          <w:color w:val="27245E"/>
        </w:rPr>
        <w:t xml:space="preserve">2. Write the current state with its date and source. </w:t>
      </w:r>
      <w:r>
        <w:t>For example: 7.5 minutes, September 2026, CAD export pulled October 3. A number without a date starts arguments, not decisions.</w:t>
      </w:r>
    </w:p>
    <w:p>
      <w:pPr>
        <w:spacing w:after="60"/>
      </w:pPr>
      <w:r>
        <w:rPr>
          <w:b/>
          <w:color w:val="27245E"/>
        </w:rPr>
        <w:t xml:space="preserve">3. Write the target state with its deadline and assumption. </w:t>
      </w:r>
      <w:r>
        <w:t>“7.2 minutes by June 30, 2027, assuming all patrol positions are filled” tells you what to check first when the gap opens.</w:t>
      </w:r>
    </w:p>
    <w:p>
      <w:pPr>
        <w:spacing w:after="60"/>
      </w:pPr>
      <w:r>
        <w:rPr>
          <w:b/>
          <w:color w:val="27245E"/>
        </w:rPr>
        <w:t xml:space="preserve">4. Measure the gap and name its type. </w:t>
      </w:r>
      <w:r>
        <w:t>Write the difference and its direction over the last three readings. Then pick one of the four gap types: performance, tracking, definition or strategy.</w:t>
      </w:r>
    </w:p>
    <w:p>
      <w:pPr>
        <w:spacing w:after="60"/>
      </w:pPr>
      <w:r>
        <w:rPr>
          <w:b/>
          <w:color w:val="27245E"/>
        </w:rPr>
        <w:t xml:space="preserve">5. Run five whys once. </w:t>
      </w:r>
      <w:r>
        <w:t>Ask why the gap exists, then why again, until you reach something your organization can change this year. That answer goes in the root cause column.</w:t>
      </w:r>
    </w:p>
    <w:p>
      <w:pPr>
        <w:spacing w:after="60"/>
      </w:pPr>
      <w:r>
        <w:rPr>
          <w:b/>
          <w:color w:val="27245E"/>
        </w:rPr>
        <w:t xml:space="preserve">6. Write one action, one owner and one due date. </w:t>
      </w:r>
      <w:r>
        <w:t>Name a person, with a title, who controls the inputs. In ClearPoint plan data, initiatives with a named owner are completed 2.5× as often (21.5% vs 8.7%).</w:t>
      </w:r>
    </w:p>
    <w:p>
      <w:pPr>
        <w:spacing w:after="60"/>
      </w:pPr>
      <w:r>
        <w:rPr>
          <w:b/>
          <w:color w:val="27245E"/>
        </w:rPr>
        <w:t xml:space="preserve">7. Review the grid on a fixed day. </w:t>
      </w:r>
      <w:r>
        <w:t>Re-read every row on the monthly update day. Close a row when the reading meets its target line. Re-baseline a target when its assumption breaks, and write down why.</w:t>
      </w:r>
    </w:p>
    <w:p>
      <w:pPr>
        <w:keepNext/>
        <w:spacing w:before="200" w:after="80"/>
      </w:pPr>
      <w:r>
        <w:rPr>
          <w:rFonts w:ascii="Arial" w:hAnsi="Arial"/>
          <w:b/>
          <w:color w:val="27245E"/>
          <w:sz w:val="28"/>
        </w:rPr>
        <w:t>The four types of gap</w:t>
      </w:r>
    </w:p>
    <w:tbl>
      <w:tblPr>
        <w:tblStyle w:val="TableGrid"/>
        <w:tblW w:type="auto" w:w="0"/>
        <w:jc w:val="center"/>
        <w:tblLayout w:type="fixed"/>
        <w:tblLook w:firstColumn="1" w:firstRow="1" w:lastColumn="0" w:lastRow="0" w:noHBand="0" w:noVBand="1" w:val="04A0"/>
      </w:tblPr>
      <w:tblGrid>
        <w:gridCol w:w="2880"/>
        <w:gridCol w:w="2880"/>
        <w:gridCol w:w="2880"/>
        <w:gridCol w:w="2880"/>
        <w:gridCol w:w="2880"/>
      </w:tblGrid>
      <w:tr>
        <w:trPr>
          <w:tblHeader w:val="true"/>
        </w:trPr>
        <w:tc>
          <w:tcPr>
            <w:tcW w:type="dxa" w:w="1872"/>
            <w:shd w:val="clear" w:color="auto" w:fill="27245E"/>
          </w:tcPr>
          <w:p>
            <w:pPr>
              <w:spacing w:after="0"/>
            </w:pPr>
            <w:r/>
            <w:r>
              <w:rPr>
                <w:rFonts w:ascii="Arial" w:hAnsi="Arial"/>
                <w:b/>
                <w:i w:val="0"/>
                <w:color w:val="FFFFFF"/>
                <w:sz w:val="16"/>
              </w:rPr>
              <w:t>Gap type</w:t>
            </w:r>
          </w:p>
        </w:tc>
        <w:tc>
          <w:tcPr>
            <w:tcW w:type="dxa" w:w="3312"/>
            <w:shd w:val="clear" w:color="auto" w:fill="27245E"/>
          </w:tcPr>
          <w:p>
            <w:pPr>
              <w:spacing w:after="0"/>
            </w:pPr>
            <w:r/>
            <w:r>
              <w:rPr>
                <w:rFonts w:ascii="Arial" w:hAnsi="Arial"/>
                <w:b/>
                <w:i w:val="0"/>
                <w:color w:val="FFFFFF"/>
                <w:sz w:val="16"/>
              </w:rPr>
              <w:t>What you see</w:t>
            </w:r>
          </w:p>
        </w:tc>
        <w:tc>
          <w:tcPr>
            <w:tcW w:type="dxa" w:w="3024"/>
            <w:shd w:val="clear" w:color="auto" w:fill="27245E"/>
          </w:tcPr>
          <w:p>
            <w:pPr>
              <w:spacing w:after="0"/>
            </w:pPr>
            <w:r/>
            <w:r>
              <w:rPr>
                <w:rFonts w:ascii="Arial" w:hAnsi="Arial"/>
                <w:b/>
                <w:i w:val="0"/>
                <w:color w:val="FFFFFF"/>
                <w:sz w:val="16"/>
              </w:rPr>
              <w:t>What it usually means</w:t>
            </w:r>
          </w:p>
        </w:tc>
        <w:tc>
          <w:tcPr>
            <w:tcW w:type="dxa" w:w="3600"/>
            <w:shd w:val="clear" w:color="auto" w:fill="27245E"/>
          </w:tcPr>
          <w:p>
            <w:pPr>
              <w:spacing w:after="0"/>
            </w:pPr>
            <w:r/>
            <w:r>
              <w:rPr>
                <w:rFonts w:ascii="Arial" w:hAnsi="Arial"/>
                <w:b/>
                <w:i w:val="0"/>
                <w:color w:val="FFFFFF"/>
                <w:sz w:val="16"/>
              </w:rPr>
              <w:t>First fix</w:t>
            </w:r>
          </w:p>
        </w:tc>
        <w:tc>
          <w:tcPr>
            <w:tcW w:type="dxa" w:w="2592"/>
            <w:shd w:val="clear" w:color="auto" w:fill="27245E"/>
          </w:tcPr>
          <w:p>
            <w:pPr>
              <w:spacing w:after="0"/>
            </w:pPr>
            <w:r/>
            <w:r>
              <w:rPr>
                <w:rFonts w:ascii="Arial" w:hAnsi="Arial"/>
                <w:b/>
                <w:i w:val="0"/>
                <w:color w:val="FFFFFF"/>
                <w:sz w:val="16"/>
              </w:rPr>
              <w:t>In the examples</w:t>
            </w:r>
          </w:p>
        </w:tc>
      </w:tr>
      <w:tr>
        <w:tc>
          <w:tcPr>
            <w:tcW w:type="dxa" w:w="1872"/>
            <w:shd w:val="clear" w:color="auto" w:fill="FDE2DF"/>
          </w:tcPr>
          <w:p>
            <w:pPr>
              <w:spacing w:after="0"/>
            </w:pPr>
            <w:r/>
            <w:r>
              <w:rPr>
                <w:rFonts w:ascii="Arial" w:hAnsi="Arial"/>
                <w:b/>
                <w:i w:val="0"/>
                <w:color w:val="9B2A21"/>
                <w:sz w:val="16"/>
              </w:rPr>
              <w:t>Performance</w:t>
            </w:r>
          </w:p>
        </w:tc>
        <w:tc>
          <w:tcPr>
            <w:tcW w:type="dxa" w:w="3312"/>
          </w:tcPr>
          <w:p>
            <w:pPr>
              <w:spacing w:after="0"/>
            </w:pPr>
            <w:r/>
            <w:r>
              <w:rPr>
                <w:rFonts w:ascii="Arial" w:hAnsi="Arial"/>
                <w:b w:val="0"/>
                <w:i w:val="0"/>
                <w:color w:val="2B3445"/>
                <w:sz w:val="16"/>
              </w:rPr>
              <w:t>A fresh reading, worse than the target line.</w:t>
            </w:r>
          </w:p>
        </w:tc>
        <w:tc>
          <w:tcPr>
            <w:tcW w:type="dxa" w:w="3024"/>
          </w:tcPr>
          <w:p>
            <w:pPr>
              <w:spacing w:after="0"/>
            </w:pPr>
            <w:r/>
            <w:r>
              <w:rPr>
                <w:rFonts w:ascii="Arial" w:hAnsi="Arial"/>
                <w:b w:val="0"/>
                <w:i w:val="0"/>
                <w:color w:val="2B3445"/>
                <w:sz w:val="16"/>
              </w:rPr>
              <w:t>The work isn't producing the result.</w:t>
            </w:r>
          </w:p>
        </w:tc>
        <w:tc>
          <w:tcPr>
            <w:tcW w:type="dxa" w:w="3600"/>
          </w:tcPr>
          <w:p>
            <w:pPr>
              <w:spacing w:after="0"/>
            </w:pPr>
            <w:r/>
            <w:r>
              <w:rPr>
                <w:rFonts w:ascii="Arial" w:hAnsi="Arial"/>
                <w:b w:val="0"/>
                <w:i w:val="0"/>
                <w:color w:val="2B3445"/>
                <w:sz w:val="16"/>
              </w:rPr>
              <w:t>Change or add one action. Check in within 90 days.</w:t>
            </w:r>
          </w:p>
        </w:tc>
        <w:tc>
          <w:tcPr>
            <w:tcW w:type="dxa" w:w="2592"/>
          </w:tcPr>
          <w:p>
            <w:pPr>
              <w:spacing w:after="0"/>
            </w:pPr>
            <w:r/>
            <w:r>
              <w:rPr>
                <w:rFonts w:ascii="Arial" w:hAnsi="Arial"/>
                <w:b w:val="0"/>
                <w:i w:val="0"/>
                <w:color w:val="2B3445"/>
                <w:sz w:val="16"/>
              </w:rPr>
              <w:t>City 2.1 · Hospital 1.1 · University 1.1</w:t>
            </w:r>
          </w:p>
        </w:tc>
      </w:tr>
      <w:tr>
        <w:tc>
          <w:tcPr>
            <w:tcW w:type="dxa" w:w="1872"/>
            <w:shd w:val="clear" w:color="auto" w:fill="FFE6D9"/>
          </w:tcPr>
          <w:p>
            <w:pPr>
              <w:spacing w:after="0"/>
            </w:pPr>
            <w:r/>
            <w:r>
              <w:rPr>
                <w:rFonts w:ascii="Arial" w:hAnsi="Arial"/>
                <w:b/>
                <w:i w:val="0"/>
                <w:color w:val="A8431C"/>
                <w:sz w:val="16"/>
              </w:rPr>
              <w:t>Tracking</w:t>
            </w:r>
          </w:p>
        </w:tc>
        <w:tc>
          <w:tcPr>
            <w:tcW w:type="dxa" w:w="3312"/>
          </w:tcPr>
          <w:p>
            <w:pPr>
              <w:spacing w:after="0"/>
            </w:pPr>
            <w:r/>
            <w:r>
              <w:rPr>
                <w:rFonts w:ascii="Arial" w:hAnsi="Arial"/>
                <w:b w:val="0"/>
                <w:i w:val="0"/>
                <w:color w:val="2B3445"/>
                <w:sz w:val="16"/>
              </w:rPr>
              <w:t>No reading on the update day, or the same value for months.</w:t>
            </w:r>
          </w:p>
        </w:tc>
        <w:tc>
          <w:tcPr>
            <w:tcW w:type="dxa" w:w="3024"/>
          </w:tcPr>
          <w:p>
            <w:pPr>
              <w:spacing w:after="0"/>
            </w:pPr>
            <w:r/>
            <w:r>
              <w:rPr>
                <w:rFonts w:ascii="Arial" w:hAnsi="Arial"/>
                <w:b w:val="0"/>
                <w:i w:val="0"/>
                <w:color w:val="2B3445"/>
                <w:sz w:val="16"/>
              </w:rPr>
              <w:t>Nobody owns the reading.</w:t>
            </w:r>
          </w:p>
        </w:tc>
        <w:tc>
          <w:tcPr>
            <w:tcW w:type="dxa" w:w="3600"/>
          </w:tcPr>
          <w:p>
            <w:pPr>
              <w:spacing w:after="0"/>
            </w:pPr>
            <w:r/>
            <w:r>
              <w:rPr>
                <w:rFonts w:ascii="Arial" w:hAnsi="Arial"/>
                <w:b w:val="0"/>
                <w:i w:val="0"/>
                <w:color w:val="2B3445"/>
                <w:sz w:val="16"/>
              </w:rPr>
              <w:t>Name an owner for the data before you add any work.</w:t>
            </w:r>
          </w:p>
        </w:tc>
        <w:tc>
          <w:tcPr>
            <w:tcW w:type="dxa" w:w="2592"/>
          </w:tcPr>
          <w:p>
            <w:pPr>
              <w:spacing w:after="0"/>
            </w:pPr>
            <w:r/>
            <w:r>
              <w:rPr>
                <w:rFonts w:ascii="Arial" w:hAnsi="Arial"/>
                <w:b w:val="0"/>
                <w:i w:val="0"/>
                <w:color w:val="2B3445"/>
                <w:sz w:val="16"/>
              </w:rPr>
              <w:t>City 4.2 · Hospital 4.1 · University 4.1</w:t>
            </w:r>
          </w:p>
        </w:tc>
      </w:tr>
      <w:tr>
        <w:tc>
          <w:tcPr>
            <w:tcW w:type="dxa" w:w="1872"/>
            <w:shd w:val="clear" w:color="auto" w:fill="DCEEFA"/>
          </w:tcPr>
          <w:p>
            <w:pPr>
              <w:spacing w:after="0"/>
            </w:pPr>
            <w:r/>
            <w:r>
              <w:rPr>
                <w:rFonts w:ascii="Arial" w:hAnsi="Arial"/>
                <w:b/>
                <w:i w:val="0"/>
                <w:color w:val="155F8F"/>
                <w:sz w:val="16"/>
              </w:rPr>
              <w:t>Definition</w:t>
            </w:r>
          </w:p>
        </w:tc>
        <w:tc>
          <w:tcPr>
            <w:tcW w:type="dxa" w:w="3312"/>
          </w:tcPr>
          <w:p>
            <w:pPr>
              <w:spacing w:after="0"/>
            </w:pPr>
            <w:r/>
            <w:r>
              <w:rPr>
                <w:rFonts w:ascii="Arial" w:hAnsi="Arial"/>
                <w:b w:val="0"/>
                <w:i w:val="0"/>
                <w:color w:val="2B3445"/>
                <w:sz w:val="16"/>
              </w:rPr>
              <w:t>The measure moved, but the target no longer makes sense.</w:t>
            </w:r>
          </w:p>
        </w:tc>
        <w:tc>
          <w:tcPr>
            <w:tcW w:type="dxa" w:w="3024"/>
          </w:tcPr>
          <w:p>
            <w:pPr>
              <w:spacing w:after="0"/>
            </w:pPr>
            <w:r/>
            <w:r>
              <w:rPr>
                <w:rFonts w:ascii="Arial" w:hAnsi="Arial"/>
                <w:b w:val="0"/>
                <w:i w:val="0"/>
                <w:color w:val="2B3445"/>
                <w:sz w:val="16"/>
              </w:rPr>
              <w:t>An assumption behind the target broke.</w:t>
            </w:r>
          </w:p>
        </w:tc>
        <w:tc>
          <w:tcPr>
            <w:tcW w:type="dxa" w:w="3600"/>
          </w:tcPr>
          <w:p>
            <w:pPr>
              <w:spacing w:after="0"/>
            </w:pPr>
            <w:r/>
            <w:r>
              <w:rPr>
                <w:rFonts w:ascii="Arial" w:hAnsi="Arial"/>
                <w:b w:val="0"/>
                <w:i w:val="0"/>
                <w:color w:val="2B3445"/>
                <w:sz w:val="16"/>
              </w:rPr>
              <w:t>Re-baseline the target and write down which assumption changed.</w:t>
            </w:r>
          </w:p>
        </w:tc>
        <w:tc>
          <w:tcPr>
            <w:tcW w:type="dxa" w:w="2592"/>
          </w:tcPr>
          <w:p>
            <w:pPr>
              <w:spacing w:after="0"/>
            </w:pPr>
            <w:r/>
            <w:r>
              <w:rPr>
                <w:rFonts w:ascii="Arial" w:hAnsi="Arial"/>
                <w:b w:val="0"/>
                <w:i w:val="0"/>
                <w:color w:val="2B3445"/>
                <w:sz w:val="16"/>
              </w:rPr>
              <w:t>City 3.1 · Hospital 3.1 · University 2.2</w:t>
            </w:r>
          </w:p>
        </w:tc>
      </w:tr>
      <w:tr>
        <w:tc>
          <w:tcPr>
            <w:tcW w:type="dxa" w:w="1872"/>
            <w:shd w:val="clear" w:color="auto" w:fill="E4E3F1"/>
          </w:tcPr>
          <w:p>
            <w:pPr>
              <w:spacing w:after="0"/>
            </w:pPr>
            <w:r/>
            <w:r>
              <w:rPr>
                <w:rFonts w:ascii="Arial" w:hAnsi="Arial"/>
                <w:b/>
                <w:i w:val="0"/>
                <w:color w:val="27245E"/>
                <w:sz w:val="16"/>
              </w:rPr>
              <w:t>Strategy</w:t>
            </w:r>
          </w:p>
        </w:tc>
        <w:tc>
          <w:tcPr>
            <w:tcW w:type="dxa" w:w="3312"/>
          </w:tcPr>
          <w:p>
            <w:pPr>
              <w:spacing w:after="0"/>
            </w:pPr>
            <w:r/>
            <w:r>
              <w:rPr>
                <w:rFonts w:ascii="Arial" w:hAnsi="Arial"/>
                <w:b w:val="0"/>
                <w:i w:val="0"/>
                <w:color w:val="2B3445"/>
                <w:sz w:val="16"/>
              </w:rPr>
              <w:t>Projects finish on time, and the measure still misses.</w:t>
            </w:r>
          </w:p>
        </w:tc>
        <w:tc>
          <w:tcPr>
            <w:tcW w:type="dxa" w:w="3024"/>
          </w:tcPr>
          <w:p>
            <w:pPr>
              <w:spacing w:after="0"/>
            </w:pPr>
            <w:r/>
            <w:r>
              <w:rPr>
                <w:rFonts w:ascii="Arial" w:hAnsi="Arial"/>
                <w:b w:val="0"/>
                <w:i w:val="0"/>
                <w:color w:val="2B3445"/>
                <w:sz w:val="16"/>
              </w:rPr>
              <w:t>The plan is working on the wrong cause.</w:t>
            </w:r>
          </w:p>
        </w:tc>
        <w:tc>
          <w:tcPr>
            <w:tcW w:type="dxa" w:w="3600"/>
          </w:tcPr>
          <w:p>
            <w:pPr>
              <w:spacing w:after="0"/>
            </w:pPr>
            <w:r/>
            <w:r>
              <w:rPr>
                <w:rFonts w:ascii="Arial" w:hAnsi="Arial"/>
                <w:b w:val="0"/>
                <w:i w:val="0"/>
                <w:color w:val="2B3445"/>
                <w:sz w:val="16"/>
              </w:rPr>
              <w:t>Pause the projects. Run a strategy review on that goal.</w:t>
            </w:r>
          </w:p>
        </w:tc>
        <w:tc>
          <w:tcPr>
            <w:tcW w:type="dxa" w:w="2592"/>
          </w:tcPr>
          <w:p>
            <w:pPr>
              <w:spacing w:after="0"/>
            </w:pPr>
            <w:r/>
            <w:r>
              <w:rPr>
                <w:rFonts w:ascii="Arial" w:hAnsi="Arial"/>
                <w:b w:val="0"/>
                <w:i w:val="0"/>
                <w:color w:val="2B3445"/>
                <w:sz w:val="16"/>
              </w:rPr>
              <w:t>City 1.1 · Hospital 1.2 · University 1.2</w:t>
            </w:r>
          </w:p>
        </w:tc>
      </w:tr>
    </w:tbl>
    <w:p>
      <w:r>
        <w:br w:type="page"/>
      </w:r>
    </w:p>
    <w:p>
      <w:pPr>
        <w:keepNext/>
        <w:spacing w:before="200" w:after="80"/>
      </w:pPr>
      <w:r>
        <w:rPr>
          <w:rFonts w:ascii="Arial" w:hAnsi="Arial"/>
          <w:b/>
          <w:color w:val="27245E"/>
          <w:sz w:val="32"/>
        </w:rPr>
        <w:t>Example 1: gap analysis for a city of 38,000 residents</w:t>
      </w:r>
    </w:p>
    <w:p>
      <w:pPr>
        <w:spacing w:after="80"/>
      </w:pPr>
      <w:r>
        <w:rPr>
          <w:rFonts w:ascii="Arial" w:hAnsi="Arial"/>
          <w:b w:val="0"/>
          <w:i w:val="0"/>
          <w:color w:val="2B3445"/>
          <w:sz w:val="20"/>
        </w:rPr>
        <w:t>This is the template filled in for the council-manager city of our 5-year strategic plan template, one quarter into its plan. Four measures show four different gaps: performance, tracking, definition and strategy. The analysis is dated October 10, 2026, covers the first quarter of FY2027, and goes to the November council work session.</w:t>
      </w:r>
    </w:p>
    <w:p>
      <w:pPr>
        <w:spacing w:after="80"/>
      </w:pPr>
      <w:r>
        <w:rPr>
          <w:rFonts w:ascii="Arial" w:hAnsi="Arial"/>
          <w:b w:val="0"/>
          <w:i/>
          <w:color w:val="5B6478"/>
          <w:sz w:val="20"/>
        </w:rPr>
        <w:t>Illustrative example. Owner names are ClearPoint demo personas.</w:t>
      </w:r>
    </w:p>
    <w:tbl>
      <w:tblPr>
        <w:tblStyle w:val="TableGrid"/>
        <w:tblW w:type="auto" w:w="0"/>
        <w:jc w:val="center"/>
        <w:tblLayout w:type="fixed"/>
        <w:tblLook w:firstColumn="1" w:firstRow="1" w:lastColumn="0" w:lastRow="0" w:noHBand="0" w:noVBand="1" w:val="04A0"/>
      </w:tblPr>
      <w:tblGrid>
        <w:gridCol w:w="7200"/>
        <w:gridCol w:w="7200"/>
      </w:tblGrid>
      <w:tr>
        <w:trPr>
          <w:tblHeader w:val="true"/>
        </w:trPr>
        <w:tc>
          <w:tcPr>
            <w:tcW w:type="dxa" w:w="2880"/>
            <w:shd w:val="clear" w:color="auto" w:fill="27245E"/>
          </w:tcPr>
          <w:p>
            <w:pPr>
              <w:spacing w:after="0"/>
            </w:pPr>
            <w:r/>
            <w:r>
              <w:rPr>
                <w:rFonts w:ascii="Arial" w:hAnsi="Arial"/>
                <w:b/>
                <w:i w:val="0"/>
                <w:color w:val="FFFFFF"/>
                <w:sz w:val="16"/>
              </w:rPr>
              <w:t>Field</w:t>
            </w:r>
          </w:p>
        </w:tc>
        <w:tc>
          <w:tcPr>
            <w:tcW w:type="dxa" w:w="11520"/>
            <w:shd w:val="clear" w:color="auto" w:fill="27245E"/>
          </w:tcPr>
          <w:p>
            <w:pPr>
              <w:spacing w:after="0"/>
            </w:pPr>
            <w:r/>
            <w:r>
              <w:rPr>
                <w:rFonts w:ascii="Arial" w:hAnsi="Arial"/>
                <w:b/>
                <w:i w:val="0"/>
                <w:color w:val="FFFFFF"/>
                <w:sz w:val="16"/>
              </w:rPr>
              <w:t>City example</w:t>
            </w:r>
          </w:p>
        </w:tc>
      </w:tr>
      <w:tr>
        <w:tc>
          <w:tcPr>
            <w:tcW w:type="dxa" w:w="2880"/>
            <w:shd w:val="clear" w:color="auto" w:fill="F4F4F6"/>
          </w:tcPr>
          <w:p>
            <w:pPr>
              <w:spacing w:after="0"/>
            </w:pPr>
            <w:r/>
            <w:r>
              <w:rPr>
                <w:rFonts w:ascii="Arial" w:hAnsi="Arial"/>
                <w:b/>
                <w:i w:val="0"/>
                <w:color w:val="2B3445"/>
                <w:sz w:val="16"/>
              </w:rPr>
              <w:t>Organization and plan</w:t>
            </w:r>
          </w:p>
        </w:tc>
        <w:tc>
          <w:tcPr>
            <w:tcW w:type="dxa" w:w="11520"/>
          </w:tcPr>
          <w:p>
            <w:pPr>
              <w:spacing w:after="0"/>
            </w:pPr>
            <w:r/>
            <w:r>
              <w:rPr>
                <w:rFonts w:ascii="Arial" w:hAnsi="Arial"/>
                <w:b w:val="0"/>
                <w:i w:val="0"/>
                <w:color w:val="2B3445"/>
                <w:sz w:val="16"/>
              </w:rPr>
              <w:t>City strategic plan FY2027–FY2031, council-manager city of about 38,000 residents. All four goals.</w:t>
            </w:r>
          </w:p>
        </w:tc>
      </w:tr>
      <w:tr>
        <w:tc>
          <w:tcPr>
            <w:tcW w:type="dxa" w:w="2880"/>
            <w:shd w:val="clear" w:color="auto" w:fill="F4F4F6"/>
          </w:tcPr>
          <w:p>
            <w:pPr>
              <w:spacing w:after="0"/>
            </w:pPr>
            <w:r/>
            <w:r>
              <w:rPr>
                <w:rFonts w:ascii="Arial" w:hAnsi="Arial"/>
                <w:b/>
                <w:i w:val="0"/>
                <w:color w:val="2B3445"/>
                <w:sz w:val="16"/>
              </w:rPr>
              <w:t>Analysis date</w:t>
            </w:r>
          </w:p>
        </w:tc>
        <w:tc>
          <w:tcPr>
            <w:tcW w:type="dxa" w:w="11520"/>
          </w:tcPr>
          <w:p>
            <w:pPr>
              <w:spacing w:after="0"/>
            </w:pPr>
            <w:r/>
            <w:r>
              <w:rPr>
                <w:rFonts w:ascii="Arial" w:hAnsi="Arial"/>
                <w:b w:val="0"/>
                <w:i w:val="0"/>
                <w:color w:val="2B3445"/>
                <w:sz w:val="16"/>
              </w:rPr>
              <w:t>October 10, 2026 (the monthly update day)</w:t>
            </w:r>
          </w:p>
        </w:tc>
      </w:tr>
      <w:tr>
        <w:tc>
          <w:tcPr>
            <w:tcW w:type="dxa" w:w="2880"/>
            <w:shd w:val="clear" w:color="auto" w:fill="F4F4F6"/>
          </w:tcPr>
          <w:p>
            <w:pPr>
              <w:spacing w:after="0"/>
            </w:pPr>
            <w:r/>
            <w:r>
              <w:rPr>
                <w:rFonts w:ascii="Arial" w:hAnsi="Arial"/>
                <w:b/>
                <w:i w:val="0"/>
                <w:color w:val="2B3445"/>
                <w:sz w:val="16"/>
              </w:rPr>
              <w:t>Period covered</w:t>
            </w:r>
          </w:p>
        </w:tc>
        <w:tc>
          <w:tcPr>
            <w:tcW w:type="dxa" w:w="11520"/>
          </w:tcPr>
          <w:p>
            <w:pPr>
              <w:spacing w:after="0"/>
            </w:pPr>
            <w:r/>
            <w:r>
              <w:rPr>
                <w:rFonts w:ascii="Arial" w:hAnsi="Arial"/>
                <w:b w:val="0"/>
                <w:i w:val="0"/>
                <w:color w:val="2B3445"/>
                <w:sz w:val="16"/>
              </w:rPr>
              <w:t>Q1 FY2027: July to September 2026</w:t>
            </w:r>
          </w:p>
        </w:tc>
      </w:tr>
      <w:tr>
        <w:tc>
          <w:tcPr>
            <w:tcW w:type="dxa" w:w="2880"/>
            <w:shd w:val="clear" w:color="auto" w:fill="F4F4F6"/>
          </w:tcPr>
          <w:p>
            <w:pPr>
              <w:spacing w:after="0"/>
            </w:pPr>
            <w:r/>
            <w:r>
              <w:rPr>
                <w:rFonts w:ascii="Arial" w:hAnsi="Arial"/>
                <w:b/>
                <w:i w:val="0"/>
                <w:color w:val="2B3445"/>
                <w:sz w:val="16"/>
              </w:rPr>
              <w:t>Data sources</w:t>
            </w:r>
          </w:p>
        </w:tc>
        <w:tc>
          <w:tcPr>
            <w:tcW w:type="dxa" w:w="11520"/>
          </w:tcPr>
          <w:p>
            <w:pPr>
              <w:spacing w:after="0"/>
            </w:pPr>
            <w:r/>
            <w:r>
              <w:rPr>
                <w:rFonts w:ascii="Arial" w:hAnsi="Arial"/>
                <w:b w:val="0"/>
                <w:i w:val="0"/>
                <w:color w:val="2B3445"/>
                <w:sz w:val="16"/>
              </w:rPr>
              <w:t>Police CAD export · work-order system · downtown storefront walk survey · 2026 pavement condition survey</w:t>
            </w:r>
          </w:p>
        </w:tc>
      </w:tr>
      <w:tr>
        <w:tc>
          <w:tcPr>
            <w:tcW w:type="dxa" w:w="2880"/>
            <w:shd w:val="clear" w:color="auto" w:fill="F4F4F6"/>
          </w:tcPr>
          <w:p>
            <w:pPr>
              <w:spacing w:after="0"/>
            </w:pPr>
            <w:r/>
            <w:r>
              <w:rPr>
                <w:rFonts w:ascii="Arial" w:hAnsi="Arial"/>
                <w:b/>
                <w:i w:val="0"/>
                <w:color w:val="2B3445"/>
                <w:sz w:val="16"/>
              </w:rPr>
              <w:t>Prepared by</w:t>
            </w:r>
          </w:p>
        </w:tc>
        <w:tc>
          <w:tcPr>
            <w:tcW w:type="dxa" w:w="11520"/>
          </w:tcPr>
          <w:p>
            <w:pPr>
              <w:spacing w:after="0"/>
            </w:pPr>
            <w:r/>
            <w:r>
              <w:rPr>
                <w:rFonts w:ascii="Arial" w:hAnsi="Arial"/>
                <w:b w:val="0"/>
                <w:i w:val="0"/>
                <w:color w:val="2B3445"/>
                <w:sz w:val="16"/>
              </w:rPr>
              <w:t>Clarice W., City Manager</w:t>
            </w:r>
          </w:p>
        </w:tc>
      </w:tr>
      <w:tr>
        <w:tc>
          <w:tcPr>
            <w:tcW w:type="dxa" w:w="2880"/>
            <w:shd w:val="clear" w:color="auto" w:fill="F4F4F6"/>
          </w:tcPr>
          <w:p>
            <w:pPr>
              <w:spacing w:after="0"/>
            </w:pPr>
            <w:r/>
            <w:r>
              <w:rPr>
                <w:rFonts w:ascii="Arial" w:hAnsi="Arial"/>
                <w:b/>
                <w:i w:val="0"/>
                <w:color w:val="2B3445"/>
                <w:sz w:val="16"/>
              </w:rPr>
              <w:t>Reviewed at</w:t>
            </w:r>
          </w:p>
        </w:tc>
        <w:tc>
          <w:tcPr>
            <w:tcW w:type="dxa" w:w="11520"/>
          </w:tcPr>
          <w:p>
            <w:pPr>
              <w:spacing w:after="0"/>
            </w:pPr>
            <w:r/>
            <w:r>
              <w:rPr>
                <w:rFonts w:ascii="Arial" w:hAnsi="Arial"/>
                <w:b w:val="0"/>
                <w:i w:val="0"/>
                <w:color w:val="2B3445"/>
                <w:sz w:val="16"/>
              </w:rPr>
              <w:t>Council work session, November 18, 2026</w:t>
            </w:r>
          </w:p>
        </w:tc>
      </w:tr>
      <w:tr>
        <w:tc>
          <w:tcPr>
            <w:tcW w:type="dxa" w:w="2880"/>
            <w:shd w:val="clear" w:color="auto" w:fill="F4F4F6"/>
          </w:tcPr>
          <w:p>
            <w:pPr>
              <w:spacing w:after="0"/>
            </w:pPr>
            <w:r/>
            <w:r>
              <w:rPr>
                <w:rFonts w:ascii="Arial" w:hAnsi="Arial"/>
                <w:b/>
                <w:i w:val="0"/>
                <w:color w:val="2B3445"/>
                <w:sz w:val="16"/>
              </w:rPr>
              <w:t>Gap rule</w:t>
            </w:r>
          </w:p>
        </w:tc>
        <w:tc>
          <w:tcPr>
            <w:tcW w:type="dxa" w:w="11520"/>
          </w:tcPr>
          <w:p>
            <w:pPr>
              <w:spacing w:after="0"/>
            </w:pPr>
            <w:r/>
            <w:r>
              <w:rPr>
                <w:rFonts w:ascii="Arial" w:hAnsi="Arial"/>
                <w:b w:val="0"/>
                <w:i w:val="0"/>
                <w:color w:val="2B3445"/>
                <w:sz w:val="16"/>
              </w:rPr>
              <w:t>A row is a gap when the latest reading misses the target line for the period, or when no reading arrives on the update day.</w:t>
            </w:r>
          </w:p>
        </w:tc>
      </w:tr>
      <w:tr>
        <w:tc>
          <w:tcPr>
            <w:tcW w:type="dxa" w:w="2880"/>
            <w:shd w:val="clear" w:color="auto" w:fill="F4F4F6"/>
          </w:tcPr>
          <w:p>
            <w:pPr>
              <w:spacing w:after="0"/>
            </w:pPr>
            <w:r/>
            <w:r>
              <w:rPr>
                <w:rFonts w:ascii="Arial" w:hAnsi="Arial"/>
                <w:b/>
                <w:i w:val="0"/>
                <w:color w:val="2B3445"/>
                <w:sz w:val="16"/>
              </w:rPr>
              <w:t>Next review</w:t>
            </w:r>
          </w:p>
        </w:tc>
        <w:tc>
          <w:tcPr>
            <w:tcW w:type="dxa" w:w="11520"/>
          </w:tcPr>
          <w:p>
            <w:pPr>
              <w:spacing w:after="0"/>
            </w:pPr>
            <w:r/>
            <w:r>
              <w:rPr>
                <w:rFonts w:ascii="Arial" w:hAnsi="Arial"/>
                <w:b w:val="0"/>
                <w:i w:val="0"/>
                <w:color w:val="2B3445"/>
                <w:sz w:val="16"/>
              </w:rPr>
              <w:t>November 10, 2026 update day</w:t>
            </w:r>
          </w:p>
        </w:tc>
      </w:tr>
    </w:tbl>
    <w:p>
      <w:pPr>
        <w:spacing w:after="80"/>
      </w:pPr>
      <w:r>
        <w:rPr>
          <w:rFonts w:ascii="Arial" w:hAnsi="Arial"/>
          <w:b w:val="0"/>
          <w:i w:val="0"/>
          <w:color w:val="2B3445"/>
          <w:sz w:val="20"/>
        </w:rPr>
      </w:r>
    </w:p>
    <w:tbl>
      <w:tblPr>
        <w:tblStyle w:val="TableGrid"/>
        <w:tblW w:type="auto" w:w="0"/>
        <w:jc w:val="center"/>
        <w:tblLayout w:type="fixed"/>
        <w:tblLook w:firstColumn="1" w:firstRow="1" w:lastColumn="0" w:lastRow="0" w:noHBand="0" w:noVBand="1" w:val="04A0"/>
      </w:tblPr>
      <w:tblGrid>
        <w:gridCol w:w="1600"/>
        <w:gridCol w:w="1600"/>
        <w:gridCol w:w="1600"/>
        <w:gridCol w:w="1600"/>
        <w:gridCol w:w="1600"/>
        <w:gridCol w:w="1600"/>
        <w:gridCol w:w="1600"/>
        <w:gridCol w:w="1600"/>
        <w:gridCol w:w="1600"/>
      </w:tblGrid>
      <w:tr>
        <w:trPr>
          <w:tblHeader w:val="true"/>
        </w:trPr>
        <w:tc>
          <w:tcPr>
            <w:tcW w:type="dxa" w:w="2016"/>
            <w:shd w:val="clear" w:color="auto" w:fill="27245E"/>
          </w:tcPr>
          <w:p>
            <w:pPr>
              <w:spacing w:after="0"/>
            </w:pPr>
            <w:r/>
            <w:r>
              <w:rPr>
                <w:rFonts w:ascii="Arial" w:hAnsi="Arial"/>
                <w:b/>
                <w:i w:val="0"/>
                <w:color w:val="FFFFFF"/>
                <w:sz w:val="16"/>
              </w:rPr>
              <w:t>Goal and measure</w:t>
            </w:r>
          </w:p>
        </w:tc>
        <w:tc>
          <w:tcPr>
            <w:tcW w:type="dxa" w:w="1584"/>
            <w:shd w:val="clear" w:color="auto" w:fill="27245E"/>
          </w:tcPr>
          <w:p>
            <w:pPr>
              <w:spacing w:after="0"/>
            </w:pPr>
            <w:r/>
            <w:r>
              <w:rPr>
                <w:rFonts w:ascii="Arial" w:hAnsi="Arial"/>
                <w:b/>
                <w:i w:val="0"/>
                <w:color w:val="FFFFFF"/>
                <w:sz w:val="16"/>
              </w:rPr>
              <w:t>Current state (value, date, source)</w:t>
            </w:r>
          </w:p>
        </w:tc>
        <w:tc>
          <w:tcPr>
            <w:tcW w:type="dxa" w:w="1728"/>
            <w:shd w:val="clear" w:color="auto" w:fill="27245E"/>
          </w:tcPr>
          <w:p>
            <w:pPr>
              <w:spacing w:after="0"/>
            </w:pPr>
            <w:r/>
            <w:r>
              <w:rPr>
                <w:rFonts w:ascii="Arial" w:hAnsi="Arial"/>
                <w:b/>
                <w:i w:val="0"/>
                <w:color w:val="FFFFFF"/>
                <w:sz w:val="16"/>
              </w:rPr>
              <w:t>Target state (value, deadline, assumption)</w:t>
            </w:r>
          </w:p>
        </w:tc>
        <w:tc>
          <w:tcPr>
            <w:tcW w:type="dxa" w:w="1584"/>
            <w:shd w:val="clear" w:color="auto" w:fill="27245E"/>
          </w:tcPr>
          <w:p>
            <w:pPr>
              <w:spacing w:after="0"/>
            </w:pPr>
            <w:r/>
            <w:r>
              <w:rPr>
                <w:rFonts w:ascii="Arial" w:hAnsi="Arial"/>
                <w:b/>
                <w:i w:val="0"/>
                <w:color w:val="FFFFFF"/>
                <w:sz w:val="16"/>
              </w:rPr>
              <w:t>Gap</w:t>
            </w:r>
          </w:p>
        </w:tc>
        <w:tc>
          <w:tcPr>
            <w:tcW w:type="dxa" w:w="1368"/>
            <w:shd w:val="clear" w:color="auto" w:fill="27245E"/>
          </w:tcPr>
          <w:p>
            <w:pPr>
              <w:spacing w:after="0"/>
            </w:pPr>
            <w:r/>
            <w:r>
              <w:rPr>
                <w:rFonts w:ascii="Arial" w:hAnsi="Arial"/>
                <w:b/>
                <w:i w:val="0"/>
                <w:color w:val="FFFFFF"/>
                <w:sz w:val="16"/>
              </w:rPr>
              <w:t>Gap type</w:t>
            </w:r>
          </w:p>
        </w:tc>
        <w:tc>
          <w:tcPr>
            <w:tcW w:type="dxa" w:w="1944"/>
            <w:shd w:val="clear" w:color="auto" w:fill="27245E"/>
          </w:tcPr>
          <w:p>
            <w:pPr>
              <w:spacing w:after="0"/>
            </w:pPr>
            <w:r/>
            <w:r>
              <w:rPr>
                <w:rFonts w:ascii="Arial" w:hAnsi="Arial"/>
                <w:b/>
                <w:i w:val="0"/>
                <w:color w:val="FFFFFF"/>
                <w:sz w:val="16"/>
              </w:rPr>
              <w:t>Root cause</w:t>
            </w:r>
          </w:p>
        </w:tc>
        <w:tc>
          <w:tcPr>
            <w:tcW w:type="dxa" w:w="1872"/>
            <w:shd w:val="clear" w:color="auto" w:fill="27245E"/>
          </w:tcPr>
          <w:p>
            <w:pPr>
              <w:spacing w:after="0"/>
            </w:pPr>
            <w:r/>
            <w:r>
              <w:rPr>
                <w:rFonts w:ascii="Arial" w:hAnsi="Arial"/>
                <w:b/>
                <w:i w:val="0"/>
                <w:color w:val="FFFFFF"/>
                <w:sz w:val="16"/>
              </w:rPr>
              <w:t>Action</w:t>
            </w:r>
          </w:p>
        </w:tc>
        <w:tc>
          <w:tcPr>
            <w:tcW w:type="dxa" w:w="1224"/>
            <w:shd w:val="clear" w:color="auto" w:fill="27245E"/>
          </w:tcPr>
          <w:p>
            <w:pPr>
              <w:spacing w:after="0"/>
            </w:pPr>
            <w:r/>
            <w:r>
              <w:rPr>
                <w:rFonts w:ascii="Arial" w:hAnsi="Arial"/>
                <w:b/>
                <w:i w:val="0"/>
                <w:color w:val="FFFFFF"/>
                <w:sz w:val="16"/>
              </w:rPr>
              <w:t>Owner</w:t>
            </w:r>
          </w:p>
        </w:tc>
        <w:tc>
          <w:tcPr>
            <w:tcW w:type="dxa" w:w="1080"/>
            <w:shd w:val="clear" w:color="auto" w:fill="27245E"/>
          </w:tcPr>
          <w:p>
            <w:pPr>
              <w:spacing w:after="0"/>
            </w:pPr>
            <w:r/>
            <w:r>
              <w:rPr>
                <w:rFonts w:ascii="Arial" w:hAnsi="Arial"/>
                <w:b/>
                <w:i w:val="0"/>
                <w:color w:val="FFFFFF"/>
                <w:sz w:val="16"/>
              </w:rPr>
              <w:t>Due date</w:t>
            </w:r>
          </w:p>
        </w:tc>
      </w:tr>
      <w:tr>
        <w:tc>
          <w:tcPr>
            <w:tcW w:type="dxa" w:w="2016"/>
          </w:tcPr>
          <w:p>
            <w:pPr>
              <w:spacing w:after="0"/>
            </w:pPr>
            <w:r/>
            <w:r>
              <w:rPr>
                <w:rFonts w:ascii="Arial" w:hAnsi="Arial"/>
                <w:b w:val="0"/>
                <w:i w:val="0"/>
                <w:color w:val="2B3445"/>
                <w:sz w:val="16"/>
              </w:rPr>
              <w:t>2.1 Answer priority-1 calls faster · Median priority-1 response time (minutes)</w:t>
            </w:r>
          </w:p>
        </w:tc>
        <w:tc>
          <w:tcPr>
            <w:tcW w:type="dxa" w:w="1584"/>
          </w:tcPr>
          <w:p>
            <w:pPr>
              <w:spacing w:after="0"/>
            </w:pPr>
            <w:r/>
            <w:r>
              <w:rPr>
                <w:rFonts w:ascii="Arial" w:hAnsi="Arial"/>
                <w:b w:val="0"/>
                <w:i w:val="0"/>
                <w:color w:val="2B3445"/>
                <w:sz w:val="16"/>
              </w:rPr>
              <w:t>7.5 (September 2026, CAD export pulled Oct. 3)</w:t>
            </w:r>
          </w:p>
        </w:tc>
        <w:tc>
          <w:tcPr>
            <w:tcW w:type="dxa" w:w="1728"/>
          </w:tcPr>
          <w:p>
            <w:pPr>
              <w:spacing w:after="0"/>
            </w:pPr>
            <w:r/>
            <w:r>
              <w:rPr>
                <w:rFonts w:ascii="Arial" w:hAnsi="Arial"/>
                <w:b w:val="0"/>
                <w:i w:val="0"/>
                <w:color w:val="2B3445"/>
                <w:sz w:val="16"/>
              </w:rPr>
              <w:t>7.2 by June 30, 2027, assuming all patrol positions are filled</w:t>
            </w:r>
          </w:p>
        </w:tc>
        <w:tc>
          <w:tcPr>
            <w:tcW w:type="dxa" w:w="1584"/>
          </w:tcPr>
          <w:p>
            <w:pPr>
              <w:spacing w:after="0"/>
            </w:pPr>
            <w:r/>
            <w:r>
              <w:rPr>
                <w:rFonts w:ascii="Arial" w:hAnsi="Arial"/>
                <w:b w:val="0"/>
                <w:i w:val="0"/>
                <w:color w:val="2B3445"/>
                <w:sz w:val="16"/>
              </w:rPr>
              <w:t>0.3 minutes slower; 7.4 at baseline, so moving the wrong way</w:t>
            </w:r>
          </w:p>
        </w:tc>
        <w:tc>
          <w:tcPr>
            <w:tcW w:type="dxa" w:w="1368"/>
            <w:shd w:val="clear" w:color="auto" w:fill="FDE2DF"/>
          </w:tcPr>
          <w:p>
            <w:pPr>
              <w:spacing w:after="0"/>
            </w:pPr>
            <w:r/>
            <w:r>
              <w:rPr>
                <w:rFonts w:ascii="Arial" w:hAnsi="Arial"/>
                <w:b/>
                <w:i w:val="0"/>
                <w:color w:val="9B2A21"/>
                <w:sz w:val="16"/>
              </w:rPr>
              <w:t>Performance</w:t>
            </w:r>
          </w:p>
        </w:tc>
        <w:tc>
          <w:tcPr>
            <w:tcW w:type="dxa" w:w="1944"/>
          </w:tcPr>
          <w:p>
            <w:pPr>
              <w:spacing w:after="0"/>
            </w:pPr>
            <w:r/>
            <w:r>
              <w:rPr>
                <w:rFonts w:ascii="Arial" w:hAnsi="Arial"/>
                <w:b w:val="0"/>
                <w:i w:val="0"/>
                <w:color w:val="2B3445"/>
                <w:sz w:val="16"/>
              </w:rPr>
              <w:t>Two patrol positions have been open since August, so night shifts run one car short on the east beat.</w:t>
            </w:r>
          </w:p>
        </w:tc>
        <w:tc>
          <w:tcPr>
            <w:tcW w:type="dxa" w:w="1872"/>
          </w:tcPr>
          <w:p>
            <w:pPr>
              <w:spacing w:after="0"/>
            </w:pPr>
            <w:r/>
            <w:r>
              <w:rPr>
                <w:rFonts w:ascii="Arial" w:hAnsi="Arial"/>
                <w:b w:val="0"/>
                <w:i w:val="0"/>
                <w:color w:val="2B3445"/>
                <w:sz w:val="16"/>
              </w:rPr>
              <w:t>Launch the patrol shift redesign and post both positions.</w:t>
            </w:r>
          </w:p>
        </w:tc>
        <w:tc>
          <w:tcPr>
            <w:tcW w:type="dxa" w:w="1224"/>
          </w:tcPr>
          <w:p>
            <w:pPr>
              <w:spacing w:after="0"/>
            </w:pPr>
            <w:r/>
            <w:r>
              <w:rPr>
                <w:rFonts w:ascii="Arial" w:hAnsi="Arial"/>
                <w:b w:val="0"/>
                <w:i w:val="0"/>
                <w:color w:val="2B3445"/>
                <w:sz w:val="16"/>
              </w:rPr>
              <w:t>Lance B., Police Chief</w:t>
            </w:r>
          </w:p>
        </w:tc>
        <w:tc>
          <w:tcPr>
            <w:tcW w:type="dxa" w:w="1080"/>
          </w:tcPr>
          <w:p>
            <w:pPr>
              <w:spacing w:after="0"/>
            </w:pPr>
            <w:r/>
            <w:r>
              <w:rPr>
                <w:rFonts w:ascii="Arial" w:hAnsi="Arial"/>
                <w:b w:val="0"/>
                <w:i w:val="0"/>
                <w:color w:val="2B3445"/>
                <w:sz w:val="16"/>
              </w:rPr>
              <w:t>Nov. 1, 2026 · next reading Dec. 10</w:t>
            </w:r>
          </w:p>
        </w:tc>
      </w:tr>
      <w:tr>
        <w:tc>
          <w:tcPr>
            <w:tcW w:type="dxa" w:w="2016"/>
          </w:tcPr>
          <w:p>
            <w:pPr>
              <w:spacing w:after="0"/>
            </w:pPr>
            <w:r/>
            <w:r>
              <w:rPr>
                <w:rFonts w:ascii="Arial" w:hAnsi="Arial"/>
                <w:b w:val="0"/>
                <w:i w:val="0"/>
                <w:color w:val="2B3445"/>
                <w:sz w:val="16"/>
              </w:rPr>
              <w:t>4.2 Close resident requests on time · Service requests closed within their target time</w:t>
            </w:r>
          </w:p>
        </w:tc>
        <w:tc>
          <w:tcPr>
            <w:tcW w:type="dxa" w:w="1584"/>
          </w:tcPr>
          <w:p>
            <w:pPr>
              <w:spacing w:after="0"/>
            </w:pPr>
            <w:r/>
            <w:r>
              <w:rPr>
                <w:rFonts w:ascii="Arial" w:hAnsi="Arial"/>
                <w:b w:val="0"/>
                <w:i w:val="0"/>
                <w:color w:val="2B3445"/>
                <w:sz w:val="16"/>
              </w:rPr>
              <w:t>No reading on the Oct. 10 update day (last value 68%, August)</w:t>
            </w:r>
          </w:p>
        </w:tc>
        <w:tc>
          <w:tcPr>
            <w:tcW w:type="dxa" w:w="1728"/>
          </w:tcPr>
          <w:p>
            <w:pPr>
              <w:spacing w:after="0"/>
            </w:pPr>
            <w:r/>
            <w:r>
              <w:rPr>
                <w:rFonts w:ascii="Arial" w:hAnsi="Arial"/>
                <w:b w:val="0"/>
                <w:i w:val="0"/>
                <w:color w:val="2B3445"/>
                <w:sz w:val="16"/>
              </w:rPr>
              <w:t>71% by June 30, 2027</w:t>
            </w:r>
          </w:p>
        </w:tc>
        <w:tc>
          <w:tcPr>
            <w:tcW w:type="dxa" w:w="1584"/>
          </w:tcPr>
          <w:p>
            <w:pPr>
              <w:spacing w:after="0"/>
            </w:pPr>
            <w:r/>
            <w:r>
              <w:rPr>
                <w:rFonts w:ascii="Arial" w:hAnsi="Arial"/>
                <w:b w:val="0"/>
                <w:i w:val="0"/>
                <w:color w:val="2B3445"/>
                <w:sz w:val="16"/>
              </w:rPr>
              <w:t>Unknown: one update day missed</w:t>
            </w:r>
          </w:p>
        </w:tc>
        <w:tc>
          <w:tcPr>
            <w:tcW w:type="dxa" w:w="1368"/>
            <w:shd w:val="clear" w:color="auto" w:fill="FFE6D9"/>
          </w:tcPr>
          <w:p>
            <w:pPr>
              <w:spacing w:after="0"/>
            </w:pPr>
            <w:r/>
            <w:r>
              <w:rPr>
                <w:rFonts w:ascii="Arial" w:hAnsi="Arial"/>
                <w:b/>
                <w:i w:val="0"/>
                <w:color w:val="A8431C"/>
                <w:sz w:val="16"/>
              </w:rPr>
              <w:t>Tracking</w:t>
            </w:r>
          </w:p>
        </w:tc>
        <w:tc>
          <w:tcPr>
            <w:tcW w:type="dxa" w:w="1944"/>
          </w:tcPr>
          <w:p>
            <w:pPr>
              <w:spacing w:after="0"/>
            </w:pPr>
            <w:r/>
            <w:r>
              <w:rPr>
                <w:rFonts w:ascii="Arial" w:hAnsi="Arial"/>
                <w:b w:val="0"/>
                <w:i w:val="0"/>
                <w:color w:val="2B3445"/>
                <w:sz w:val="16"/>
              </w:rPr>
              <w:t>The analyst who ran the monthly work-order export left in September. Nobody inherited the task.</w:t>
            </w:r>
          </w:p>
        </w:tc>
        <w:tc>
          <w:tcPr>
            <w:tcW w:type="dxa" w:w="1872"/>
          </w:tcPr>
          <w:p>
            <w:pPr>
              <w:spacing w:after="0"/>
            </w:pPr>
            <w:r/>
            <w:r>
              <w:rPr>
                <w:rFonts w:ascii="Arial" w:hAnsi="Arial"/>
                <w:b w:val="0"/>
                <w:i w:val="0"/>
                <w:color w:val="2B3445"/>
                <w:sz w:val="16"/>
              </w:rPr>
              <w:t>Assign the export to a named analyst and add it to the update-day checklist.</w:t>
            </w:r>
          </w:p>
        </w:tc>
        <w:tc>
          <w:tcPr>
            <w:tcW w:type="dxa" w:w="1224"/>
          </w:tcPr>
          <w:p>
            <w:pPr>
              <w:spacing w:after="0"/>
            </w:pPr>
            <w:r/>
            <w:r>
              <w:rPr>
                <w:rFonts w:ascii="Arial" w:hAnsi="Arial"/>
                <w:b w:val="0"/>
                <w:i w:val="0"/>
                <w:color w:val="2B3445"/>
                <w:sz w:val="16"/>
              </w:rPr>
              <w:t>Clarice W., City Manager</w:t>
            </w:r>
          </w:p>
        </w:tc>
        <w:tc>
          <w:tcPr>
            <w:tcW w:type="dxa" w:w="1080"/>
          </w:tcPr>
          <w:p>
            <w:pPr>
              <w:spacing w:after="0"/>
            </w:pPr>
            <w:r/>
            <w:r>
              <w:rPr>
                <w:rFonts w:ascii="Arial" w:hAnsi="Arial"/>
                <w:b w:val="0"/>
                <w:i w:val="0"/>
                <w:color w:val="2B3445"/>
                <w:sz w:val="16"/>
              </w:rPr>
              <w:t>Nov. 10, 2026 update day</w:t>
            </w:r>
          </w:p>
        </w:tc>
      </w:tr>
      <w:tr>
        <w:tc>
          <w:tcPr>
            <w:tcW w:type="dxa" w:w="2016"/>
          </w:tcPr>
          <w:p>
            <w:pPr>
              <w:spacing w:after="0"/>
            </w:pPr>
            <w:r/>
            <w:r>
              <w:rPr>
                <w:rFonts w:ascii="Arial" w:hAnsi="Arial"/>
                <w:b w:val="0"/>
                <w:i w:val="0"/>
                <w:color w:val="2B3445"/>
                <w:sz w:val="16"/>
              </w:rPr>
              <w:t>3.1 Fill empty storefronts · Downtown ground-floor vacancy rate</w:t>
            </w:r>
          </w:p>
        </w:tc>
        <w:tc>
          <w:tcPr>
            <w:tcW w:type="dxa" w:w="1584"/>
          </w:tcPr>
          <w:p>
            <w:pPr>
              <w:spacing w:after="0"/>
            </w:pPr>
            <w:r/>
            <w:r>
              <w:rPr>
                <w:rFonts w:ascii="Arial" w:hAnsi="Arial"/>
                <w:b w:val="0"/>
                <w:i w:val="0"/>
                <w:color w:val="2B3445"/>
                <w:sz w:val="16"/>
              </w:rPr>
              <w:t>15% (September 2026 storefront walk survey)</w:t>
            </w:r>
          </w:p>
        </w:tc>
        <w:tc>
          <w:tcPr>
            <w:tcW w:type="dxa" w:w="1728"/>
          </w:tcPr>
          <w:p>
            <w:pPr>
              <w:spacing w:after="0"/>
            </w:pPr>
            <w:r/>
            <w:r>
              <w:rPr>
                <w:rFonts w:ascii="Arial" w:hAnsi="Arial"/>
                <w:b w:val="0"/>
                <w:i w:val="0"/>
                <w:color w:val="2B3445"/>
                <w:sz w:val="16"/>
              </w:rPr>
              <w:t>13% by June 30, 2027, set assuming both anchor tenants stayed</w:t>
            </w:r>
          </w:p>
        </w:tc>
        <w:tc>
          <w:tcPr>
            <w:tcW w:type="dxa" w:w="1584"/>
          </w:tcPr>
          <w:p>
            <w:pPr>
              <w:spacing w:after="0"/>
            </w:pPr>
            <w:r/>
            <w:r>
              <w:rPr>
                <w:rFonts w:ascii="Arial" w:hAnsi="Arial"/>
                <w:b w:val="0"/>
                <w:i w:val="0"/>
                <w:color w:val="2B3445"/>
                <w:sz w:val="16"/>
              </w:rPr>
              <w:t>2 points above target; up 1 point from the 14% baseline</w:t>
            </w:r>
          </w:p>
        </w:tc>
        <w:tc>
          <w:tcPr>
            <w:tcW w:type="dxa" w:w="1368"/>
            <w:shd w:val="clear" w:color="auto" w:fill="DCEEFA"/>
          </w:tcPr>
          <w:p>
            <w:pPr>
              <w:spacing w:after="0"/>
            </w:pPr>
            <w:r/>
            <w:r>
              <w:rPr>
                <w:rFonts w:ascii="Arial" w:hAnsi="Arial"/>
                <w:b/>
                <w:i w:val="0"/>
                <w:color w:val="155F8F"/>
                <w:sz w:val="16"/>
              </w:rPr>
              <w:t>Definition</w:t>
            </w:r>
          </w:p>
        </w:tc>
        <w:tc>
          <w:tcPr>
            <w:tcW w:type="dxa" w:w="1944"/>
          </w:tcPr>
          <w:p>
            <w:pPr>
              <w:spacing w:after="0"/>
            </w:pPr>
            <w:r/>
            <w:r>
              <w:rPr>
                <w:rFonts w:ascii="Arial" w:hAnsi="Arial"/>
                <w:b w:val="0"/>
                <w:i w:val="0"/>
                <w:color w:val="2B3445"/>
                <w:sz w:val="16"/>
              </w:rPr>
              <w:t>Both anchor tenants closed in August. The target rests on an assumption that no longer holds.</w:t>
            </w:r>
          </w:p>
        </w:tc>
        <w:tc>
          <w:tcPr>
            <w:tcW w:type="dxa" w:w="1872"/>
          </w:tcPr>
          <w:p>
            <w:pPr>
              <w:spacing w:after="0"/>
            </w:pPr>
            <w:r/>
            <w:r>
              <w:rPr>
                <w:rFonts w:ascii="Arial" w:hAnsi="Arial"/>
                <w:b w:val="0"/>
                <w:i w:val="0"/>
                <w:color w:val="2B3445"/>
                <w:sz w:val="16"/>
              </w:rPr>
              <w:t>Re-baseline the FY2027 target at the council retreat. Façade grant round 1 still opens Jan. 15.</w:t>
            </w:r>
          </w:p>
        </w:tc>
        <w:tc>
          <w:tcPr>
            <w:tcW w:type="dxa" w:w="1224"/>
          </w:tcPr>
          <w:p>
            <w:pPr>
              <w:spacing w:after="0"/>
            </w:pPr>
            <w:r/>
            <w:r>
              <w:rPr>
                <w:rFonts w:ascii="Arial" w:hAnsi="Arial"/>
                <w:b w:val="0"/>
                <w:i w:val="0"/>
                <w:color w:val="2B3445"/>
                <w:sz w:val="16"/>
              </w:rPr>
              <w:t>Jimmy O., Economic Development Manager</w:t>
            </w:r>
          </w:p>
        </w:tc>
        <w:tc>
          <w:tcPr>
            <w:tcW w:type="dxa" w:w="1080"/>
          </w:tcPr>
          <w:p>
            <w:pPr>
              <w:spacing w:after="0"/>
            </w:pPr>
            <w:r/>
            <w:r>
              <w:rPr>
                <w:rFonts w:ascii="Arial" w:hAnsi="Arial"/>
                <w:b w:val="0"/>
                <w:i w:val="0"/>
                <w:color w:val="2B3445"/>
                <w:sz w:val="16"/>
              </w:rPr>
              <w:t>January 2027 council retreat</w:t>
            </w:r>
          </w:p>
        </w:tc>
      </w:tr>
      <w:tr>
        <w:tc>
          <w:tcPr>
            <w:tcW w:type="dxa" w:w="2016"/>
          </w:tcPr>
          <w:p>
            <w:pPr>
              <w:spacing w:after="0"/>
            </w:pPr>
            <w:r/>
            <w:r>
              <w:rPr>
                <w:rFonts w:ascii="Arial" w:hAnsi="Arial"/>
                <w:b w:val="0"/>
                <w:i w:val="0"/>
                <w:color w:val="2B3445"/>
                <w:sz w:val="16"/>
              </w:rPr>
              <w:t>1.1 Bring local streets to good condition · Pavement Condition Index, network average (0–100)</w:t>
            </w:r>
          </w:p>
        </w:tc>
        <w:tc>
          <w:tcPr>
            <w:tcW w:type="dxa" w:w="1584"/>
          </w:tcPr>
          <w:p>
            <w:pPr>
              <w:spacing w:after="0"/>
            </w:pPr>
            <w:r/>
            <w:r>
              <w:rPr>
                <w:rFonts w:ascii="Arial" w:hAnsi="Arial"/>
                <w:b w:val="0"/>
                <w:i w:val="0"/>
                <w:color w:val="2B3445"/>
                <w:sz w:val="16"/>
              </w:rPr>
              <w:t>62 (2026 pavement condition survey)</w:t>
            </w:r>
          </w:p>
        </w:tc>
        <w:tc>
          <w:tcPr>
            <w:tcW w:type="dxa" w:w="1728"/>
          </w:tcPr>
          <w:p>
            <w:pPr>
              <w:spacing w:after="0"/>
            </w:pPr>
            <w:r/>
            <w:r>
              <w:rPr>
                <w:rFonts w:ascii="Arial" w:hAnsi="Arial"/>
                <w:b w:val="0"/>
                <w:i w:val="0"/>
                <w:color w:val="2B3445"/>
                <w:sz w:val="16"/>
              </w:rPr>
              <w:t>63 at the 2027 survey, on the way to 70 in FY2031</w:t>
            </w:r>
          </w:p>
        </w:tc>
        <w:tc>
          <w:tcPr>
            <w:tcW w:type="dxa" w:w="1584"/>
          </w:tcPr>
          <w:p>
            <w:pPr>
              <w:spacing w:after="0"/>
            </w:pPr>
            <w:r/>
            <w:r>
              <w:rPr>
                <w:rFonts w:ascii="Arial" w:hAnsi="Arial"/>
                <w:b w:val="0"/>
                <w:i w:val="0"/>
                <w:color w:val="2B3445"/>
                <w:sz w:val="16"/>
              </w:rPr>
              <w:t>1 point below the FY2027 line; flat at 62 for three surveys while every resurfacing contract finished on time</w:t>
            </w:r>
          </w:p>
        </w:tc>
        <w:tc>
          <w:tcPr>
            <w:tcW w:type="dxa" w:w="1368"/>
            <w:shd w:val="clear" w:color="auto" w:fill="E4E3F1"/>
          </w:tcPr>
          <w:p>
            <w:pPr>
              <w:spacing w:after="0"/>
            </w:pPr>
            <w:r/>
            <w:r>
              <w:rPr>
                <w:rFonts w:ascii="Arial" w:hAnsi="Arial"/>
                <w:b/>
                <w:i w:val="0"/>
                <w:color w:val="27245E"/>
                <w:sz w:val="16"/>
              </w:rPr>
              <w:t>Strategy</w:t>
            </w:r>
          </w:p>
        </w:tc>
        <w:tc>
          <w:tcPr>
            <w:tcW w:type="dxa" w:w="1944"/>
          </w:tcPr>
          <w:p>
            <w:pPr>
              <w:spacing w:after="0"/>
            </w:pPr>
            <w:r/>
            <w:r>
              <w:rPr>
                <w:rFonts w:ascii="Arial" w:hAnsi="Arial"/>
                <w:b w:val="0"/>
                <w:i w:val="0"/>
                <w:color w:val="2B3445"/>
                <w:sz w:val="16"/>
              </w:rPr>
              <w:t>Resurfacing covers fewer lane-miles each year than the network loses to wear. The work delivers; the index stays flat.</w:t>
            </w:r>
          </w:p>
        </w:tc>
        <w:tc>
          <w:tcPr>
            <w:tcW w:type="dxa" w:w="1872"/>
          </w:tcPr>
          <w:p>
            <w:pPr>
              <w:spacing w:after="0"/>
            </w:pPr>
            <w:r/>
            <w:r>
              <w:rPr>
                <w:rFonts w:ascii="Arial" w:hAnsi="Arial"/>
                <w:b w:val="0"/>
                <w:i w:val="0"/>
                <w:color w:val="2B3445"/>
                <w:sz w:val="16"/>
              </w:rPr>
              <w:t>Bring a pavement-preservation scenario (crack seal and slurry on streets in fair condition) to council before the FY2028 capital plan.</w:t>
            </w:r>
          </w:p>
        </w:tc>
        <w:tc>
          <w:tcPr>
            <w:tcW w:type="dxa" w:w="1224"/>
          </w:tcPr>
          <w:p>
            <w:pPr>
              <w:spacing w:after="0"/>
            </w:pPr>
            <w:r/>
            <w:r>
              <w:rPr>
                <w:rFonts w:ascii="Arial" w:hAnsi="Arial"/>
                <w:b w:val="0"/>
                <w:i w:val="0"/>
                <w:color w:val="2B3445"/>
                <w:sz w:val="16"/>
              </w:rPr>
              <w:t>Maggie S., Public Works Director</w:t>
            </w:r>
          </w:p>
        </w:tc>
        <w:tc>
          <w:tcPr>
            <w:tcW w:type="dxa" w:w="1080"/>
          </w:tcPr>
          <w:p>
            <w:pPr>
              <w:spacing w:after="0"/>
            </w:pPr>
            <w:r/>
            <w:r>
              <w:rPr>
                <w:rFonts w:ascii="Arial" w:hAnsi="Arial"/>
                <w:b w:val="0"/>
                <w:i w:val="0"/>
                <w:color w:val="2B3445"/>
                <w:sz w:val="16"/>
              </w:rPr>
              <w:t>March 2027 capital plan work session</w:t>
            </w:r>
          </w:p>
        </w:tc>
      </w:tr>
    </w:tbl>
    <w:p>
      <w:pPr>
        <w:keepNext/>
        <w:spacing w:before="200" w:after="80"/>
      </w:pPr>
      <w:r>
        <w:rPr>
          <w:rFonts w:ascii="Arial" w:hAnsi="Arial"/>
          <w:b/>
          <w:color w:val="27245E"/>
          <w:sz w:val="24"/>
        </w:rPr>
        <w:t>Why it's built this way</w:t>
      </w:r>
    </w:p>
    <w:p>
      <w:pPr>
        <w:pStyle w:val="ListBullet"/>
        <w:spacing w:after="20"/>
      </w:pPr>
      <w:r>
        <w:rPr>
          <w:sz w:val="18"/>
        </w:rPr>
        <w:t>Every reading carries a date and a source. The council debates the fix, not the number.</w:t>
      </w:r>
    </w:p>
    <w:p>
      <w:pPr>
        <w:pStyle w:val="ListBullet"/>
        <w:spacing w:after="20"/>
      </w:pPr>
      <w:r>
        <w:rPr>
          <w:sz w:val="18"/>
        </w:rPr>
        <w:t>The tracking row has no value, on purpose. A missing reading is a gap of its own, and it gets an owner before it gets an action.</w:t>
      </w:r>
    </w:p>
    <w:p>
      <w:pPr>
        <w:pStyle w:val="ListBullet"/>
        <w:spacing w:after="20"/>
      </w:pPr>
      <w:r>
        <w:rPr>
          <w:sz w:val="18"/>
        </w:rPr>
        <w:t>The strategy row is the uncomfortable one. Every resurfacing contract finished on time, and the index didn't move. That's the signal to change the mix of work, not to add more of it.</w:t>
      </w:r>
    </w:p>
    <w:p>
      <w:r>
        <w:br w:type="page"/>
      </w:r>
    </w:p>
    <w:p>
      <w:pPr>
        <w:keepNext/>
        <w:spacing w:before="200" w:after="80"/>
      </w:pPr>
      <w:r>
        <w:rPr>
          <w:rFonts w:ascii="Arial" w:hAnsi="Arial"/>
          <w:b/>
          <w:color w:val="27245E"/>
          <w:sz w:val="32"/>
        </w:rPr>
        <w:t>Your gap analysis</w:t>
      </w:r>
    </w:p>
    <w:p>
      <w:pPr>
        <w:spacing w:after="80"/>
      </w:pPr>
      <w:r>
        <w:rPr>
          <w:rFonts w:ascii="Arial" w:hAnsi="Arial"/>
          <w:b w:val="0"/>
          <w:i/>
          <w:color w:val="5B6478"/>
          <w:sz w:val="20"/>
        </w:rPr>
        <w:t>Fill the header first, then one grid row per measure. The first grid row shows what to write.</w:t>
      </w:r>
    </w:p>
    <w:tbl>
      <w:tblPr>
        <w:tblStyle w:val="TableGrid"/>
        <w:tblW w:type="auto" w:w="0"/>
        <w:jc w:val="center"/>
        <w:tblLayout w:type="fixed"/>
        <w:tblLook w:firstColumn="1" w:firstRow="1" w:lastColumn="0" w:lastRow="0" w:noHBand="0" w:noVBand="1" w:val="04A0"/>
      </w:tblPr>
      <w:tblGrid>
        <w:gridCol w:w="7200"/>
        <w:gridCol w:w="7200"/>
      </w:tblGrid>
      <w:tr>
        <w:trPr>
          <w:tblHeader w:val="true"/>
        </w:trPr>
        <w:tc>
          <w:tcPr>
            <w:tcW w:type="dxa" w:w="2880"/>
            <w:shd w:val="clear" w:color="auto" w:fill="27245E"/>
          </w:tcPr>
          <w:p>
            <w:pPr>
              <w:spacing w:after="0"/>
            </w:pPr>
            <w:r/>
            <w:r>
              <w:rPr>
                <w:rFonts w:ascii="Arial" w:hAnsi="Arial"/>
                <w:b/>
                <w:i w:val="0"/>
                <w:color w:val="FFFFFF"/>
                <w:sz w:val="16"/>
              </w:rPr>
              <w:t>Field</w:t>
            </w:r>
          </w:p>
        </w:tc>
        <w:tc>
          <w:tcPr>
            <w:tcW w:type="dxa" w:w="11520"/>
            <w:shd w:val="clear" w:color="auto" w:fill="27245E"/>
          </w:tcPr>
          <w:p>
            <w:pPr>
              <w:spacing w:after="0"/>
            </w:pPr>
            <w:r/>
            <w:r>
              <w:rPr>
                <w:rFonts w:ascii="Arial" w:hAnsi="Arial"/>
                <w:b/>
                <w:i w:val="0"/>
                <w:color w:val="FFFFFF"/>
                <w:sz w:val="16"/>
              </w:rPr>
              <w:t>What to write</w:t>
            </w:r>
          </w:p>
        </w:tc>
      </w:tr>
      <w:tr>
        <w:tc>
          <w:tcPr>
            <w:tcW w:type="dxa" w:w="2880"/>
            <w:shd w:val="clear" w:color="auto" w:fill="F4F4F6"/>
          </w:tcPr>
          <w:p>
            <w:pPr>
              <w:spacing w:after="0"/>
            </w:pPr>
            <w:r/>
            <w:r>
              <w:rPr>
                <w:rFonts w:ascii="Arial" w:hAnsi="Arial"/>
                <w:b/>
                <w:i w:val="0"/>
                <w:color w:val="2B3445"/>
                <w:sz w:val="16"/>
              </w:rPr>
              <w:t>Organization and plan</w:t>
            </w:r>
          </w:p>
        </w:tc>
        <w:tc>
          <w:tcPr>
            <w:tcW w:type="dxa" w:w="11520"/>
          </w:tcPr>
          <w:p>
            <w:pPr>
              <w:spacing w:after="0"/>
            </w:pPr>
            <w:r/>
            <w:r>
              <w:rPr>
                <w:rFonts w:ascii="Arial" w:hAnsi="Arial"/>
                <w:b w:val="0"/>
                <w:i w:val="0"/>
                <w:color w:val="2B3445"/>
                <w:sz w:val="16"/>
              </w:rPr>
              <w:t>"[Organization] Strategic Plan FY2027–FY2031", and the goal area or department this analysis covers.</w:t>
            </w:r>
          </w:p>
        </w:tc>
      </w:tr>
      <w:tr>
        <w:tc>
          <w:tcPr>
            <w:tcW w:type="dxa" w:w="2880"/>
            <w:shd w:val="clear" w:color="auto" w:fill="F4F4F6"/>
          </w:tcPr>
          <w:p>
            <w:pPr>
              <w:spacing w:after="0"/>
            </w:pPr>
            <w:r/>
            <w:r>
              <w:rPr>
                <w:rFonts w:ascii="Arial" w:hAnsi="Arial"/>
                <w:b/>
                <w:i w:val="0"/>
                <w:color w:val="2B3445"/>
                <w:sz w:val="16"/>
              </w:rPr>
              <w:t>Analysis date</w:t>
            </w:r>
          </w:p>
        </w:tc>
        <w:tc>
          <w:tcPr>
            <w:tcW w:type="dxa" w:w="11520"/>
          </w:tcPr>
          <w:p>
            <w:pPr>
              <w:spacing w:after="0"/>
            </w:pPr>
            <w:r/>
            <w:r>
              <w:rPr>
                <w:rFonts w:ascii="Arial" w:hAnsi="Arial"/>
                <w:b w:val="0"/>
                <w:i w:val="0"/>
                <w:color w:val="2B3445"/>
                <w:sz w:val="16"/>
              </w:rPr>
              <w:t>The day you pull the readings. Every value in the grid is as of this date.</w:t>
            </w:r>
          </w:p>
        </w:tc>
      </w:tr>
      <w:tr>
        <w:tc>
          <w:tcPr>
            <w:tcW w:type="dxa" w:w="2880"/>
            <w:shd w:val="clear" w:color="auto" w:fill="F4F4F6"/>
          </w:tcPr>
          <w:p>
            <w:pPr>
              <w:spacing w:after="0"/>
            </w:pPr>
            <w:r/>
            <w:r>
              <w:rPr>
                <w:rFonts w:ascii="Arial" w:hAnsi="Arial"/>
                <w:b/>
                <w:i w:val="0"/>
                <w:color w:val="2B3445"/>
                <w:sz w:val="16"/>
              </w:rPr>
              <w:t>Period covered</w:t>
            </w:r>
          </w:p>
        </w:tc>
        <w:tc>
          <w:tcPr>
            <w:tcW w:type="dxa" w:w="11520"/>
          </w:tcPr>
          <w:p>
            <w:pPr>
              <w:spacing w:after="0"/>
            </w:pPr>
            <w:r/>
            <w:r>
              <w:rPr>
                <w:rFonts w:ascii="Arial" w:hAnsi="Arial"/>
                <w:b w:val="0"/>
                <w:i w:val="0"/>
                <w:color w:val="2B3445"/>
                <w:sz w:val="16"/>
              </w:rPr>
              <w:t>The month, quarter or term the readings describe, for example Q1 FY2027.</w:t>
            </w:r>
          </w:p>
        </w:tc>
      </w:tr>
      <w:tr>
        <w:tc>
          <w:tcPr>
            <w:tcW w:type="dxa" w:w="2880"/>
            <w:shd w:val="clear" w:color="auto" w:fill="F4F4F6"/>
          </w:tcPr>
          <w:p>
            <w:pPr>
              <w:spacing w:after="0"/>
            </w:pPr>
            <w:r/>
            <w:r>
              <w:rPr>
                <w:rFonts w:ascii="Arial" w:hAnsi="Arial"/>
                <w:b/>
                <w:i w:val="0"/>
                <w:color w:val="2B3445"/>
                <w:sz w:val="16"/>
              </w:rPr>
              <w:t>Data sources</w:t>
            </w:r>
          </w:p>
        </w:tc>
        <w:tc>
          <w:tcPr>
            <w:tcW w:type="dxa" w:w="11520"/>
          </w:tcPr>
          <w:p>
            <w:pPr>
              <w:spacing w:after="0"/>
            </w:pPr>
            <w:r/>
            <w:r>
              <w:rPr>
                <w:rFonts w:ascii="Arial" w:hAnsi="Arial"/>
                <w:b w:val="0"/>
                <w:i w:val="0"/>
                <w:color w:val="2B3445"/>
                <w:sz w:val="16"/>
              </w:rPr>
              <w:t>Where each reading comes from: the system, the report, and who exports it.</w:t>
            </w:r>
          </w:p>
        </w:tc>
      </w:tr>
      <w:tr>
        <w:tc>
          <w:tcPr>
            <w:tcW w:type="dxa" w:w="2880"/>
            <w:shd w:val="clear" w:color="auto" w:fill="F4F4F6"/>
          </w:tcPr>
          <w:p>
            <w:pPr>
              <w:spacing w:after="0"/>
            </w:pPr>
            <w:r/>
            <w:r>
              <w:rPr>
                <w:rFonts w:ascii="Arial" w:hAnsi="Arial"/>
                <w:b/>
                <w:i w:val="0"/>
                <w:color w:val="2B3445"/>
                <w:sz w:val="16"/>
              </w:rPr>
              <w:t>Prepared by</w:t>
            </w:r>
          </w:p>
        </w:tc>
        <w:tc>
          <w:tcPr>
            <w:tcW w:type="dxa" w:w="11520"/>
          </w:tcPr>
          <w:p>
            <w:pPr>
              <w:spacing w:after="0"/>
            </w:pPr>
            <w:r/>
            <w:r>
              <w:rPr>
                <w:rFonts w:ascii="Arial" w:hAnsi="Arial"/>
                <w:b w:val="0"/>
                <w:i w:val="0"/>
                <w:color w:val="2B3445"/>
                <w:sz w:val="16"/>
              </w:rPr>
              <w:t>One name: the person who fills the grid and checks the sources.</w:t>
            </w:r>
          </w:p>
        </w:tc>
      </w:tr>
      <w:tr>
        <w:tc>
          <w:tcPr>
            <w:tcW w:type="dxa" w:w="2880"/>
            <w:shd w:val="clear" w:color="auto" w:fill="F4F4F6"/>
          </w:tcPr>
          <w:p>
            <w:pPr>
              <w:spacing w:after="0"/>
            </w:pPr>
            <w:r/>
            <w:r>
              <w:rPr>
                <w:rFonts w:ascii="Arial" w:hAnsi="Arial"/>
                <w:b/>
                <w:i w:val="0"/>
                <w:color w:val="2B3445"/>
                <w:sz w:val="16"/>
              </w:rPr>
              <w:t>Reviewed at</w:t>
            </w:r>
          </w:p>
        </w:tc>
        <w:tc>
          <w:tcPr>
            <w:tcW w:type="dxa" w:w="11520"/>
          </w:tcPr>
          <w:p>
            <w:pPr>
              <w:spacing w:after="0"/>
            </w:pPr>
            <w:r/>
            <w:r>
              <w:rPr>
                <w:rFonts w:ascii="Arial" w:hAnsi="Arial"/>
                <w:b w:val="0"/>
                <w:i w:val="0"/>
                <w:color w:val="2B3445"/>
                <w:sz w:val="16"/>
              </w:rPr>
              <w:t>The meeting that reviews the grid, with its date.</w:t>
            </w:r>
          </w:p>
        </w:tc>
      </w:tr>
      <w:tr>
        <w:tc>
          <w:tcPr>
            <w:tcW w:type="dxa" w:w="2880"/>
            <w:shd w:val="clear" w:color="auto" w:fill="F4F4F6"/>
          </w:tcPr>
          <w:p>
            <w:pPr>
              <w:spacing w:after="0"/>
            </w:pPr>
            <w:r/>
            <w:r>
              <w:rPr>
                <w:rFonts w:ascii="Arial" w:hAnsi="Arial"/>
                <w:b/>
                <w:i w:val="0"/>
                <w:color w:val="2B3445"/>
                <w:sz w:val="16"/>
              </w:rPr>
              <w:t>Gap rule</w:t>
            </w:r>
          </w:p>
        </w:tc>
        <w:tc>
          <w:tcPr>
            <w:tcW w:type="dxa" w:w="11520"/>
          </w:tcPr>
          <w:p>
            <w:pPr>
              <w:spacing w:after="0"/>
            </w:pPr>
            <w:r/>
            <w:r>
              <w:rPr>
                <w:rFonts w:ascii="Arial" w:hAnsi="Arial"/>
                <w:b w:val="0"/>
                <w:i w:val="0"/>
                <w:color w:val="2B3445"/>
                <w:sz w:val="16"/>
              </w:rPr>
              <w:t>When a difference counts as a gap. For example: the latest reading misses the target line for the period, or no reading arrives on the update day.</w:t>
            </w:r>
          </w:p>
        </w:tc>
      </w:tr>
      <w:tr>
        <w:tc>
          <w:tcPr>
            <w:tcW w:type="dxa" w:w="2880"/>
            <w:shd w:val="clear" w:color="auto" w:fill="F4F4F6"/>
          </w:tcPr>
          <w:p>
            <w:pPr>
              <w:spacing w:after="0"/>
            </w:pPr>
            <w:r/>
            <w:r>
              <w:rPr>
                <w:rFonts w:ascii="Arial" w:hAnsi="Arial"/>
                <w:b/>
                <w:i w:val="0"/>
                <w:color w:val="2B3445"/>
                <w:sz w:val="16"/>
              </w:rPr>
              <w:t>Next review</w:t>
            </w:r>
          </w:p>
        </w:tc>
        <w:tc>
          <w:tcPr>
            <w:tcW w:type="dxa" w:w="11520"/>
          </w:tcPr>
          <w:p>
            <w:pPr>
              <w:spacing w:after="0"/>
            </w:pPr>
            <w:r/>
            <w:r>
              <w:rPr>
                <w:rFonts w:ascii="Arial" w:hAnsi="Arial"/>
                <w:b w:val="0"/>
                <w:i w:val="0"/>
                <w:color w:val="2B3445"/>
                <w:sz w:val="16"/>
              </w:rPr>
              <w:t>The date of the next reading, usually the next monthly update day.</w:t>
            </w:r>
          </w:p>
        </w:tc>
      </w:tr>
    </w:tbl>
    <w:p>
      <w:pPr>
        <w:spacing w:after="80"/>
      </w:pPr>
      <w:r>
        <w:rPr>
          <w:rFonts w:ascii="Arial" w:hAnsi="Arial"/>
          <w:b w:val="0"/>
          <w:i w:val="0"/>
          <w:color w:val="2B3445"/>
          <w:sz w:val="20"/>
        </w:rPr>
      </w:r>
    </w:p>
    <w:tbl>
      <w:tblPr>
        <w:tblStyle w:val="TableGrid"/>
        <w:tblW w:type="auto" w:w="0"/>
        <w:jc w:val="center"/>
        <w:tblLayout w:type="fixed"/>
        <w:tblLook w:firstColumn="1" w:firstRow="1" w:lastColumn="0" w:lastRow="0" w:noHBand="0" w:noVBand="1" w:val="04A0"/>
      </w:tblPr>
      <w:tblGrid>
        <w:gridCol w:w="1600"/>
        <w:gridCol w:w="1600"/>
        <w:gridCol w:w="1600"/>
        <w:gridCol w:w="1600"/>
        <w:gridCol w:w="1600"/>
        <w:gridCol w:w="1600"/>
        <w:gridCol w:w="1600"/>
        <w:gridCol w:w="1600"/>
        <w:gridCol w:w="1600"/>
      </w:tblGrid>
      <w:tr>
        <w:trPr>
          <w:tblHeader w:val="true"/>
        </w:trPr>
        <w:tc>
          <w:tcPr>
            <w:tcW w:type="dxa" w:w="2016"/>
            <w:shd w:val="clear" w:color="auto" w:fill="27245E"/>
          </w:tcPr>
          <w:p>
            <w:pPr>
              <w:spacing w:after="0"/>
            </w:pPr>
            <w:r/>
            <w:r>
              <w:rPr>
                <w:rFonts w:ascii="Arial" w:hAnsi="Arial"/>
                <w:b/>
                <w:i w:val="0"/>
                <w:color w:val="FFFFFF"/>
                <w:sz w:val="16"/>
              </w:rPr>
              <w:t>Goal and measure</w:t>
            </w:r>
          </w:p>
        </w:tc>
        <w:tc>
          <w:tcPr>
            <w:tcW w:type="dxa" w:w="1584"/>
            <w:shd w:val="clear" w:color="auto" w:fill="27245E"/>
          </w:tcPr>
          <w:p>
            <w:pPr>
              <w:spacing w:after="0"/>
            </w:pPr>
            <w:r/>
            <w:r>
              <w:rPr>
                <w:rFonts w:ascii="Arial" w:hAnsi="Arial"/>
                <w:b/>
                <w:i w:val="0"/>
                <w:color w:val="FFFFFF"/>
                <w:sz w:val="16"/>
              </w:rPr>
              <w:t>Current state (value, date, source)</w:t>
            </w:r>
          </w:p>
        </w:tc>
        <w:tc>
          <w:tcPr>
            <w:tcW w:type="dxa" w:w="1728"/>
            <w:shd w:val="clear" w:color="auto" w:fill="27245E"/>
          </w:tcPr>
          <w:p>
            <w:pPr>
              <w:spacing w:after="0"/>
            </w:pPr>
            <w:r/>
            <w:r>
              <w:rPr>
                <w:rFonts w:ascii="Arial" w:hAnsi="Arial"/>
                <w:b/>
                <w:i w:val="0"/>
                <w:color w:val="FFFFFF"/>
                <w:sz w:val="16"/>
              </w:rPr>
              <w:t>Target state (value, deadline, assumption)</w:t>
            </w:r>
          </w:p>
        </w:tc>
        <w:tc>
          <w:tcPr>
            <w:tcW w:type="dxa" w:w="1584"/>
            <w:shd w:val="clear" w:color="auto" w:fill="27245E"/>
          </w:tcPr>
          <w:p>
            <w:pPr>
              <w:spacing w:after="0"/>
            </w:pPr>
            <w:r/>
            <w:r>
              <w:rPr>
                <w:rFonts w:ascii="Arial" w:hAnsi="Arial"/>
                <w:b/>
                <w:i w:val="0"/>
                <w:color w:val="FFFFFF"/>
                <w:sz w:val="16"/>
              </w:rPr>
              <w:t>Gap</w:t>
            </w:r>
          </w:p>
        </w:tc>
        <w:tc>
          <w:tcPr>
            <w:tcW w:type="dxa" w:w="1368"/>
            <w:shd w:val="clear" w:color="auto" w:fill="27245E"/>
          </w:tcPr>
          <w:p>
            <w:pPr>
              <w:spacing w:after="0"/>
            </w:pPr>
            <w:r/>
            <w:r>
              <w:rPr>
                <w:rFonts w:ascii="Arial" w:hAnsi="Arial"/>
                <w:b/>
                <w:i w:val="0"/>
                <w:color w:val="FFFFFF"/>
                <w:sz w:val="16"/>
              </w:rPr>
              <w:t>Gap type</w:t>
            </w:r>
          </w:p>
        </w:tc>
        <w:tc>
          <w:tcPr>
            <w:tcW w:type="dxa" w:w="1944"/>
            <w:shd w:val="clear" w:color="auto" w:fill="27245E"/>
          </w:tcPr>
          <w:p>
            <w:pPr>
              <w:spacing w:after="0"/>
            </w:pPr>
            <w:r/>
            <w:r>
              <w:rPr>
                <w:rFonts w:ascii="Arial" w:hAnsi="Arial"/>
                <w:b/>
                <w:i w:val="0"/>
                <w:color w:val="FFFFFF"/>
                <w:sz w:val="16"/>
              </w:rPr>
              <w:t>Root cause</w:t>
            </w:r>
          </w:p>
        </w:tc>
        <w:tc>
          <w:tcPr>
            <w:tcW w:type="dxa" w:w="1872"/>
            <w:shd w:val="clear" w:color="auto" w:fill="27245E"/>
          </w:tcPr>
          <w:p>
            <w:pPr>
              <w:spacing w:after="0"/>
            </w:pPr>
            <w:r/>
            <w:r>
              <w:rPr>
                <w:rFonts w:ascii="Arial" w:hAnsi="Arial"/>
                <w:b/>
                <w:i w:val="0"/>
                <w:color w:val="FFFFFF"/>
                <w:sz w:val="16"/>
              </w:rPr>
              <w:t>Action</w:t>
            </w:r>
          </w:p>
        </w:tc>
        <w:tc>
          <w:tcPr>
            <w:tcW w:type="dxa" w:w="1224"/>
            <w:shd w:val="clear" w:color="auto" w:fill="27245E"/>
          </w:tcPr>
          <w:p>
            <w:pPr>
              <w:spacing w:after="0"/>
            </w:pPr>
            <w:r/>
            <w:r>
              <w:rPr>
                <w:rFonts w:ascii="Arial" w:hAnsi="Arial"/>
                <w:b/>
                <w:i w:val="0"/>
                <w:color w:val="FFFFFF"/>
                <w:sz w:val="16"/>
              </w:rPr>
              <w:t>Owner</w:t>
            </w:r>
          </w:p>
        </w:tc>
        <w:tc>
          <w:tcPr>
            <w:tcW w:type="dxa" w:w="1080"/>
            <w:shd w:val="clear" w:color="auto" w:fill="27245E"/>
          </w:tcPr>
          <w:p>
            <w:pPr>
              <w:spacing w:after="0"/>
            </w:pPr>
            <w:r/>
            <w:r>
              <w:rPr>
                <w:rFonts w:ascii="Arial" w:hAnsi="Arial"/>
                <w:b/>
                <w:i w:val="0"/>
                <w:color w:val="FFFFFF"/>
                <w:sz w:val="16"/>
              </w:rPr>
              <w:t>Due date</w:t>
            </w:r>
          </w:p>
        </w:tc>
      </w:tr>
      <w:tr>
        <w:tc>
          <w:tcPr>
            <w:tcW w:type="dxa" w:w="2016"/>
          </w:tcPr>
          <w:p>
            <w:pPr>
              <w:spacing w:after="0"/>
            </w:pPr>
            <w:r/>
            <w:r>
              <w:rPr>
                <w:rFonts w:ascii="Arial" w:hAnsi="Arial"/>
                <w:b w:val="0"/>
                <w:i/>
                <w:color w:val="5B6478"/>
                <w:sz w:val="16"/>
              </w:rPr>
              <w:t>[Goal number and name] · [the one measure that shows progress]</w:t>
            </w:r>
          </w:p>
        </w:tc>
        <w:tc>
          <w:tcPr>
            <w:tcW w:type="dxa" w:w="1584"/>
          </w:tcPr>
          <w:p>
            <w:pPr>
              <w:spacing w:after="0"/>
            </w:pPr>
            <w:r/>
            <w:r>
              <w:rPr>
                <w:rFonts w:ascii="Arial" w:hAnsi="Arial"/>
                <w:b w:val="0"/>
                <w:i/>
                <w:color w:val="5B6478"/>
                <w:sz w:val="16"/>
              </w:rPr>
              <w:t>[Value] ([date of the reading], [source])</w:t>
            </w:r>
          </w:p>
        </w:tc>
        <w:tc>
          <w:tcPr>
            <w:tcW w:type="dxa" w:w="1728"/>
          </w:tcPr>
          <w:p>
            <w:pPr>
              <w:spacing w:after="0"/>
            </w:pPr>
            <w:r/>
            <w:r>
              <w:rPr>
                <w:rFonts w:ascii="Arial" w:hAnsi="Arial"/>
                <w:b w:val="0"/>
                <w:i/>
                <w:color w:val="5B6478"/>
                <w:sz w:val="16"/>
              </w:rPr>
              <w:t>[Value] by [deadline], assuming [the assumption behind the target]</w:t>
            </w:r>
          </w:p>
        </w:tc>
        <w:tc>
          <w:tcPr>
            <w:tcW w:type="dxa" w:w="1584"/>
          </w:tcPr>
          <w:p>
            <w:pPr>
              <w:spacing w:after="0"/>
            </w:pPr>
            <w:r/>
            <w:r>
              <w:rPr>
                <w:rFonts w:ascii="Arial" w:hAnsi="Arial"/>
                <w:b w:val="0"/>
                <w:i/>
                <w:color w:val="5B6478"/>
                <w:sz w:val="16"/>
              </w:rPr>
              <w:t>[Difference and direction], [trend over the last three readings]</w:t>
            </w:r>
          </w:p>
        </w:tc>
        <w:tc>
          <w:tcPr>
            <w:tcW w:type="dxa" w:w="1368"/>
          </w:tcPr>
          <w:p>
            <w:pPr>
              <w:spacing w:after="0"/>
            </w:pPr>
            <w:r/>
            <w:r>
              <w:rPr>
                <w:rFonts w:ascii="Arial" w:hAnsi="Arial"/>
                <w:b w:val="0"/>
                <w:i/>
                <w:color w:val="5B6478"/>
                <w:sz w:val="16"/>
              </w:rPr>
              <w:t>[Performance / Tracking / Definition / Strategy]</w:t>
            </w:r>
          </w:p>
        </w:tc>
        <w:tc>
          <w:tcPr>
            <w:tcW w:type="dxa" w:w="1944"/>
          </w:tcPr>
          <w:p>
            <w:pPr>
              <w:spacing w:after="0"/>
            </w:pPr>
            <w:r/>
            <w:r>
              <w:rPr>
                <w:rFonts w:ascii="Arial" w:hAnsi="Arial"/>
                <w:b w:val="0"/>
                <w:i/>
                <w:color w:val="5B6478"/>
                <w:sz w:val="16"/>
              </w:rPr>
              <w:t>[What the fifth 'why' points to]</w:t>
            </w:r>
          </w:p>
        </w:tc>
        <w:tc>
          <w:tcPr>
            <w:tcW w:type="dxa" w:w="1872"/>
          </w:tcPr>
          <w:p>
            <w:pPr>
              <w:spacing w:after="0"/>
            </w:pPr>
            <w:r/>
            <w:r>
              <w:rPr>
                <w:rFonts w:ascii="Arial" w:hAnsi="Arial"/>
                <w:b w:val="0"/>
                <w:i/>
                <w:color w:val="5B6478"/>
                <w:sz w:val="16"/>
              </w:rPr>
              <w:t>[One action that removes the root cause]</w:t>
            </w:r>
          </w:p>
        </w:tc>
        <w:tc>
          <w:tcPr>
            <w:tcW w:type="dxa" w:w="1224"/>
          </w:tcPr>
          <w:p>
            <w:pPr>
              <w:spacing w:after="0"/>
            </w:pPr>
            <w:r/>
            <w:r>
              <w:rPr>
                <w:rFonts w:ascii="Arial" w:hAnsi="Arial"/>
                <w:b w:val="0"/>
                <w:i/>
                <w:color w:val="5B6478"/>
                <w:sz w:val="16"/>
              </w:rPr>
              <w:t>[Name, title]</w:t>
            </w:r>
          </w:p>
        </w:tc>
        <w:tc>
          <w:tcPr>
            <w:tcW w:type="dxa" w:w="1080"/>
          </w:tcPr>
          <w:p>
            <w:pPr>
              <w:spacing w:after="0"/>
            </w:pPr>
            <w:r/>
            <w:r>
              <w:rPr>
                <w:rFonts w:ascii="Arial" w:hAnsi="Arial"/>
                <w:b w:val="0"/>
                <w:i/>
                <w:color w:val="5B6478"/>
                <w:sz w:val="16"/>
              </w:rPr>
              <w:t>[Date the action is done] · next reading [date]</w:t>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bl>
    <w:p>
      <w:pPr>
        <w:spacing w:after="80"/>
      </w:pPr>
      <w:r>
        <w:rPr>
          <w:rFonts w:ascii="Arial" w:hAnsi="Arial"/>
          <w:b w:val="0"/>
          <w:i w:val="0"/>
          <w:color w:val="2B3445"/>
          <w:sz w:val="20"/>
        </w:rPr>
      </w:r>
    </w:p>
    <w:p>
      <w:pPr>
        <w:spacing w:after="80"/>
      </w:pPr>
      <w:r>
        <w:rPr>
          <w:rFonts w:ascii="Arial" w:hAnsi="Arial"/>
          <w:b/>
          <w:i w:val="0"/>
          <w:color w:val="27245E"/>
          <w:sz w:val="20"/>
        </w:rPr>
        <w:t>See how ClearPoint keeps every gap, owner and due date current: www.clearpointstrategy.com/get-a-demo</w:t>
      </w:r>
    </w:p>
    <w:sectPr w:rsidR="00FC693F" w:rsidRPr="0006063C" w:rsidSect="00034616">
      <w:footerReference w:type="default" r:id="rId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5B6478"/>
        <w:sz w:val="16"/>
      </w:rPr>
      <w:t>ClearPoint Strategy · Free Gap Analysis Template · https://www.clearpointstrategy.com/blog/gap-analysis-template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Free Gap Analysis Template — City example</dc:title>
  <dc:subject/>
  <dc:creator>ClearPoint Strategy</dc:creator>
  <cp:keywords/>
  <dc:description>generated by python-docx</dc:description>
  <cp:lastModifiedBy>ClearPoint Strategy</cp:lastModifiedBy>
  <cp:revision>1</cp:revision>
  <dcterms:created xsi:type="dcterms:W3CDTF">2013-12-23T23:15:00Z</dcterms:created>
  <dcterms:modified xsi:type="dcterms:W3CDTF">2013-12-23T23:15:00Z</dcterms:modified>
  <cp:category/>
</cp:coreProperties>
</file>