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rPr>
          <w:b/>
          <w:color w:val="27245E"/>
          <w:sz w:val="40"/>
        </w:rPr>
        <w:t>Free Gap Analysis Template — University example</w:t>
      </w:r>
    </w:p>
    <w:p>
      <w:pPr>
        <w:spacing w:after="80"/>
      </w:pPr>
      <w:r>
        <w:rPr>
          <w:rFonts w:ascii="Arial" w:hAnsi="Arial"/>
          <w:b w:val="0"/>
          <w:i/>
          <w:color w:val="5B6478"/>
          <w:sz w:val="20"/>
        </w:rPr>
        <w:t>Built from 20,000+ strategic plans analyzed (2017–2024).</w:t>
      </w:r>
    </w:p>
    <w:p>
      <w:pPr>
        <w:keepNext/>
        <w:spacing w:before="200" w:after="80"/>
      </w:pPr>
      <w:r>
        <w:rPr>
          <w:rFonts w:ascii="Arial" w:hAnsi="Arial"/>
          <w:b/>
          <w:color w:val="27245E"/>
          <w:sz w:val="28"/>
        </w:rPr>
        <w:t>How to use this gap analysis template in 7 steps</w:t>
      </w:r>
    </w:p>
    <w:p>
      <w:pPr>
        <w:spacing w:after="80"/>
      </w:pPr>
      <w:r>
        <w:rPr>
          <w:rFonts w:ascii="Arial" w:hAnsi="Arial"/>
          <w:b w:val="0"/>
          <w:i w:val="0"/>
          <w:color w:val="2B3445"/>
          <w:sz w:val="20"/>
        </w:rPr>
        <w:t>Fill the header first, then one grid row per measure. Pull the current reading with its date and source, write the target with its deadline and assumption, and measure the gap. Name the gap type, run five whys once, then write one action with one named owner and a due date. Review the grid on a fixed day.</w:t>
      </w:r>
    </w:p>
    <w:p>
      <w:pPr>
        <w:spacing w:after="60"/>
      </w:pPr>
      <w:r>
        <w:rPr>
          <w:b/>
          <w:color w:val="27245E"/>
        </w:rPr>
        <w:t xml:space="preserve">1. Pick one goal and one measure per row. </w:t>
      </w:r>
      <w:r>
        <w:t>Use a measure someone updates at least monthly, owned by a person who controls its inputs. If nobody can say what would move it by 10%, it's a placeholder, not a measure.</w:t>
      </w:r>
    </w:p>
    <w:p>
      <w:pPr>
        <w:spacing w:after="60"/>
      </w:pPr>
      <w:r>
        <w:rPr>
          <w:b/>
          <w:color w:val="27245E"/>
        </w:rPr>
        <w:t xml:space="preserve">2. Write the current state with its date and source. </w:t>
      </w:r>
      <w:r>
        <w:t>For example: 7.5 minutes, September 2026, CAD export pulled October 3. A number without a date starts arguments, not decisions.</w:t>
      </w:r>
    </w:p>
    <w:p>
      <w:pPr>
        <w:spacing w:after="60"/>
      </w:pPr>
      <w:r>
        <w:rPr>
          <w:b/>
          <w:color w:val="27245E"/>
        </w:rPr>
        <w:t xml:space="preserve">3. Write the target state with its deadline and assumption. </w:t>
      </w:r>
      <w:r>
        <w:t>“7.2 minutes by June 30, 2027, assuming all patrol positions are filled” tells you what to check first when the gap opens.</w:t>
      </w:r>
    </w:p>
    <w:p>
      <w:pPr>
        <w:spacing w:after="60"/>
      </w:pPr>
      <w:r>
        <w:rPr>
          <w:b/>
          <w:color w:val="27245E"/>
        </w:rPr>
        <w:t xml:space="preserve">4. Measure the gap and name its type. </w:t>
      </w:r>
      <w:r>
        <w:t>Write the difference and its direction over the last three readings. Then pick one of the four gap types: performance, tracking, definition or strategy.</w:t>
      </w:r>
    </w:p>
    <w:p>
      <w:pPr>
        <w:spacing w:after="60"/>
      </w:pPr>
      <w:r>
        <w:rPr>
          <w:b/>
          <w:color w:val="27245E"/>
        </w:rPr>
        <w:t xml:space="preserve">5. Run five whys once. </w:t>
      </w:r>
      <w:r>
        <w:t>Ask why the gap exists, then why again, until you reach something your organization can change this year. That answer goes in the root cause column.</w:t>
      </w:r>
    </w:p>
    <w:p>
      <w:pPr>
        <w:spacing w:after="60"/>
      </w:pPr>
      <w:r>
        <w:rPr>
          <w:b/>
          <w:color w:val="27245E"/>
        </w:rPr>
        <w:t xml:space="preserve">6. Write one action, one owner and one due date. </w:t>
      </w:r>
      <w:r>
        <w:t>Name a person, with a title, who controls the inputs. In ClearPoint plan data, initiatives with a named owner are completed 2.5× as often (21.5% vs 8.7%).</w:t>
      </w:r>
    </w:p>
    <w:p>
      <w:pPr>
        <w:spacing w:after="60"/>
      </w:pPr>
      <w:r>
        <w:rPr>
          <w:b/>
          <w:color w:val="27245E"/>
        </w:rPr>
        <w:t xml:space="preserve">7. Review the grid on a fixed day. </w:t>
      </w:r>
      <w:r>
        <w:t>Re-read every row on the monthly update day. Close a row when the reading meets its target line. Re-baseline a target when its assumption breaks, and write down why.</w:t>
      </w:r>
    </w:p>
    <w:p>
      <w:pPr>
        <w:keepNext/>
        <w:spacing w:before="200" w:after="80"/>
      </w:pPr>
      <w:r>
        <w:rPr>
          <w:rFonts w:ascii="Arial" w:hAnsi="Arial"/>
          <w:b/>
          <w:color w:val="27245E"/>
          <w:sz w:val="28"/>
        </w:rPr>
        <w:t>The four types of gap</w:t>
      </w:r>
    </w:p>
    <w:tbl>
      <w:tblPr>
        <w:tblStyle w:val="TableGrid"/>
        <w:tblW w:type="auto" w:w="0"/>
        <w:jc w:val="center"/>
        <w:tblLayout w:type="fixed"/>
        <w:tblLook w:firstColumn="1" w:firstRow="1" w:lastColumn="0" w:lastRow="0" w:noHBand="0" w:noVBand="1" w:val="04A0"/>
      </w:tblPr>
      <w:tblGrid>
        <w:gridCol w:w="2880"/>
        <w:gridCol w:w="2880"/>
        <w:gridCol w:w="2880"/>
        <w:gridCol w:w="2880"/>
        <w:gridCol w:w="2880"/>
      </w:tblGrid>
      <w:tr>
        <w:trPr>
          <w:tblHeader w:val="true"/>
        </w:trPr>
        <w:tc>
          <w:tcPr>
            <w:tcW w:type="dxa" w:w="1872"/>
            <w:shd w:val="clear" w:color="auto" w:fill="27245E"/>
          </w:tcPr>
          <w:p>
            <w:pPr>
              <w:spacing w:after="0"/>
            </w:pPr>
            <w:r/>
            <w:r>
              <w:rPr>
                <w:rFonts w:ascii="Arial" w:hAnsi="Arial"/>
                <w:b/>
                <w:i w:val="0"/>
                <w:color w:val="FFFFFF"/>
                <w:sz w:val="16"/>
              </w:rPr>
              <w:t>Gap type</w:t>
            </w:r>
          </w:p>
        </w:tc>
        <w:tc>
          <w:tcPr>
            <w:tcW w:type="dxa" w:w="3312"/>
            <w:shd w:val="clear" w:color="auto" w:fill="27245E"/>
          </w:tcPr>
          <w:p>
            <w:pPr>
              <w:spacing w:after="0"/>
            </w:pPr>
            <w:r/>
            <w:r>
              <w:rPr>
                <w:rFonts w:ascii="Arial" w:hAnsi="Arial"/>
                <w:b/>
                <w:i w:val="0"/>
                <w:color w:val="FFFFFF"/>
                <w:sz w:val="16"/>
              </w:rPr>
              <w:t>What you see</w:t>
            </w:r>
          </w:p>
        </w:tc>
        <w:tc>
          <w:tcPr>
            <w:tcW w:type="dxa" w:w="3024"/>
            <w:shd w:val="clear" w:color="auto" w:fill="27245E"/>
          </w:tcPr>
          <w:p>
            <w:pPr>
              <w:spacing w:after="0"/>
            </w:pPr>
            <w:r/>
            <w:r>
              <w:rPr>
                <w:rFonts w:ascii="Arial" w:hAnsi="Arial"/>
                <w:b/>
                <w:i w:val="0"/>
                <w:color w:val="FFFFFF"/>
                <w:sz w:val="16"/>
              </w:rPr>
              <w:t>What it usually means</w:t>
            </w:r>
          </w:p>
        </w:tc>
        <w:tc>
          <w:tcPr>
            <w:tcW w:type="dxa" w:w="3600"/>
            <w:shd w:val="clear" w:color="auto" w:fill="27245E"/>
          </w:tcPr>
          <w:p>
            <w:pPr>
              <w:spacing w:after="0"/>
            </w:pPr>
            <w:r/>
            <w:r>
              <w:rPr>
                <w:rFonts w:ascii="Arial" w:hAnsi="Arial"/>
                <w:b/>
                <w:i w:val="0"/>
                <w:color w:val="FFFFFF"/>
                <w:sz w:val="16"/>
              </w:rPr>
              <w:t>First fix</w:t>
            </w:r>
          </w:p>
        </w:tc>
        <w:tc>
          <w:tcPr>
            <w:tcW w:type="dxa" w:w="2592"/>
            <w:shd w:val="clear" w:color="auto" w:fill="27245E"/>
          </w:tcPr>
          <w:p>
            <w:pPr>
              <w:spacing w:after="0"/>
            </w:pPr>
            <w:r/>
            <w:r>
              <w:rPr>
                <w:rFonts w:ascii="Arial" w:hAnsi="Arial"/>
                <w:b/>
                <w:i w:val="0"/>
                <w:color w:val="FFFFFF"/>
                <w:sz w:val="16"/>
              </w:rPr>
              <w:t>In the examples</w:t>
            </w:r>
          </w:p>
        </w:tc>
      </w:tr>
      <w:tr>
        <w:tc>
          <w:tcPr>
            <w:tcW w:type="dxa" w:w="1872"/>
            <w:shd w:val="clear" w:color="auto" w:fill="FDE2DF"/>
          </w:tcPr>
          <w:p>
            <w:pPr>
              <w:spacing w:after="0"/>
            </w:pPr>
            <w:r/>
            <w:r>
              <w:rPr>
                <w:rFonts w:ascii="Arial" w:hAnsi="Arial"/>
                <w:b/>
                <w:i w:val="0"/>
                <w:color w:val="9B2A21"/>
                <w:sz w:val="16"/>
              </w:rPr>
              <w:t>Performance</w:t>
            </w:r>
          </w:p>
        </w:tc>
        <w:tc>
          <w:tcPr>
            <w:tcW w:type="dxa" w:w="3312"/>
          </w:tcPr>
          <w:p>
            <w:pPr>
              <w:spacing w:after="0"/>
            </w:pPr>
            <w:r/>
            <w:r>
              <w:rPr>
                <w:rFonts w:ascii="Arial" w:hAnsi="Arial"/>
                <w:b w:val="0"/>
                <w:i w:val="0"/>
                <w:color w:val="2B3445"/>
                <w:sz w:val="16"/>
              </w:rPr>
              <w:t>A fresh reading, worse than the target line.</w:t>
            </w:r>
          </w:p>
        </w:tc>
        <w:tc>
          <w:tcPr>
            <w:tcW w:type="dxa" w:w="3024"/>
          </w:tcPr>
          <w:p>
            <w:pPr>
              <w:spacing w:after="0"/>
            </w:pPr>
            <w:r/>
            <w:r>
              <w:rPr>
                <w:rFonts w:ascii="Arial" w:hAnsi="Arial"/>
                <w:b w:val="0"/>
                <w:i w:val="0"/>
                <w:color w:val="2B3445"/>
                <w:sz w:val="16"/>
              </w:rPr>
              <w:t>The work isn't producing the result.</w:t>
            </w:r>
          </w:p>
        </w:tc>
        <w:tc>
          <w:tcPr>
            <w:tcW w:type="dxa" w:w="3600"/>
          </w:tcPr>
          <w:p>
            <w:pPr>
              <w:spacing w:after="0"/>
            </w:pPr>
            <w:r/>
            <w:r>
              <w:rPr>
                <w:rFonts w:ascii="Arial" w:hAnsi="Arial"/>
                <w:b w:val="0"/>
                <w:i w:val="0"/>
                <w:color w:val="2B3445"/>
                <w:sz w:val="16"/>
              </w:rPr>
              <w:t>Change or add one action. Check in within 90 days.</w:t>
            </w:r>
          </w:p>
        </w:tc>
        <w:tc>
          <w:tcPr>
            <w:tcW w:type="dxa" w:w="2592"/>
          </w:tcPr>
          <w:p>
            <w:pPr>
              <w:spacing w:after="0"/>
            </w:pPr>
            <w:r/>
            <w:r>
              <w:rPr>
                <w:rFonts w:ascii="Arial" w:hAnsi="Arial"/>
                <w:b w:val="0"/>
                <w:i w:val="0"/>
                <w:color w:val="2B3445"/>
                <w:sz w:val="16"/>
              </w:rPr>
              <w:t>City 2.1 · Hospital 1.1 · University 1.1</w:t>
            </w:r>
          </w:p>
        </w:tc>
      </w:tr>
      <w:tr>
        <w:tc>
          <w:tcPr>
            <w:tcW w:type="dxa" w:w="1872"/>
            <w:shd w:val="clear" w:color="auto" w:fill="FFE6D9"/>
          </w:tcPr>
          <w:p>
            <w:pPr>
              <w:spacing w:after="0"/>
            </w:pPr>
            <w:r/>
            <w:r>
              <w:rPr>
                <w:rFonts w:ascii="Arial" w:hAnsi="Arial"/>
                <w:b/>
                <w:i w:val="0"/>
                <w:color w:val="A8431C"/>
                <w:sz w:val="16"/>
              </w:rPr>
              <w:t>Tracking</w:t>
            </w:r>
          </w:p>
        </w:tc>
        <w:tc>
          <w:tcPr>
            <w:tcW w:type="dxa" w:w="3312"/>
          </w:tcPr>
          <w:p>
            <w:pPr>
              <w:spacing w:after="0"/>
            </w:pPr>
            <w:r/>
            <w:r>
              <w:rPr>
                <w:rFonts w:ascii="Arial" w:hAnsi="Arial"/>
                <w:b w:val="0"/>
                <w:i w:val="0"/>
                <w:color w:val="2B3445"/>
                <w:sz w:val="16"/>
              </w:rPr>
              <w:t>No reading on the update day, or the same value for months.</w:t>
            </w:r>
          </w:p>
        </w:tc>
        <w:tc>
          <w:tcPr>
            <w:tcW w:type="dxa" w:w="3024"/>
          </w:tcPr>
          <w:p>
            <w:pPr>
              <w:spacing w:after="0"/>
            </w:pPr>
            <w:r/>
            <w:r>
              <w:rPr>
                <w:rFonts w:ascii="Arial" w:hAnsi="Arial"/>
                <w:b w:val="0"/>
                <w:i w:val="0"/>
                <w:color w:val="2B3445"/>
                <w:sz w:val="16"/>
              </w:rPr>
              <w:t>Nobody owns the reading.</w:t>
            </w:r>
          </w:p>
        </w:tc>
        <w:tc>
          <w:tcPr>
            <w:tcW w:type="dxa" w:w="3600"/>
          </w:tcPr>
          <w:p>
            <w:pPr>
              <w:spacing w:after="0"/>
            </w:pPr>
            <w:r/>
            <w:r>
              <w:rPr>
                <w:rFonts w:ascii="Arial" w:hAnsi="Arial"/>
                <w:b w:val="0"/>
                <w:i w:val="0"/>
                <w:color w:val="2B3445"/>
                <w:sz w:val="16"/>
              </w:rPr>
              <w:t>Name an owner for the data before you add any work.</w:t>
            </w:r>
          </w:p>
        </w:tc>
        <w:tc>
          <w:tcPr>
            <w:tcW w:type="dxa" w:w="2592"/>
          </w:tcPr>
          <w:p>
            <w:pPr>
              <w:spacing w:after="0"/>
            </w:pPr>
            <w:r/>
            <w:r>
              <w:rPr>
                <w:rFonts w:ascii="Arial" w:hAnsi="Arial"/>
                <w:b w:val="0"/>
                <w:i w:val="0"/>
                <w:color w:val="2B3445"/>
                <w:sz w:val="16"/>
              </w:rPr>
              <w:t>City 4.2 · Hospital 4.1 · University 4.1</w:t>
            </w:r>
          </w:p>
        </w:tc>
      </w:tr>
      <w:tr>
        <w:tc>
          <w:tcPr>
            <w:tcW w:type="dxa" w:w="1872"/>
            <w:shd w:val="clear" w:color="auto" w:fill="DCEEFA"/>
          </w:tcPr>
          <w:p>
            <w:pPr>
              <w:spacing w:after="0"/>
            </w:pPr>
            <w:r/>
            <w:r>
              <w:rPr>
                <w:rFonts w:ascii="Arial" w:hAnsi="Arial"/>
                <w:b/>
                <w:i w:val="0"/>
                <w:color w:val="155F8F"/>
                <w:sz w:val="16"/>
              </w:rPr>
              <w:t>Definition</w:t>
            </w:r>
          </w:p>
        </w:tc>
        <w:tc>
          <w:tcPr>
            <w:tcW w:type="dxa" w:w="3312"/>
          </w:tcPr>
          <w:p>
            <w:pPr>
              <w:spacing w:after="0"/>
            </w:pPr>
            <w:r/>
            <w:r>
              <w:rPr>
                <w:rFonts w:ascii="Arial" w:hAnsi="Arial"/>
                <w:b w:val="0"/>
                <w:i w:val="0"/>
                <w:color w:val="2B3445"/>
                <w:sz w:val="16"/>
              </w:rPr>
              <w:t>The measure moved, but the target no longer makes sense.</w:t>
            </w:r>
          </w:p>
        </w:tc>
        <w:tc>
          <w:tcPr>
            <w:tcW w:type="dxa" w:w="3024"/>
          </w:tcPr>
          <w:p>
            <w:pPr>
              <w:spacing w:after="0"/>
            </w:pPr>
            <w:r/>
            <w:r>
              <w:rPr>
                <w:rFonts w:ascii="Arial" w:hAnsi="Arial"/>
                <w:b w:val="0"/>
                <w:i w:val="0"/>
                <w:color w:val="2B3445"/>
                <w:sz w:val="16"/>
              </w:rPr>
              <w:t>An assumption behind the target broke.</w:t>
            </w:r>
          </w:p>
        </w:tc>
        <w:tc>
          <w:tcPr>
            <w:tcW w:type="dxa" w:w="3600"/>
          </w:tcPr>
          <w:p>
            <w:pPr>
              <w:spacing w:after="0"/>
            </w:pPr>
            <w:r/>
            <w:r>
              <w:rPr>
                <w:rFonts w:ascii="Arial" w:hAnsi="Arial"/>
                <w:b w:val="0"/>
                <w:i w:val="0"/>
                <w:color w:val="2B3445"/>
                <w:sz w:val="16"/>
              </w:rPr>
              <w:t>Re-baseline the target and write down which assumption changed.</w:t>
            </w:r>
          </w:p>
        </w:tc>
        <w:tc>
          <w:tcPr>
            <w:tcW w:type="dxa" w:w="2592"/>
          </w:tcPr>
          <w:p>
            <w:pPr>
              <w:spacing w:after="0"/>
            </w:pPr>
            <w:r/>
            <w:r>
              <w:rPr>
                <w:rFonts w:ascii="Arial" w:hAnsi="Arial"/>
                <w:b w:val="0"/>
                <w:i w:val="0"/>
                <w:color w:val="2B3445"/>
                <w:sz w:val="16"/>
              </w:rPr>
              <w:t>City 3.1 · Hospital 3.1 · University 2.2</w:t>
            </w:r>
          </w:p>
        </w:tc>
      </w:tr>
      <w:tr>
        <w:tc>
          <w:tcPr>
            <w:tcW w:type="dxa" w:w="1872"/>
            <w:shd w:val="clear" w:color="auto" w:fill="E4E3F1"/>
          </w:tcPr>
          <w:p>
            <w:pPr>
              <w:spacing w:after="0"/>
            </w:pPr>
            <w:r/>
            <w:r>
              <w:rPr>
                <w:rFonts w:ascii="Arial" w:hAnsi="Arial"/>
                <w:b/>
                <w:i w:val="0"/>
                <w:color w:val="27245E"/>
                <w:sz w:val="16"/>
              </w:rPr>
              <w:t>Strategy</w:t>
            </w:r>
          </w:p>
        </w:tc>
        <w:tc>
          <w:tcPr>
            <w:tcW w:type="dxa" w:w="3312"/>
          </w:tcPr>
          <w:p>
            <w:pPr>
              <w:spacing w:after="0"/>
            </w:pPr>
            <w:r/>
            <w:r>
              <w:rPr>
                <w:rFonts w:ascii="Arial" w:hAnsi="Arial"/>
                <w:b w:val="0"/>
                <w:i w:val="0"/>
                <w:color w:val="2B3445"/>
                <w:sz w:val="16"/>
              </w:rPr>
              <w:t>Projects finish on time, and the measure still misses.</w:t>
            </w:r>
          </w:p>
        </w:tc>
        <w:tc>
          <w:tcPr>
            <w:tcW w:type="dxa" w:w="3024"/>
          </w:tcPr>
          <w:p>
            <w:pPr>
              <w:spacing w:after="0"/>
            </w:pPr>
            <w:r/>
            <w:r>
              <w:rPr>
                <w:rFonts w:ascii="Arial" w:hAnsi="Arial"/>
                <w:b w:val="0"/>
                <w:i w:val="0"/>
                <w:color w:val="2B3445"/>
                <w:sz w:val="16"/>
              </w:rPr>
              <w:t>The plan is working on the wrong cause.</w:t>
            </w:r>
          </w:p>
        </w:tc>
        <w:tc>
          <w:tcPr>
            <w:tcW w:type="dxa" w:w="3600"/>
          </w:tcPr>
          <w:p>
            <w:pPr>
              <w:spacing w:after="0"/>
            </w:pPr>
            <w:r/>
            <w:r>
              <w:rPr>
                <w:rFonts w:ascii="Arial" w:hAnsi="Arial"/>
                <w:b w:val="0"/>
                <w:i w:val="0"/>
                <w:color w:val="2B3445"/>
                <w:sz w:val="16"/>
              </w:rPr>
              <w:t>Pause the projects. Run a strategy review on that goal.</w:t>
            </w:r>
          </w:p>
        </w:tc>
        <w:tc>
          <w:tcPr>
            <w:tcW w:type="dxa" w:w="2592"/>
          </w:tcPr>
          <w:p>
            <w:pPr>
              <w:spacing w:after="0"/>
            </w:pPr>
            <w:r/>
            <w:r>
              <w:rPr>
                <w:rFonts w:ascii="Arial" w:hAnsi="Arial"/>
                <w:b w:val="0"/>
                <w:i w:val="0"/>
                <w:color w:val="2B3445"/>
                <w:sz w:val="16"/>
              </w:rPr>
              <w:t>City 1.1 · Hospital 1.2 · University 1.2</w:t>
            </w:r>
          </w:p>
        </w:tc>
      </w:tr>
    </w:tbl>
    <w:p>
      <w:r>
        <w:br w:type="page"/>
      </w:r>
    </w:p>
    <w:p>
      <w:pPr>
        <w:keepNext/>
        <w:spacing w:before="200" w:after="80"/>
      </w:pPr>
      <w:r>
        <w:rPr>
          <w:rFonts w:ascii="Arial" w:hAnsi="Arial"/>
          <w:b/>
          <w:color w:val="27245E"/>
          <w:sz w:val="32"/>
        </w:rPr>
        <w:t>Example 3: gap analysis for a regional public university</w:t>
      </w:r>
    </w:p>
    <w:p>
      <w:pPr>
        <w:spacing w:after="80"/>
      </w:pPr>
      <w:r>
        <w:rPr>
          <w:rFonts w:ascii="Arial" w:hAnsi="Arial"/>
          <w:b w:val="0"/>
          <w:i w:val="0"/>
          <w:color w:val="2B3445"/>
          <w:sz w:val="20"/>
        </w:rPr>
        <w:t>This is the template filled in for the regional public university of about 12,000 students in our 5-year strategic plan template. The October 2026 analysis covers first-year retention, the operating margin, research funding and the six-year graduation rate. Readings come from the fall census, the finance office, sponsored programs and IPEDS, and the president's cabinet reviews them.</w:t>
      </w:r>
    </w:p>
    <w:p>
      <w:pPr>
        <w:spacing w:after="80"/>
      </w:pPr>
      <w:r>
        <w:rPr>
          <w:rFonts w:ascii="Arial" w:hAnsi="Arial"/>
          <w:b w:val="0"/>
          <w:i/>
          <w:color w:val="5B6478"/>
          <w:sz w:val="20"/>
        </w:rPr>
        <w:t>Illustrative example. Owner names are ClearPoint demo personas.</w:t>
      </w:r>
    </w:p>
    <w:tbl>
      <w:tblPr>
        <w:tblStyle w:val="TableGrid"/>
        <w:tblW w:type="auto" w:w="0"/>
        <w:jc w:val="center"/>
        <w:tblLayout w:type="fixed"/>
        <w:tblLook w:firstColumn="1" w:firstRow="1" w:lastColumn="0" w:lastRow="0" w:noHBand="0" w:noVBand="1" w:val="04A0"/>
      </w:tblPr>
      <w:tblGrid>
        <w:gridCol w:w="7200"/>
        <w:gridCol w:w="7200"/>
      </w:tblGrid>
      <w:tr>
        <w:trPr>
          <w:tblHeader w:val="true"/>
        </w:trPr>
        <w:tc>
          <w:tcPr>
            <w:tcW w:type="dxa" w:w="2880"/>
            <w:shd w:val="clear" w:color="auto" w:fill="27245E"/>
          </w:tcPr>
          <w:p>
            <w:pPr>
              <w:spacing w:after="0"/>
            </w:pPr>
            <w:r/>
            <w:r>
              <w:rPr>
                <w:rFonts w:ascii="Arial" w:hAnsi="Arial"/>
                <w:b/>
                <w:i w:val="0"/>
                <w:color w:val="FFFFFF"/>
                <w:sz w:val="16"/>
              </w:rPr>
              <w:t>Field</w:t>
            </w:r>
          </w:p>
        </w:tc>
        <w:tc>
          <w:tcPr>
            <w:tcW w:type="dxa" w:w="11520"/>
            <w:shd w:val="clear" w:color="auto" w:fill="27245E"/>
          </w:tcPr>
          <w:p>
            <w:pPr>
              <w:spacing w:after="0"/>
            </w:pPr>
            <w:r/>
            <w:r>
              <w:rPr>
                <w:rFonts w:ascii="Arial" w:hAnsi="Arial"/>
                <w:b/>
                <w:i w:val="0"/>
                <w:color w:val="FFFFFF"/>
                <w:sz w:val="16"/>
              </w:rPr>
              <w:t>University example</w:t>
            </w:r>
          </w:p>
        </w:tc>
      </w:tr>
      <w:tr>
        <w:tc>
          <w:tcPr>
            <w:tcW w:type="dxa" w:w="2880"/>
            <w:shd w:val="clear" w:color="auto" w:fill="F4F4F6"/>
          </w:tcPr>
          <w:p>
            <w:pPr>
              <w:spacing w:after="0"/>
            </w:pPr>
            <w:r/>
            <w:r>
              <w:rPr>
                <w:rFonts w:ascii="Arial" w:hAnsi="Arial"/>
                <w:b/>
                <w:i w:val="0"/>
                <w:color w:val="2B3445"/>
                <w:sz w:val="16"/>
              </w:rPr>
              <w:t>Organization and plan</w:t>
            </w:r>
          </w:p>
        </w:tc>
        <w:tc>
          <w:tcPr>
            <w:tcW w:type="dxa" w:w="11520"/>
          </w:tcPr>
          <w:p>
            <w:pPr>
              <w:spacing w:after="0"/>
            </w:pPr>
            <w:r/>
            <w:r>
              <w:rPr>
                <w:rFonts w:ascii="Arial" w:hAnsi="Arial"/>
                <w:b w:val="0"/>
                <w:i w:val="0"/>
                <w:color w:val="2B3445"/>
                <w:sz w:val="16"/>
              </w:rPr>
              <w:t>University strategic plan FY2027–FY2031, regional public university of about 12,000 students.</w:t>
            </w:r>
          </w:p>
        </w:tc>
      </w:tr>
      <w:tr>
        <w:tc>
          <w:tcPr>
            <w:tcW w:type="dxa" w:w="2880"/>
            <w:shd w:val="clear" w:color="auto" w:fill="F4F4F6"/>
          </w:tcPr>
          <w:p>
            <w:pPr>
              <w:spacing w:after="0"/>
            </w:pPr>
            <w:r/>
            <w:r>
              <w:rPr>
                <w:rFonts w:ascii="Arial" w:hAnsi="Arial"/>
                <w:b/>
                <w:i w:val="0"/>
                <w:color w:val="2B3445"/>
                <w:sz w:val="16"/>
              </w:rPr>
              <w:t>Analysis date</w:t>
            </w:r>
          </w:p>
        </w:tc>
        <w:tc>
          <w:tcPr>
            <w:tcW w:type="dxa" w:w="11520"/>
          </w:tcPr>
          <w:p>
            <w:pPr>
              <w:spacing w:after="0"/>
            </w:pPr>
            <w:r/>
            <w:r>
              <w:rPr>
                <w:rFonts w:ascii="Arial" w:hAnsi="Arial"/>
                <w:b w:val="0"/>
                <w:i w:val="0"/>
                <w:color w:val="2B3445"/>
                <w:sz w:val="16"/>
              </w:rPr>
              <w:t>October 15, 2026 (the monthly update day)</w:t>
            </w:r>
          </w:p>
        </w:tc>
      </w:tr>
      <w:tr>
        <w:tc>
          <w:tcPr>
            <w:tcW w:type="dxa" w:w="2880"/>
            <w:shd w:val="clear" w:color="auto" w:fill="F4F4F6"/>
          </w:tcPr>
          <w:p>
            <w:pPr>
              <w:spacing w:after="0"/>
            </w:pPr>
            <w:r/>
            <w:r>
              <w:rPr>
                <w:rFonts w:ascii="Arial" w:hAnsi="Arial"/>
                <w:b/>
                <w:i w:val="0"/>
                <w:color w:val="2B3445"/>
                <w:sz w:val="16"/>
              </w:rPr>
              <w:t>Period covered</w:t>
            </w:r>
          </w:p>
        </w:tc>
        <w:tc>
          <w:tcPr>
            <w:tcW w:type="dxa" w:w="11520"/>
          </w:tcPr>
          <w:p>
            <w:pPr>
              <w:spacing w:after="0"/>
            </w:pPr>
            <w:r/>
            <w:r>
              <w:rPr>
                <w:rFonts w:ascii="Arial" w:hAnsi="Arial"/>
                <w:b w:val="0"/>
                <w:i w:val="0"/>
                <w:color w:val="2B3445"/>
                <w:sz w:val="16"/>
              </w:rPr>
              <w:t>Fall 2026 term, first quarter of FY2027</w:t>
            </w:r>
          </w:p>
        </w:tc>
      </w:tr>
      <w:tr>
        <w:tc>
          <w:tcPr>
            <w:tcW w:type="dxa" w:w="2880"/>
            <w:shd w:val="clear" w:color="auto" w:fill="F4F4F6"/>
          </w:tcPr>
          <w:p>
            <w:pPr>
              <w:spacing w:after="0"/>
            </w:pPr>
            <w:r/>
            <w:r>
              <w:rPr>
                <w:rFonts w:ascii="Arial" w:hAnsi="Arial"/>
                <w:b/>
                <w:i w:val="0"/>
                <w:color w:val="2B3445"/>
                <w:sz w:val="16"/>
              </w:rPr>
              <w:t>Data sources</w:t>
            </w:r>
          </w:p>
        </w:tc>
        <w:tc>
          <w:tcPr>
            <w:tcW w:type="dxa" w:w="11520"/>
          </w:tcPr>
          <w:p>
            <w:pPr>
              <w:spacing w:after="0"/>
            </w:pPr>
            <w:r/>
            <w:r>
              <w:rPr>
                <w:rFonts w:ascii="Arial" w:hAnsi="Arial"/>
                <w:b w:val="0"/>
                <w:i w:val="0"/>
                <w:color w:val="2B3445"/>
                <w:sz w:val="16"/>
              </w:rPr>
              <w:t>Fall census file · finance office ledger · sponsored programs ledger · IPEDS graduation rates</w:t>
            </w:r>
          </w:p>
        </w:tc>
      </w:tr>
      <w:tr>
        <w:tc>
          <w:tcPr>
            <w:tcW w:type="dxa" w:w="2880"/>
            <w:shd w:val="clear" w:color="auto" w:fill="F4F4F6"/>
          </w:tcPr>
          <w:p>
            <w:pPr>
              <w:spacing w:after="0"/>
            </w:pPr>
            <w:r/>
            <w:r>
              <w:rPr>
                <w:rFonts w:ascii="Arial" w:hAnsi="Arial"/>
                <w:b/>
                <w:i w:val="0"/>
                <w:color w:val="2B3445"/>
                <w:sz w:val="16"/>
              </w:rPr>
              <w:t>Prepared by</w:t>
            </w:r>
          </w:p>
        </w:tc>
        <w:tc>
          <w:tcPr>
            <w:tcW w:type="dxa" w:w="11520"/>
          </w:tcPr>
          <w:p>
            <w:pPr>
              <w:spacing w:after="0"/>
            </w:pPr>
            <w:r/>
            <w:r>
              <w:rPr>
                <w:rFonts w:ascii="Arial" w:hAnsi="Arial"/>
                <w:b w:val="0"/>
                <w:i w:val="0"/>
                <w:color w:val="2B3445"/>
                <w:sz w:val="16"/>
              </w:rPr>
              <w:t>Clarice W., Provost</w:t>
            </w:r>
          </w:p>
        </w:tc>
      </w:tr>
      <w:tr>
        <w:tc>
          <w:tcPr>
            <w:tcW w:type="dxa" w:w="2880"/>
            <w:shd w:val="clear" w:color="auto" w:fill="F4F4F6"/>
          </w:tcPr>
          <w:p>
            <w:pPr>
              <w:spacing w:after="0"/>
            </w:pPr>
            <w:r/>
            <w:r>
              <w:rPr>
                <w:rFonts w:ascii="Arial" w:hAnsi="Arial"/>
                <w:b/>
                <w:i w:val="0"/>
                <w:color w:val="2B3445"/>
                <w:sz w:val="16"/>
              </w:rPr>
              <w:t>Reviewed at</w:t>
            </w:r>
          </w:p>
        </w:tc>
        <w:tc>
          <w:tcPr>
            <w:tcW w:type="dxa" w:w="11520"/>
          </w:tcPr>
          <w:p>
            <w:pPr>
              <w:spacing w:after="0"/>
            </w:pPr>
            <w:r/>
            <w:r>
              <w:rPr>
                <w:rFonts w:ascii="Arial" w:hAnsi="Arial"/>
                <w:b w:val="0"/>
                <w:i w:val="0"/>
                <w:color w:val="2B3445"/>
                <w:sz w:val="16"/>
              </w:rPr>
              <w:t>President's cabinet, November 3, 2026</w:t>
            </w:r>
          </w:p>
        </w:tc>
      </w:tr>
      <w:tr>
        <w:tc>
          <w:tcPr>
            <w:tcW w:type="dxa" w:w="2880"/>
            <w:shd w:val="clear" w:color="auto" w:fill="F4F4F6"/>
          </w:tcPr>
          <w:p>
            <w:pPr>
              <w:spacing w:after="0"/>
            </w:pPr>
            <w:r/>
            <w:r>
              <w:rPr>
                <w:rFonts w:ascii="Arial" w:hAnsi="Arial"/>
                <w:b/>
                <w:i w:val="0"/>
                <w:color w:val="2B3445"/>
                <w:sz w:val="16"/>
              </w:rPr>
              <w:t>Gap rule</w:t>
            </w:r>
          </w:p>
        </w:tc>
        <w:tc>
          <w:tcPr>
            <w:tcW w:type="dxa" w:w="11520"/>
          </w:tcPr>
          <w:p>
            <w:pPr>
              <w:spacing w:after="0"/>
            </w:pPr>
            <w:r/>
            <w:r>
              <w:rPr>
                <w:rFonts w:ascii="Arial" w:hAnsi="Arial"/>
                <w:b w:val="0"/>
                <w:i w:val="0"/>
                <w:color w:val="2B3445"/>
                <w:sz w:val="16"/>
              </w:rPr>
              <w:t>A row is a gap when the latest reading misses the target line for the period, or when no reading arrives on the update day.</w:t>
            </w:r>
          </w:p>
        </w:tc>
      </w:tr>
      <w:tr>
        <w:tc>
          <w:tcPr>
            <w:tcW w:type="dxa" w:w="2880"/>
            <w:shd w:val="clear" w:color="auto" w:fill="F4F4F6"/>
          </w:tcPr>
          <w:p>
            <w:pPr>
              <w:spacing w:after="0"/>
            </w:pPr>
            <w:r/>
            <w:r>
              <w:rPr>
                <w:rFonts w:ascii="Arial" w:hAnsi="Arial"/>
                <w:b/>
                <w:i w:val="0"/>
                <w:color w:val="2B3445"/>
                <w:sz w:val="16"/>
              </w:rPr>
              <w:t>Next review</w:t>
            </w:r>
          </w:p>
        </w:tc>
        <w:tc>
          <w:tcPr>
            <w:tcW w:type="dxa" w:w="11520"/>
          </w:tcPr>
          <w:p>
            <w:pPr>
              <w:spacing w:after="0"/>
            </w:pPr>
            <w:r/>
            <w:r>
              <w:rPr>
                <w:rFonts w:ascii="Arial" w:hAnsi="Arial"/>
                <w:b w:val="0"/>
                <w:i w:val="0"/>
                <w:color w:val="2B3445"/>
                <w:sz w:val="16"/>
              </w:rPr>
              <w:t>November 16, 2026 update day</w:t>
            </w:r>
          </w:p>
        </w:tc>
      </w:tr>
    </w:tbl>
    <w:p>
      <w:pPr>
        <w:spacing w:after="80"/>
      </w:pPr>
      <w:r>
        <w:rPr>
          <w:rFonts w:ascii="Arial" w:hAnsi="Arial"/>
          <w:b w:val="0"/>
          <w:i w:val="0"/>
          <w:color w:val="2B3445"/>
          <w:sz w:val="20"/>
        </w:rPr>
      </w:r>
    </w:p>
    <w:tbl>
      <w:tblPr>
        <w:tblStyle w:val="TableGrid"/>
        <w:tblW w:type="auto" w:w="0"/>
        <w:jc w:val="center"/>
        <w:tblLayout w:type="fixed"/>
        <w:tblLook w:firstColumn="1" w:firstRow="1" w:lastColumn="0" w:lastRow="0" w:noHBand="0" w:noVBand="1" w:val="04A0"/>
      </w:tblPr>
      <w:tblGrid>
        <w:gridCol w:w="1600"/>
        <w:gridCol w:w="1600"/>
        <w:gridCol w:w="1600"/>
        <w:gridCol w:w="1600"/>
        <w:gridCol w:w="1600"/>
        <w:gridCol w:w="1600"/>
        <w:gridCol w:w="1600"/>
        <w:gridCol w:w="1600"/>
        <w:gridCol w:w="1600"/>
      </w:tblGrid>
      <w:tr>
        <w:trPr>
          <w:tblHeader w:val="true"/>
        </w:trPr>
        <w:tc>
          <w:tcPr>
            <w:tcW w:type="dxa" w:w="2016"/>
            <w:shd w:val="clear" w:color="auto" w:fill="27245E"/>
          </w:tcPr>
          <w:p>
            <w:pPr>
              <w:spacing w:after="0"/>
            </w:pPr>
            <w:r/>
            <w:r>
              <w:rPr>
                <w:rFonts w:ascii="Arial" w:hAnsi="Arial"/>
                <w:b/>
                <w:i w:val="0"/>
                <w:color w:val="FFFFFF"/>
                <w:sz w:val="16"/>
              </w:rPr>
              <w:t>Goal and measure</w:t>
            </w:r>
          </w:p>
        </w:tc>
        <w:tc>
          <w:tcPr>
            <w:tcW w:type="dxa" w:w="1584"/>
            <w:shd w:val="clear" w:color="auto" w:fill="27245E"/>
          </w:tcPr>
          <w:p>
            <w:pPr>
              <w:spacing w:after="0"/>
            </w:pPr>
            <w:r/>
            <w:r>
              <w:rPr>
                <w:rFonts w:ascii="Arial" w:hAnsi="Arial"/>
                <w:b/>
                <w:i w:val="0"/>
                <w:color w:val="FFFFFF"/>
                <w:sz w:val="16"/>
              </w:rPr>
              <w:t>Current state (value, date, source)</w:t>
            </w:r>
          </w:p>
        </w:tc>
        <w:tc>
          <w:tcPr>
            <w:tcW w:type="dxa" w:w="1728"/>
            <w:shd w:val="clear" w:color="auto" w:fill="27245E"/>
          </w:tcPr>
          <w:p>
            <w:pPr>
              <w:spacing w:after="0"/>
            </w:pPr>
            <w:r/>
            <w:r>
              <w:rPr>
                <w:rFonts w:ascii="Arial" w:hAnsi="Arial"/>
                <w:b/>
                <w:i w:val="0"/>
                <w:color w:val="FFFFFF"/>
                <w:sz w:val="16"/>
              </w:rPr>
              <w:t>Target state (value, deadline, assumption)</w:t>
            </w:r>
          </w:p>
        </w:tc>
        <w:tc>
          <w:tcPr>
            <w:tcW w:type="dxa" w:w="1584"/>
            <w:shd w:val="clear" w:color="auto" w:fill="27245E"/>
          </w:tcPr>
          <w:p>
            <w:pPr>
              <w:spacing w:after="0"/>
            </w:pPr>
            <w:r/>
            <w:r>
              <w:rPr>
                <w:rFonts w:ascii="Arial" w:hAnsi="Arial"/>
                <w:b/>
                <w:i w:val="0"/>
                <w:color w:val="FFFFFF"/>
                <w:sz w:val="16"/>
              </w:rPr>
              <w:t>Gap</w:t>
            </w:r>
          </w:p>
        </w:tc>
        <w:tc>
          <w:tcPr>
            <w:tcW w:type="dxa" w:w="1368"/>
            <w:shd w:val="clear" w:color="auto" w:fill="27245E"/>
          </w:tcPr>
          <w:p>
            <w:pPr>
              <w:spacing w:after="0"/>
            </w:pPr>
            <w:r/>
            <w:r>
              <w:rPr>
                <w:rFonts w:ascii="Arial" w:hAnsi="Arial"/>
                <w:b/>
                <w:i w:val="0"/>
                <w:color w:val="FFFFFF"/>
                <w:sz w:val="16"/>
              </w:rPr>
              <w:t>Gap type</w:t>
            </w:r>
          </w:p>
        </w:tc>
        <w:tc>
          <w:tcPr>
            <w:tcW w:type="dxa" w:w="1944"/>
            <w:shd w:val="clear" w:color="auto" w:fill="27245E"/>
          </w:tcPr>
          <w:p>
            <w:pPr>
              <w:spacing w:after="0"/>
            </w:pPr>
            <w:r/>
            <w:r>
              <w:rPr>
                <w:rFonts w:ascii="Arial" w:hAnsi="Arial"/>
                <w:b/>
                <w:i w:val="0"/>
                <w:color w:val="FFFFFF"/>
                <w:sz w:val="16"/>
              </w:rPr>
              <w:t>Root cause</w:t>
            </w:r>
          </w:p>
        </w:tc>
        <w:tc>
          <w:tcPr>
            <w:tcW w:type="dxa" w:w="1872"/>
            <w:shd w:val="clear" w:color="auto" w:fill="27245E"/>
          </w:tcPr>
          <w:p>
            <w:pPr>
              <w:spacing w:after="0"/>
            </w:pPr>
            <w:r/>
            <w:r>
              <w:rPr>
                <w:rFonts w:ascii="Arial" w:hAnsi="Arial"/>
                <w:b/>
                <w:i w:val="0"/>
                <w:color w:val="FFFFFF"/>
                <w:sz w:val="16"/>
              </w:rPr>
              <w:t>Action</w:t>
            </w:r>
          </w:p>
        </w:tc>
        <w:tc>
          <w:tcPr>
            <w:tcW w:type="dxa" w:w="1224"/>
            <w:shd w:val="clear" w:color="auto" w:fill="27245E"/>
          </w:tcPr>
          <w:p>
            <w:pPr>
              <w:spacing w:after="0"/>
            </w:pPr>
            <w:r/>
            <w:r>
              <w:rPr>
                <w:rFonts w:ascii="Arial" w:hAnsi="Arial"/>
                <w:b/>
                <w:i w:val="0"/>
                <w:color w:val="FFFFFF"/>
                <w:sz w:val="16"/>
              </w:rPr>
              <w:t>Owner</w:t>
            </w:r>
          </w:p>
        </w:tc>
        <w:tc>
          <w:tcPr>
            <w:tcW w:type="dxa" w:w="1080"/>
            <w:shd w:val="clear" w:color="auto" w:fill="27245E"/>
          </w:tcPr>
          <w:p>
            <w:pPr>
              <w:spacing w:after="0"/>
            </w:pPr>
            <w:r/>
            <w:r>
              <w:rPr>
                <w:rFonts w:ascii="Arial" w:hAnsi="Arial"/>
                <w:b/>
                <w:i w:val="0"/>
                <w:color w:val="FFFFFF"/>
                <w:sz w:val="16"/>
              </w:rPr>
              <w:t>Due date</w:t>
            </w:r>
          </w:p>
        </w:tc>
      </w:tr>
      <w:tr>
        <w:tc>
          <w:tcPr>
            <w:tcW w:type="dxa" w:w="2016"/>
          </w:tcPr>
          <w:p>
            <w:pPr>
              <w:spacing w:after="0"/>
            </w:pPr>
            <w:r/>
            <w:r>
              <w:rPr>
                <w:rFonts w:ascii="Arial" w:hAnsi="Arial"/>
                <w:b w:val="0"/>
                <w:i w:val="0"/>
                <w:color w:val="2B3445"/>
                <w:sz w:val="16"/>
              </w:rPr>
              <w:t>1.1 Keep more first-year students · Fall-to-fall retention, first-time full-time students</w:t>
            </w:r>
          </w:p>
        </w:tc>
        <w:tc>
          <w:tcPr>
            <w:tcW w:type="dxa" w:w="1584"/>
          </w:tcPr>
          <w:p>
            <w:pPr>
              <w:spacing w:after="0"/>
            </w:pPr>
            <w:r/>
            <w:r>
              <w:rPr>
                <w:rFonts w:ascii="Arial" w:hAnsi="Arial"/>
                <w:b w:val="0"/>
                <w:i w:val="0"/>
                <w:color w:val="2B3445"/>
                <w:sz w:val="16"/>
              </w:rPr>
              <w:t>74.6% (fall 2026 census)</w:t>
            </w:r>
          </w:p>
        </w:tc>
        <w:tc>
          <w:tcPr>
            <w:tcW w:type="dxa" w:w="1728"/>
          </w:tcPr>
          <w:p>
            <w:pPr>
              <w:spacing w:after="0"/>
            </w:pPr>
            <w:r/>
            <w:r>
              <w:rPr>
                <w:rFonts w:ascii="Arial" w:hAnsi="Arial"/>
                <w:b w:val="0"/>
                <w:i w:val="0"/>
                <w:color w:val="2B3445"/>
                <w:sz w:val="16"/>
              </w:rPr>
              <w:t>75% for FY2027</w:t>
            </w:r>
          </w:p>
        </w:tc>
        <w:tc>
          <w:tcPr>
            <w:tcW w:type="dxa" w:w="1584"/>
          </w:tcPr>
          <w:p>
            <w:pPr>
              <w:spacing w:after="0"/>
            </w:pPr>
            <w:r/>
            <w:r>
              <w:rPr>
                <w:rFonts w:ascii="Arial" w:hAnsi="Arial"/>
                <w:b w:val="0"/>
                <w:i w:val="0"/>
                <w:color w:val="2B3445"/>
                <w:sz w:val="16"/>
              </w:rPr>
              <w:t>0.4 points below; up from 74% at baseline</w:t>
            </w:r>
          </w:p>
        </w:tc>
        <w:tc>
          <w:tcPr>
            <w:tcW w:type="dxa" w:w="1368"/>
            <w:shd w:val="clear" w:color="auto" w:fill="FDE2DF"/>
          </w:tcPr>
          <w:p>
            <w:pPr>
              <w:spacing w:after="0"/>
            </w:pPr>
            <w:r/>
            <w:r>
              <w:rPr>
                <w:rFonts w:ascii="Arial" w:hAnsi="Arial"/>
                <w:b/>
                <w:i w:val="0"/>
                <w:color w:val="9B2A21"/>
                <w:sz w:val="16"/>
              </w:rPr>
              <w:t>Performance</w:t>
            </w:r>
          </w:p>
        </w:tc>
        <w:tc>
          <w:tcPr>
            <w:tcW w:type="dxa" w:w="1944"/>
          </w:tcPr>
          <w:p>
            <w:pPr>
              <w:spacing w:after="0"/>
            </w:pPr>
            <w:r/>
            <w:r>
              <w:rPr>
                <w:rFonts w:ascii="Arial" w:hAnsi="Arial"/>
                <w:b w:val="0"/>
                <w:i w:val="0"/>
                <w:color w:val="2B3445"/>
                <w:sz w:val="16"/>
              </w:rPr>
              <w:t>Early alerts run in 4 of 10 gateway courses. Students in the other 6 get no flag before midterm.</w:t>
            </w:r>
          </w:p>
        </w:tc>
        <w:tc>
          <w:tcPr>
            <w:tcW w:type="dxa" w:w="1872"/>
          </w:tcPr>
          <w:p>
            <w:pPr>
              <w:spacing w:after="0"/>
            </w:pPr>
            <w:r/>
            <w:r>
              <w:rPr>
                <w:rFonts w:ascii="Arial" w:hAnsi="Arial"/>
                <w:b w:val="0"/>
                <w:i w:val="0"/>
                <w:color w:val="2B3445"/>
                <w:sz w:val="16"/>
              </w:rPr>
              <w:t>Turn on early alerts in all gateway courses for the spring term.</w:t>
            </w:r>
          </w:p>
        </w:tc>
        <w:tc>
          <w:tcPr>
            <w:tcW w:type="dxa" w:w="1224"/>
          </w:tcPr>
          <w:p>
            <w:pPr>
              <w:spacing w:after="0"/>
            </w:pPr>
            <w:r/>
            <w:r>
              <w:rPr>
                <w:rFonts w:ascii="Arial" w:hAnsi="Arial"/>
                <w:b w:val="0"/>
                <w:i w:val="0"/>
                <w:color w:val="2B3445"/>
                <w:sz w:val="16"/>
              </w:rPr>
              <w:t>Maggie S., Vice President for Student Affairs</w:t>
            </w:r>
          </w:p>
        </w:tc>
        <w:tc>
          <w:tcPr>
            <w:tcW w:type="dxa" w:w="1080"/>
          </w:tcPr>
          <w:p>
            <w:pPr>
              <w:spacing w:after="0"/>
            </w:pPr>
            <w:r/>
            <w:r>
              <w:rPr>
                <w:rFonts w:ascii="Arial" w:hAnsi="Arial"/>
                <w:b w:val="0"/>
                <w:i w:val="0"/>
                <w:color w:val="2B3445"/>
                <w:sz w:val="16"/>
              </w:rPr>
              <w:t>Jan. 12, 2027 (spring term start)</w:t>
            </w:r>
          </w:p>
        </w:tc>
      </w:tr>
      <w:tr>
        <w:tc>
          <w:tcPr>
            <w:tcW w:type="dxa" w:w="2016"/>
          </w:tcPr>
          <w:p>
            <w:pPr>
              <w:spacing w:after="0"/>
            </w:pPr>
            <w:r/>
            <w:r>
              <w:rPr>
                <w:rFonts w:ascii="Arial" w:hAnsi="Arial"/>
                <w:b w:val="0"/>
                <w:i w:val="0"/>
                <w:color w:val="2B3445"/>
                <w:sz w:val="16"/>
              </w:rPr>
              <w:t>4.1 Balance the operating budget · Operating margin, % of revenues</w:t>
            </w:r>
          </w:p>
        </w:tc>
        <w:tc>
          <w:tcPr>
            <w:tcW w:type="dxa" w:w="1584"/>
          </w:tcPr>
          <w:p>
            <w:pPr>
              <w:spacing w:after="0"/>
            </w:pPr>
            <w:r/>
            <w:r>
              <w:rPr>
                <w:rFonts w:ascii="Arial" w:hAnsi="Arial"/>
                <w:b w:val="0"/>
                <w:i w:val="0"/>
                <w:color w:val="2B3445"/>
                <w:sz w:val="16"/>
              </w:rPr>
              <w:t>No reading on the Oct. 15 update day (last entry Sept. 15)</w:t>
            </w:r>
          </w:p>
        </w:tc>
        <w:tc>
          <w:tcPr>
            <w:tcW w:type="dxa" w:w="1728"/>
          </w:tcPr>
          <w:p>
            <w:pPr>
              <w:spacing w:after="0"/>
            </w:pPr>
            <w:r/>
            <w:r>
              <w:rPr>
                <w:rFonts w:ascii="Arial" w:hAnsi="Arial"/>
                <w:b w:val="0"/>
                <w:i w:val="0"/>
                <w:color w:val="2B3445"/>
                <w:sz w:val="16"/>
              </w:rPr>
              <w:t>-0.5% for FY2027</w:t>
            </w:r>
          </w:p>
        </w:tc>
        <w:tc>
          <w:tcPr>
            <w:tcW w:type="dxa" w:w="1584"/>
          </w:tcPr>
          <w:p>
            <w:pPr>
              <w:spacing w:after="0"/>
            </w:pPr>
            <w:r/>
            <w:r>
              <w:rPr>
                <w:rFonts w:ascii="Arial" w:hAnsi="Arial"/>
                <w:b w:val="0"/>
                <w:i w:val="0"/>
                <w:color w:val="2B3445"/>
                <w:sz w:val="16"/>
              </w:rPr>
              <w:t>Unknown: one update day missed</w:t>
            </w:r>
          </w:p>
        </w:tc>
        <w:tc>
          <w:tcPr>
            <w:tcW w:type="dxa" w:w="1368"/>
            <w:shd w:val="clear" w:color="auto" w:fill="FFE6D9"/>
          </w:tcPr>
          <w:p>
            <w:pPr>
              <w:spacing w:after="0"/>
            </w:pPr>
            <w:r/>
            <w:r>
              <w:rPr>
                <w:rFonts w:ascii="Arial" w:hAnsi="Arial"/>
                <w:b/>
                <w:i w:val="0"/>
                <w:color w:val="A8431C"/>
                <w:sz w:val="16"/>
              </w:rPr>
              <w:t>Tracking</w:t>
            </w:r>
          </w:p>
        </w:tc>
        <w:tc>
          <w:tcPr>
            <w:tcW w:type="dxa" w:w="1944"/>
          </w:tcPr>
          <w:p>
            <w:pPr>
              <w:spacing w:after="0"/>
            </w:pPr>
            <w:r/>
            <w:r>
              <w:rPr>
                <w:rFonts w:ascii="Arial" w:hAnsi="Arial"/>
                <w:b w:val="0"/>
                <w:i w:val="0"/>
                <w:color w:val="2B3445"/>
                <w:sz w:val="16"/>
              </w:rPr>
              <w:t>Fall tuition revenue posts after the census audit. The finance office waits for it and skips the entry.</w:t>
            </w:r>
          </w:p>
        </w:tc>
        <w:tc>
          <w:tcPr>
            <w:tcW w:type="dxa" w:w="1872"/>
          </w:tcPr>
          <w:p>
            <w:pPr>
              <w:spacing w:after="0"/>
            </w:pPr>
            <w:r/>
            <w:r>
              <w:rPr>
                <w:rFonts w:ascii="Arial" w:hAnsi="Arial"/>
                <w:b w:val="0"/>
                <w:i w:val="0"/>
                <w:color w:val="2B3445"/>
                <w:sz w:val="16"/>
              </w:rPr>
              <w:t>Log a dated estimate on each update day, then replace it when the audit closes.</w:t>
            </w:r>
          </w:p>
        </w:tc>
        <w:tc>
          <w:tcPr>
            <w:tcW w:type="dxa" w:w="1224"/>
          </w:tcPr>
          <w:p>
            <w:pPr>
              <w:spacing w:after="0"/>
            </w:pPr>
            <w:r/>
            <w:r>
              <w:rPr>
                <w:rFonts w:ascii="Arial" w:hAnsi="Arial"/>
                <w:b w:val="0"/>
                <w:i w:val="0"/>
                <w:color w:val="2B3445"/>
                <w:sz w:val="16"/>
              </w:rPr>
              <w:t>Ron T., Vice President for Finance and Administration</w:t>
            </w:r>
          </w:p>
        </w:tc>
        <w:tc>
          <w:tcPr>
            <w:tcW w:type="dxa" w:w="1080"/>
          </w:tcPr>
          <w:p>
            <w:pPr>
              <w:spacing w:after="0"/>
            </w:pPr>
            <w:r/>
            <w:r>
              <w:rPr>
                <w:rFonts w:ascii="Arial" w:hAnsi="Arial"/>
                <w:b w:val="0"/>
                <w:i w:val="0"/>
                <w:color w:val="2B3445"/>
                <w:sz w:val="16"/>
              </w:rPr>
              <w:t>Nov. 16, 2026 update day</w:t>
            </w:r>
          </w:p>
        </w:tc>
      </w:tr>
      <w:tr>
        <w:tc>
          <w:tcPr>
            <w:tcW w:type="dxa" w:w="2016"/>
          </w:tcPr>
          <w:p>
            <w:pPr>
              <w:spacing w:after="0"/>
            </w:pPr>
            <w:r/>
            <w:r>
              <w:rPr>
                <w:rFonts w:ascii="Arial" w:hAnsi="Arial"/>
                <w:b w:val="0"/>
                <w:i w:val="0"/>
                <w:color w:val="2B3445"/>
                <w:sz w:val="16"/>
              </w:rPr>
              <w:t>2.2 Grow sponsored research · Research expenditures, $ millions (NSF HERD survey)</w:t>
            </w:r>
          </w:p>
        </w:tc>
        <w:tc>
          <w:tcPr>
            <w:tcW w:type="dxa" w:w="1584"/>
          </w:tcPr>
          <w:p>
            <w:pPr>
              <w:spacing w:after="0"/>
            </w:pPr>
            <w:r/>
            <w:r>
              <w:rPr>
                <w:rFonts w:ascii="Arial" w:hAnsi="Arial"/>
                <w:b w:val="0"/>
                <w:i w:val="0"/>
                <w:color w:val="2B3445"/>
                <w:sz w:val="16"/>
              </w:rPr>
              <w:t>18.6 projected for FY2027 (sponsored programs ledger, September 2026)</w:t>
            </w:r>
          </w:p>
        </w:tc>
        <w:tc>
          <w:tcPr>
            <w:tcW w:type="dxa" w:w="1728"/>
          </w:tcPr>
          <w:p>
            <w:pPr>
              <w:spacing w:after="0"/>
            </w:pPr>
            <w:r/>
            <w:r>
              <w:rPr>
                <w:rFonts w:ascii="Arial" w:hAnsi="Arial"/>
                <w:b w:val="0"/>
                <w:i w:val="0"/>
                <w:color w:val="2B3445"/>
                <w:sz w:val="16"/>
              </w:rPr>
              <w:t>19.5 for FY2027, set assuming both federal center grants renewed</w:t>
            </w:r>
          </w:p>
        </w:tc>
        <w:tc>
          <w:tcPr>
            <w:tcW w:type="dxa" w:w="1584"/>
          </w:tcPr>
          <w:p>
            <w:pPr>
              <w:spacing w:after="0"/>
            </w:pPr>
            <w:r/>
            <w:r>
              <w:rPr>
                <w:rFonts w:ascii="Arial" w:hAnsi="Arial"/>
                <w:b w:val="0"/>
                <w:i w:val="0"/>
                <w:color w:val="2B3445"/>
                <w:sz w:val="16"/>
              </w:rPr>
              <w:t>0.9 below the FY2027 target, projected</w:t>
            </w:r>
          </w:p>
        </w:tc>
        <w:tc>
          <w:tcPr>
            <w:tcW w:type="dxa" w:w="1368"/>
            <w:shd w:val="clear" w:color="auto" w:fill="DCEEFA"/>
          </w:tcPr>
          <w:p>
            <w:pPr>
              <w:spacing w:after="0"/>
            </w:pPr>
            <w:r/>
            <w:r>
              <w:rPr>
                <w:rFonts w:ascii="Arial" w:hAnsi="Arial"/>
                <w:b/>
                <w:i w:val="0"/>
                <w:color w:val="155F8F"/>
                <w:sz w:val="16"/>
              </w:rPr>
              <w:t>Definition</w:t>
            </w:r>
          </w:p>
        </w:tc>
        <w:tc>
          <w:tcPr>
            <w:tcW w:type="dxa" w:w="1944"/>
          </w:tcPr>
          <w:p>
            <w:pPr>
              <w:spacing w:after="0"/>
            </w:pPr>
            <w:r/>
            <w:r>
              <w:rPr>
                <w:rFonts w:ascii="Arial" w:hAnsi="Arial"/>
                <w:b w:val="0"/>
                <w:i w:val="0"/>
                <w:color w:val="2B3445"/>
                <w:sz w:val="16"/>
              </w:rPr>
              <w:t>One of the two federal center grants was not renewed in August. The target counted on it.</w:t>
            </w:r>
          </w:p>
        </w:tc>
        <w:tc>
          <w:tcPr>
            <w:tcW w:type="dxa" w:w="1872"/>
          </w:tcPr>
          <w:p>
            <w:pPr>
              <w:spacing w:after="0"/>
            </w:pPr>
            <w:r/>
            <w:r>
              <w:rPr>
                <w:rFonts w:ascii="Arial" w:hAnsi="Arial"/>
                <w:b w:val="0"/>
                <w:i w:val="0"/>
                <w:color w:val="2B3445"/>
                <w:sz w:val="16"/>
              </w:rPr>
              <w:t>Re-baseline the FY2027–FY2031 targets with the board. Keep the proposal development office on schedule.</w:t>
            </w:r>
          </w:p>
        </w:tc>
        <w:tc>
          <w:tcPr>
            <w:tcW w:type="dxa" w:w="1224"/>
          </w:tcPr>
          <w:p>
            <w:pPr>
              <w:spacing w:after="0"/>
            </w:pPr>
            <w:r/>
            <w:r>
              <w:rPr>
                <w:rFonts w:ascii="Arial" w:hAnsi="Arial"/>
                <w:b w:val="0"/>
                <w:i w:val="0"/>
                <w:color w:val="2B3445"/>
                <w:sz w:val="16"/>
              </w:rPr>
              <w:t>Jimmy O., Vice President for Research</w:t>
            </w:r>
          </w:p>
        </w:tc>
        <w:tc>
          <w:tcPr>
            <w:tcW w:type="dxa" w:w="1080"/>
          </w:tcPr>
          <w:p>
            <w:pPr>
              <w:spacing w:after="0"/>
            </w:pPr>
            <w:r/>
            <w:r>
              <w:rPr>
                <w:rFonts w:ascii="Arial" w:hAnsi="Arial"/>
                <w:b w:val="0"/>
                <w:i w:val="0"/>
                <w:color w:val="2B3445"/>
                <w:sz w:val="16"/>
              </w:rPr>
              <w:t>December 2026 board of trustees meeting</w:t>
            </w:r>
          </w:p>
        </w:tc>
      </w:tr>
      <w:tr>
        <w:tc>
          <w:tcPr>
            <w:tcW w:type="dxa" w:w="2016"/>
          </w:tcPr>
          <w:p>
            <w:pPr>
              <w:spacing w:after="0"/>
            </w:pPr>
            <w:r/>
            <w:r>
              <w:rPr>
                <w:rFonts w:ascii="Arial" w:hAnsi="Arial"/>
                <w:b w:val="0"/>
                <w:i w:val="0"/>
                <w:color w:val="2B3445"/>
                <w:sz w:val="16"/>
              </w:rPr>
              <w:t>1.2 Graduate more students on time · Six-year graduation rate (IPEDS)</w:t>
            </w:r>
          </w:p>
        </w:tc>
        <w:tc>
          <w:tcPr>
            <w:tcW w:type="dxa" w:w="1584"/>
          </w:tcPr>
          <w:p>
            <w:pPr>
              <w:spacing w:after="0"/>
            </w:pPr>
            <w:r/>
            <w:r>
              <w:rPr>
                <w:rFonts w:ascii="Arial" w:hAnsi="Arial"/>
                <w:b w:val="0"/>
                <w:i w:val="0"/>
                <w:color w:val="2B3445"/>
                <w:sz w:val="16"/>
              </w:rPr>
              <w:t>52% (latest IPEDS cohort)</w:t>
            </w:r>
          </w:p>
        </w:tc>
        <w:tc>
          <w:tcPr>
            <w:tcW w:type="dxa" w:w="1728"/>
          </w:tcPr>
          <w:p>
            <w:pPr>
              <w:spacing w:after="0"/>
            </w:pPr>
            <w:r/>
            <w:r>
              <w:rPr>
                <w:rFonts w:ascii="Arial" w:hAnsi="Arial"/>
                <w:b w:val="0"/>
                <w:i w:val="0"/>
                <w:color w:val="2B3445"/>
                <w:sz w:val="16"/>
              </w:rPr>
              <w:t>53% for FY2027</w:t>
            </w:r>
          </w:p>
        </w:tc>
        <w:tc>
          <w:tcPr>
            <w:tcW w:type="dxa" w:w="1584"/>
          </w:tcPr>
          <w:p>
            <w:pPr>
              <w:spacing w:after="0"/>
            </w:pPr>
            <w:r/>
            <w:r>
              <w:rPr>
                <w:rFonts w:ascii="Arial" w:hAnsi="Arial"/>
                <w:b w:val="0"/>
                <w:i w:val="0"/>
                <w:color w:val="2B3445"/>
                <w:sz w:val="16"/>
              </w:rPr>
              <w:t>1 point below; flat at 52% for three cohorts while more first-year students earn 30 credits</w:t>
            </w:r>
          </w:p>
        </w:tc>
        <w:tc>
          <w:tcPr>
            <w:tcW w:type="dxa" w:w="1368"/>
            <w:shd w:val="clear" w:color="auto" w:fill="E4E3F1"/>
          </w:tcPr>
          <w:p>
            <w:pPr>
              <w:spacing w:after="0"/>
            </w:pPr>
            <w:r/>
            <w:r>
              <w:rPr>
                <w:rFonts w:ascii="Arial" w:hAnsi="Arial"/>
                <w:b/>
                <w:i w:val="0"/>
                <w:color w:val="27245E"/>
                <w:sz w:val="16"/>
              </w:rPr>
              <w:t>Strategy</w:t>
            </w:r>
          </w:p>
        </w:tc>
        <w:tc>
          <w:tcPr>
            <w:tcW w:type="dxa" w:w="1944"/>
          </w:tcPr>
          <w:p>
            <w:pPr>
              <w:spacing w:after="0"/>
            </w:pPr>
            <w:r/>
            <w:r>
              <w:rPr>
                <w:rFonts w:ascii="Arial" w:hAnsi="Arial"/>
                <w:b w:val="0"/>
                <w:i w:val="0"/>
                <w:color w:val="2B3445"/>
                <w:sz w:val="16"/>
              </w:rPr>
              <w:t>Students now clear the first year, then stall after 60 credits. No initiative in the plan works on the third year.</w:t>
            </w:r>
          </w:p>
        </w:tc>
        <w:tc>
          <w:tcPr>
            <w:tcW w:type="dxa" w:w="1872"/>
          </w:tcPr>
          <w:p>
            <w:pPr>
              <w:spacing w:after="0"/>
            </w:pPr>
            <w:r/>
            <w:r>
              <w:rPr>
                <w:rFonts w:ascii="Arial" w:hAnsi="Arial"/>
                <w:b w:val="0"/>
                <w:i w:val="0"/>
                <w:color w:val="2B3445"/>
                <w:sz w:val="16"/>
              </w:rPr>
              <w:t>Pause phase 2 of the gateway course redesign. Run a completion review on students past 60 credits.</w:t>
            </w:r>
          </w:p>
        </w:tc>
        <w:tc>
          <w:tcPr>
            <w:tcW w:type="dxa" w:w="1224"/>
          </w:tcPr>
          <w:p>
            <w:pPr>
              <w:spacing w:after="0"/>
            </w:pPr>
            <w:r/>
            <w:r>
              <w:rPr>
                <w:rFonts w:ascii="Arial" w:hAnsi="Arial"/>
                <w:b w:val="0"/>
                <w:i w:val="0"/>
                <w:color w:val="2B3445"/>
                <w:sz w:val="16"/>
              </w:rPr>
              <w:t>Clarice W., Provost</w:t>
            </w:r>
          </w:p>
        </w:tc>
        <w:tc>
          <w:tcPr>
            <w:tcW w:type="dxa" w:w="1080"/>
          </w:tcPr>
          <w:p>
            <w:pPr>
              <w:spacing w:after="0"/>
            </w:pPr>
            <w:r/>
            <w:r>
              <w:rPr>
                <w:rFonts w:ascii="Arial" w:hAnsi="Arial"/>
                <w:b w:val="0"/>
                <w:i w:val="0"/>
                <w:color w:val="2B3445"/>
                <w:sz w:val="16"/>
              </w:rPr>
              <w:t>Feb. 15, 2027 cabinet review</w:t>
            </w:r>
          </w:p>
        </w:tc>
      </w:tr>
    </w:tbl>
    <w:p>
      <w:pPr>
        <w:keepNext/>
        <w:spacing w:before="200" w:after="80"/>
      </w:pPr>
      <w:r>
        <w:rPr>
          <w:rFonts w:ascii="Arial" w:hAnsi="Arial"/>
          <w:b/>
          <w:color w:val="27245E"/>
          <w:sz w:val="24"/>
        </w:rPr>
        <w:t>Why it's built this way</w:t>
      </w:r>
    </w:p>
    <w:p>
      <w:pPr>
        <w:pStyle w:val="ListBullet"/>
        <w:spacing w:after="20"/>
      </w:pPr>
      <w:r>
        <w:rPr>
          <w:sz w:val="18"/>
        </w:rPr>
        <w:t>IPEDS sets the clock. Retention and graduation rates move once a year, so the monthly readings watch the supporting measures, and the full analysis runs each term.</w:t>
      </w:r>
    </w:p>
    <w:p>
      <w:pPr>
        <w:pStyle w:val="ListBullet"/>
        <w:spacing w:after="20"/>
      </w:pPr>
      <w:r>
        <w:rPr>
          <w:sz w:val="18"/>
        </w:rPr>
        <w:t>The research row re-baselines in the open. The board sees which grant ended and what the new target assumes.</w:t>
      </w:r>
    </w:p>
    <w:p>
      <w:pPr>
        <w:pStyle w:val="ListBullet"/>
        <w:spacing w:after="20"/>
      </w:pPr>
      <w:r>
        <w:rPr>
          <w:sz w:val="18"/>
        </w:rPr>
        <w:t>The graduation row is the strategy gap. The first-year work succeeded, and the six-year rate still sits at 52%. The effort moves to the third year.</w:t>
      </w:r>
    </w:p>
    <w:p>
      <w:r>
        <w:br w:type="page"/>
      </w:r>
    </w:p>
    <w:p>
      <w:pPr>
        <w:keepNext/>
        <w:spacing w:before="200" w:after="80"/>
      </w:pPr>
      <w:r>
        <w:rPr>
          <w:rFonts w:ascii="Arial" w:hAnsi="Arial"/>
          <w:b/>
          <w:color w:val="27245E"/>
          <w:sz w:val="32"/>
        </w:rPr>
        <w:t>Your gap analysis</w:t>
      </w:r>
    </w:p>
    <w:p>
      <w:pPr>
        <w:spacing w:after="80"/>
      </w:pPr>
      <w:r>
        <w:rPr>
          <w:rFonts w:ascii="Arial" w:hAnsi="Arial"/>
          <w:b w:val="0"/>
          <w:i/>
          <w:color w:val="5B6478"/>
          <w:sz w:val="20"/>
        </w:rPr>
        <w:t>Fill the header first, then one grid row per measure. The first grid row shows what to write.</w:t>
      </w:r>
    </w:p>
    <w:tbl>
      <w:tblPr>
        <w:tblStyle w:val="TableGrid"/>
        <w:tblW w:type="auto" w:w="0"/>
        <w:jc w:val="center"/>
        <w:tblLayout w:type="fixed"/>
        <w:tblLook w:firstColumn="1" w:firstRow="1" w:lastColumn="0" w:lastRow="0" w:noHBand="0" w:noVBand="1" w:val="04A0"/>
      </w:tblPr>
      <w:tblGrid>
        <w:gridCol w:w="7200"/>
        <w:gridCol w:w="7200"/>
      </w:tblGrid>
      <w:tr>
        <w:trPr>
          <w:tblHeader w:val="true"/>
        </w:trPr>
        <w:tc>
          <w:tcPr>
            <w:tcW w:type="dxa" w:w="2880"/>
            <w:shd w:val="clear" w:color="auto" w:fill="27245E"/>
          </w:tcPr>
          <w:p>
            <w:pPr>
              <w:spacing w:after="0"/>
            </w:pPr>
            <w:r/>
            <w:r>
              <w:rPr>
                <w:rFonts w:ascii="Arial" w:hAnsi="Arial"/>
                <w:b/>
                <w:i w:val="0"/>
                <w:color w:val="FFFFFF"/>
                <w:sz w:val="16"/>
              </w:rPr>
              <w:t>Field</w:t>
            </w:r>
          </w:p>
        </w:tc>
        <w:tc>
          <w:tcPr>
            <w:tcW w:type="dxa" w:w="11520"/>
            <w:shd w:val="clear" w:color="auto" w:fill="27245E"/>
          </w:tcPr>
          <w:p>
            <w:pPr>
              <w:spacing w:after="0"/>
            </w:pPr>
            <w:r/>
            <w:r>
              <w:rPr>
                <w:rFonts w:ascii="Arial" w:hAnsi="Arial"/>
                <w:b/>
                <w:i w:val="0"/>
                <w:color w:val="FFFFFF"/>
                <w:sz w:val="16"/>
              </w:rPr>
              <w:t>What to write</w:t>
            </w:r>
          </w:p>
        </w:tc>
      </w:tr>
      <w:tr>
        <w:tc>
          <w:tcPr>
            <w:tcW w:type="dxa" w:w="2880"/>
            <w:shd w:val="clear" w:color="auto" w:fill="F4F4F6"/>
          </w:tcPr>
          <w:p>
            <w:pPr>
              <w:spacing w:after="0"/>
            </w:pPr>
            <w:r/>
            <w:r>
              <w:rPr>
                <w:rFonts w:ascii="Arial" w:hAnsi="Arial"/>
                <w:b/>
                <w:i w:val="0"/>
                <w:color w:val="2B3445"/>
                <w:sz w:val="16"/>
              </w:rPr>
              <w:t>Organization and plan</w:t>
            </w:r>
          </w:p>
        </w:tc>
        <w:tc>
          <w:tcPr>
            <w:tcW w:type="dxa" w:w="11520"/>
          </w:tcPr>
          <w:p>
            <w:pPr>
              <w:spacing w:after="0"/>
            </w:pPr>
            <w:r/>
            <w:r>
              <w:rPr>
                <w:rFonts w:ascii="Arial" w:hAnsi="Arial"/>
                <w:b w:val="0"/>
                <w:i w:val="0"/>
                <w:color w:val="2B3445"/>
                <w:sz w:val="16"/>
              </w:rPr>
              <w:t>"[Organization] Strategic Plan FY2027–FY2031", and the goal area or department this analysis covers.</w:t>
            </w:r>
          </w:p>
        </w:tc>
      </w:tr>
      <w:tr>
        <w:tc>
          <w:tcPr>
            <w:tcW w:type="dxa" w:w="2880"/>
            <w:shd w:val="clear" w:color="auto" w:fill="F4F4F6"/>
          </w:tcPr>
          <w:p>
            <w:pPr>
              <w:spacing w:after="0"/>
            </w:pPr>
            <w:r/>
            <w:r>
              <w:rPr>
                <w:rFonts w:ascii="Arial" w:hAnsi="Arial"/>
                <w:b/>
                <w:i w:val="0"/>
                <w:color w:val="2B3445"/>
                <w:sz w:val="16"/>
              </w:rPr>
              <w:t>Analysis date</w:t>
            </w:r>
          </w:p>
        </w:tc>
        <w:tc>
          <w:tcPr>
            <w:tcW w:type="dxa" w:w="11520"/>
          </w:tcPr>
          <w:p>
            <w:pPr>
              <w:spacing w:after="0"/>
            </w:pPr>
            <w:r/>
            <w:r>
              <w:rPr>
                <w:rFonts w:ascii="Arial" w:hAnsi="Arial"/>
                <w:b w:val="0"/>
                <w:i w:val="0"/>
                <w:color w:val="2B3445"/>
                <w:sz w:val="16"/>
              </w:rPr>
              <w:t>The day you pull the readings. Every value in the grid is as of this date.</w:t>
            </w:r>
          </w:p>
        </w:tc>
      </w:tr>
      <w:tr>
        <w:tc>
          <w:tcPr>
            <w:tcW w:type="dxa" w:w="2880"/>
            <w:shd w:val="clear" w:color="auto" w:fill="F4F4F6"/>
          </w:tcPr>
          <w:p>
            <w:pPr>
              <w:spacing w:after="0"/>
            </w:pPr>
            <w:r/>
            <w:r>
              <w:rPr>
                <w:rFonts w:ascii="Arial" w:hAnsi="Arial"/>
                <w:b/>
                <w:i w:val="0"/>
                <w:color w:val="2B3445"/>
                <w:sz w:val="16"/>
              </w:rPr>
              <w:t>Period covered</w:t>
            </w:r>
          </w:p>
        </w:tc>
        <w:tc>
          <w:tcPr>
            <w:tcW w:type="dxa" w:w="11520"/>
          </w:tcPr>
          <w:p>
            <w:pPr>
              <w:spacing w:after="0"/>
            </w:pPr>
            <w:r/>
            <w:r>
              <w:rPr>
                <w:rFonts w:ascii="Arial" w:hAnsi="Arial"/>
                <w:b w:val="0"/>
                <w:i w:val="0"/>
                <w:color w:val="2B3445"/>
                <w:sz w:val="16"/>
              </w:rPr>
              <w:t>The month, quarter or term the readings describe, for example Q1 FY2027.</w:t>
            </w:r>
          </w:p>
        </w:tc>
      </w:tr>
      <w:tr>
        <w:tc>
          <w:tcPr>
            <w:tcW w:type="dxa" w:w="2880"/>
            <w:shd w:val="clear" w:color="auto" w:fill="F4F4F6"/>
          </w:tcPr>
          <w:p>
            <w:pPr>
              <w:spacing w:after="0"/>
            </w:pPr>
            <w:r/>
            <w:r>
              <w:rPr>
                <w:rFonts w:ascii="Arial" w:hAnsi="Arial"/>
                <w:b/>
                <w:i w:val="0"/>
                <w:color w:val="2B3445"/>
                <w:sz w:val="16"/>
              </w:rPr>
              <w:t>Data sources</w:t>
            </w:r>
          </w:p>
        </w:tc>
        <w:tc>
          <w:tcPr>
            <w:tcW w:type="dxa" w:w="11520"/>
          </w:tcPr>
          <w:p>
            <w:pPr>
              <w:spacing w:after="0"/>
            </w:pPr>
            <w:r/>
            <w:r>
              <w:rPr>
                <w:rFonts w:ascii="Arial" w:hAnsi="Arial"/>
                <w:b w:val="0"/>
                <w:i w:val="0"/>
                <w:color w:val="2B3445"/>
                <w:sz w:val="16"/>
              </w:rPr>
              <w:t>Where each reading comes from: the system, the report, and who exports it.</w:t>
            </w:r>
          </w:p>
        </w:tc>
      </w:tr>
      <w:tr>
        <w:tc>
          <w:tcPr>
            <w:tcW w:type="dxa" w:w="2880"/>
            <w:shd w:val="clear" w:color="auto" w:fill="F4F4F6"/>
          </w:tcPr>
          <w:p>
            <w:pPr>
              <w:spacing w:after="0"/>
            </w:pPr>
            <w:r/>
            <w:r>
              <w:rPr>
                <w:rFonts w:ascii="Arial" w:hAnsi="Arial"/>
                <w:b/>
                <w:i w:val="0"/>
                <w:color w:val="2B3445"/>
                <w:sz w:val="16"/>
              </w:rPr>
              <w:t>Prepared by</w:t>
            </w:r>
          </w:p>
        </w:tc>
        <w:tc>
          <w:tcPr>
            <w:tcW w:type="dxa" w:w="11520"/>
          </w:tcPr>
          <w:p>
            <w:pPr>
              <w:spacing w:after="0"/>
            </w:pPr>
            <w:r/>
            <w:r>
              <w:rPr>
                <w:rFonts w:ascii="Arial" w:hAnsi="Arial"/>
                <w:b w:val="0"/>
                <w:i w:val="0"/>
                <w:color w:val="2B3445"/>
                <w:sz w:val="16"/>
              </w:rPr>
              <w:t>One name: the person who fills the grid and checks the sources.</w:t>
            </w:r>
          </w:p>
        </w:tc>
      </w:tr>
      <w:tr>
        <w:tc>
          <w:tcPr>
            <w:tcW w:type="dxa" w:w="2880"/>
            <w:shd w:val="clear" w:color="auto" w:fill="F4F4F6"/>
          </w:tcPr>
          <w:p>
            <w:pPr>
              <w:spacing w:after="0"/>
            </w:pPr>
            <w:r/>
            <w:r>
              <w:rPr>
                <w:rFonts w:ascii="Arial" w:hAnsi="Arial"/>
                <w:b/>
                <w:i w:val="0"/>
                <w:color w:val="2B3445"/>
                <w:sz w:val="16"/>
              </w:rPr>
              <w:t>Reviewed at</w:t>
            </w:r>
          </w:p>
        </w:tc>
        <w:tc>
          <w:tcPr>
            <w:tcW w:type="dxa" w:w="11520"/>
          </w:tcPr>
          <w:p>
            <w:pPr>
              <w:spacing w:after="0"/>
            </w:pPr>
            <w:r/>
            <w:r>
              <w:rPr>
                <w:rFonts w:ascii="Arial" w:hAnsi="Arial"/>
                <w:b w:val="0"/>
                <w:i w:val="0"/>
                <w:color w:val="2B3445"/>
                <w:sz w:val="16"/>
              </w:rPr>
              <w:t>The meeting that reviews the grid, with its date.</w:t>
            </w:r>
          </w:p>
        </w:tc>
      </w:tr>
      <w:tr>
        <w:tc>
          <w:tcPr>
            <w:tcW w:type="dxa" w:w="2880"/>
            <w:shd w:val="clear" w:color="auto" w:fill="F4F4F6"/>
          </w:tcPr>
          <w:p>
            <w:pPr>
              <w:spacing w:after="0"/>
            </w:pPr>
            <w:r/>
            <w:r>
              <w:rPr>
                <w:rFonts w:ascii="Arial" w:hAnsi="Arial"/>
                <w:b/>
                <w:i w:val="0"/>
                <w:color w:val="2B3445"/>
                <w:sz w:val="16"/>
              </w:rPr>
              <w:t>Gap rule</w:t>
            </w:r>
          </w:p>
        </w:tc>
        <w:tc>
          <w:tcPr>
            <w:tcW w:type="dxa" w:w="11520"/>
          </w:tcPr>
          <w:p>
            <w:pPr>
              <w:spacing w:after="0"/>
            </w:pPr>
            <w:r/>
            <w:r>
              <w:rPr>
                <w:rFonts w:ascii="Arial" w:hAnsi="Arial"/>
                <w:b w:val="0"/>
                <w:i w:val="0"/>
                <w:color w:val="2B3445"/>
                <w:sz w:val="16"/>
              </w:rPr>
              <w:t>When a difference counts as a gap. For example: the latest reading misses the target line for the period, or no reading arrives on the update day.</w:t>
            </w:r>
          </w:p>
        </w:tc>
      </w:tr>
      <w:tr>
        <w:tc>
          <w:tcPr>
            <w:tcW w:type="dxa" w:w="2880"/>
            <w:shd w:val="clear" w:color="auto" w:fill="F4F4F6"/>
          </w:tcPr>
          <w:p>
            <w:pPr>
              <w:spacing w:after="0"/>
            </w:pPr>
            <w:r/>
            <w:r>
              <w:rPr>
                <w:rFonts w:ascii="Arial" w:hAnsi="Arial"/>
                <w:b/>
                <w:i w:val="0"/>
                <w:color w:val="2B3445"/>
                <w:sz w:val="16"/>
              </w:rPr>
              <w:t>Next review</w:t>
            </w:r>
          </w:p>
        </w:tc>
        <w:tc>
          <w:tcPr>
            <w:tcW w:type="dxa" w:w="11520"/>
          </w:tcPr>
          <w:p>
            <w:pPr>
              <w:spacing w:after="0"/>
            </w:pPr>
            <w:r/>
            <w:r>
              <w:rPr>
                <w:rFonts w:ascii="Arial" w:hAnsi="Arial"/>
                <w:b w:val="0"/>
                <w:i w:val="0"/>
                <w:color w:val="2B3445"/>
                <w:sz w:val="16"/>
              </w:rPr>
              <w:t>The date of the next reading, usually the next monthly update day.</w:t>
            </w:r>
          </w:p>
        </w:tc>
      </w:tr>
    </w:tbl>
    <w:p>
      <w:pPr>
        <w:spacing w:after="80"/>
      </w:pPr>
      <w:r>
        <w:rPr>
          <w:rFonts w:ascii="Arial" w:hAnsi="Arial"/>
          <w:b w:val="0"/>
          <w:i w:val="0"/>
          <w:color w:val="2B3445"/>
          <w:sz w:val="20"/>
        </w:rPr>
      </w:r>
    </w:p>
    <w:tbl>
      <w:tblPr>
        <w:tblStyle w:val="TableGrid"/>
        <w:tblW w:type="auto" w:w="0"/>
        <w:jc w:val="center"/>
        <w:tblLayout w:type="fixed"/>
        <w:tblLook w:firstColumn="1" w:firstRow="1" w:lastColumn="0" w:lastRow="0" w:noHBand="0" w:noVBand="1" w:val="04A0"/>
      </w:tblPr>
      <w:tblGrid>
        <w:gridCol w:w="1600"/>
        <w:gridCol w:w="1600"/>
        <w:gridCol w:w="1600"/>
        <w:gridCol w:w="1600"/>
        <w:gridCol w:w="1600"/>
        <w:gridCol w:w="1600"/>
        <w:gridCol w:w="1600"/>
        <w:gridCol w:w="1600"/>
        <w:gridCol w:w="1600"/>
      </w:tblGrid>
      <w:tr>
        <w:trPr>
          <w:tblHeader w:val="true"/>
        </w:trPr>
        <w:tc>
          <w:tcPr>
            <w:tcW w:type="dxa" w:w="2016"/>
            <w:shd w:val="clear" w:color="auto" w:fill="27245E"/>
          </w:tcPr>
          <w:p>
            <w:pPr>
              <w:spacing w:after="0"/>
            </w:pPr>
            <w:r/>
            <w:r>
              <w:rPr>
                <w:rFonts w:ascii="Arial" w:hAnsi="Arial"/>
                <w:b/>
                <w:i w:val="0"/>
                <w:color w:val="FFFFFF"/>
                <w:sz w:val="16"/>
              </w:rPr>
              <w:t>Goal and measure</w:t>
            </w:r>
          </w:p>
        </w:tc>
        <w:tc>
          <w:tcPr>
            <w:tcW w:type="dxa" w:w="1584"/>
            <w:shd w:val="clear" w:color="auto" w:fill="27245E"/>
          </w:tcPr>
          <w:p>
            <w:pPr>
              <w:spacing w:after="0"/>
            </w:pPr>
            <w:r/>
            <w:r>
              <w:rPr>
                <w:rFonts w:ascii="Arial" w:hAnsi="Arial"/>
                <w:b/>
                <w:i w:val="0"/>
                <w:color w:val="FFFFFF"/>
                <w:sz w:val="16"/>
              </w:rPr>
              <w:t>Current state (value, date, source)</w:t>
            </w:r>
          </w:p>
        </w:tc>
        <w:tc>
          <w:tcPr>
            <w:tcW w:type="dxa" w:w="1728"/>
            <w:shd w:val="clear" w:color="auto" w:fill="27245E"/>
          </w:tcPr>
          <w:p>
            <w:pPr>
              <w:spacing w:after="0"/>
            </w:pPr>
            <w:r/>
            <w:r>
              <w:rPr>
                <w:rFonts w:ascii="Arial" w:hAnsi="Arial"/>
                <w:b/>
                <w:i w:val="0"/>
                <w:color w:val="FFFFFF"/>
                <w:sz w:val="16"/>
              </w:rPr>
              <w:t>Target state (value, deadline, assumption)</w:t>
            </w:r>
          </w:p>
        </w:tc>
        <w:tc>
          <w:tcPr>
            <w:tcW w:type="dxa" w:w="1584"/>
            <w:shd w:val="clear" w:color="auto" w:fill="27245E"/>
          </w:tcPr>
          <w:p>
            <w:pPr>
              <w:spacing w:after="0"/>
            </w:pPr>
            <w:r/>
            <w:r>
              <w:rPr>
                <w:rFonts w:ascii="Arial" w:hAnsi="Arial"/>
                <w:b/>
                <w:i w:val="0"/>
                <w:color w:val="FFFFFF"/>
                <w:sz w:val="16"/>
              </w:rPr>
              <w:t>Gap</w:t>
            </w:r>
          </w:p>
        </w:tc>
        <w:tc>
          <w:tcPr>
            <w:tcW w:type="dxa" w:w="1368"/>
            <w:shd w:val="clear" w:color="auto" w:fill="27245E"/>
          </w:tcPr>
          <w:p>
            <w:pPr>
              <w:spacing w:after="0"/>
            </w:pPr>
            <w:r/>
            <w:r>
              <w:rPr>
                <w:rFonts w:ascii="Arial" w:hAnsi="Arial"/>
                <w:b/>
                <w:i w:val="0"/>
                <w:color w:val="FFFFFF"/>
                <w:sz w:val="16"/>
              </w:rPr>
              <w:t>Gap type</w:t>
            </w:r>
          </w:p>
        </w:tc>
        <w:tc>
          <w:tcPr>
            <w:tcW w:type="dxa" w:w="1944"/>
            <w:shd w:val="clear" w:color="auto" w:fill="27245E"/>
          </w:tcPr>
          <w:p>
            <w:pPr>
              <w:spacing w:after="0"/>
            </w:pPr>
            <w:r/>
            <w:r>
              <w:rPr>
                <w:rFonts w:ascii="Arial" w:hAnsi="Arial"/>
                <w:b/>
                <w:i w:val="0"/>
                <w:color w:val="FFFFFF"/>
                <w:sz w:val="16"/>
              </w:rPr>
              <w:t>Root cause</w:t>
            </w:r>
          </w:p>
        </w:tc>
        <w:tc>
          <w:tcPr>
            <w:tcW w:type="dxa" w:w="1872"/>
            <w:shd w:val="clear" w:color="auto" w:fill="27245E"/>
          </w:tcPr>
          <w:p>
            <w:pPr>
              <w:spacing w:after="0"/>
            </w:pPr>
            <w:r/>
            <w:r>
              <w:rPr>
                <w:rFonts w:ascii="Arial" w:hAnsi="Arial"/>
                <w:b/>
                <w:i w:val="0"/>
                <w:color w:val="FFFFFF"/>
                <w:sz w:val="16"/>
              </w:rPr>
              <w:t>Action</w:t>
            </w:r>
          </w:p>
        </w:tc>
        <w:tc>
          <w:tcPr>
            <w:tcW w:type="dxa" w:w="1224"/>
            <w:shd w:val="clear" w:color="auto" w:fill="27245E"/>
          </w:tcPr>
          <w:p>
            <w:pPr>
              <w:spacing w:after="0"/>
            </w:pPr>
            <w:r/>
            <w:r>
              <w:rPr>
                <w:rFonts w:ascii="Arial" w:hAnsi="Arial"/>
                <w:b/>
                <w:i w:val="0"/>
                <w:color w:val="FFFFFF"/>
                <w:sz w:val="16"/>
              </w:rPr>
              <w:t>Owner</w:t>
            </w:r>
          </w:p>
        </w:tc>
        <w:tc>
          <w:tcPr>
            <w:tcW w:type="dxa" w:w="1080"/>
            <w:shd w:val="clear" w:color="auto" w:fill="27245E"/>
          </w:tcPr>
          <w:p>
            <w:pPr>
              <w:spacing w:after="0"/>
            </w:pPr>
            <w:r/>
            <w:r>
              <w:rPr>
                <w:rFonts w:ascii="Arial" w:hAnsi="Arial"/>
                <w:b/>
                <w:i w:val="0"/>
                <w:color w:val="FFFFFF"/>
                <w:sz w:val="16"/>
              </w:rPr>
              <w:t>Due date</w:t>
            </w:r>
          </w:p>
        </w:tc>
      </w:tr>
      <w:tr>
        <w:tc>
          <w:tcPr>
            <w:tcW w:type="dxa" w:w="2016"/>
          </w:tcPr>
          <w:p>
            <w:pPr>
              <w:spacing w:after="0"/>
            </w:pPr>
            <w:r/>
            <w:r>
              <w:rPr>
                <w:rFonts w:ascii="Arial" w:hAnsi="Arial"/>
                <w:b w:val="0"/>
                <w:i/>
                <w:color w:val="5B6478"/>
                <w:sz w:val="16"/>
              </w:rPr>
              <w:t>[Goal number and name] · [the one measure that shows progress]</w:t>
            </w:r>
          </w:p>
        </w:tc>
        <w:tc>
          <w:tcPr>
            <w:tcW w:type="dxa" w:w="1584"/>
          </w:tcPr>
          <w:p>
            <w:pPr>
              <w:spacing w:after="0"/>
            </w:pPr>
            <w:r/>
            <w:r>
              <w:rPr>
                <w:rFonts w:ascii="Arial" w:hAnsi="Arial"/>
                <w:b w:val="0"/>
                <w:i/>
                <w:color w:val="5B6478"/>
                <w:sz w:val="16"/>
              </w:rPr>
              <w:t>[Value] ([date of the reading], [source])</w:t>
            </w:r>
          </w:p>
        </w:tc>
        <w:tc>
          <w:tcPr>
            <w:tcW w:type="dxa" w:w="1728"/>
          </w:tcPr>
          <w:p>
            <w:pPr>
              <w:spacing w:after="0"/>
            </w:pPr>
            <w:r/>
            <w:r>
              <w:rPr>
                <w:rFonts w:ascii="Arial" w:hAnsi="Arial"/>
                <w:b w:val="0"/>
                <w:i/>
                <w:color w:val="5B6478"/>
                <w:sz w:val="16"/>
              </w:rPr>
              <w:t>[Value] by [deadline], assuming [the assumption behind the target]</w:t>
            </w:r>
          </w:p>
        </w:tc>
        <w:tc>
          <w:tcPr>
            <w:tcW w:type="dxa" w:w="1584"/>
          </w:tcPr>
          <w:p>
            <w:pPr>
              <w:spacing w:after="0"/>
            </w:pPr>
            <w:r/>
            <w:r>
              <w:rPr>
                <w:rFonts w:ascii="Arial" w:hAnsi="Arial"/>
                <w:b w:val="0"/>
                <w:i/>
                <w:color w:val="5B6478"/>
                <w:sz w:val="16"/>
              </w:rPr>
              <w:t>[Difference and direction], [trend over the last three readings]</w:t>
            </w:r>
          </w:p>
        </w:tc>
        <w:tc>
          <w:tcPr>
            <w:tcW w:type="dxa" w:w="1368"/>
          </w:tcPr>
          <w:p>
            <w:pPr>
              <w:spacing w:after="0"/>
            </w:pPr>
            <w:r/>
            <w:r>
              <w:rPr>
                <w:rFonts w:ascii="Arial" w:hAnsi="Arial"/>
                <w:b w:val="0"/>
                <w:i/>
                <w:color w:val="5B6478"/>
                <w:sz w:val="16"/>
              </w:rPr>
              <w:t>[Performance / Tracking / Definition / Strategy]</w:t>
            </w:r>
          </w:p>
        </w:tc>
        <w:tc>
          <w:tcPr>
            <w:tcW w:type="dxa" w:w="1944"/>
          </w:tcPr>
          <w:p>
            <w:pPr>
              <w:spacing w:after="0"/>
            </w:pPr>
            <w:r/>
            <w:r>
              <w:rPr>
                <w:rFonts w:ascii="Arial" w:hAnsi="Arial"/>
                <w:b w:val="0"/>
                <w:i/>
                <w:color w:val="5B6478"/>
                <w:sz w:val="16"/>
              </w:rPr>
              <w:t>[What the fifth 'why' points to]</w:t>
            </w:r>
          </w:p>
        </w:tc>
        <w:tc>
          <w:tcPr>
            <w:tcW w:type="dxa" w:w="1872"/>
          </w:tcPr>
          <w:p>
            <w:pPr>
              <w:spacing w:after="0"/>
            </w:pPr>
            <w:r/>
            <w:r>
              <w:rPr>
                <w:rFonts w:ascii="Arial" w:hAnsi="Arial"/>
                <w:b w:val="0"/>
                <w:i/>
                <w:color w:val="5B6478"/>
                <w:sz w:val="16"/>
              </w:rPr>
              <w:t>[One action that removes the root cause]</w:t>
            </w:r>
          </w:p>
        </w:tc>
        <w:tc>
          <w:tcPr>
            <w:tcW w:type="dxa" w:w="1224"/>
          </w:tcPr>
          <w:p>
            <w:pPr>
              <w:spacing w:after="0"/>
            </w:pPr>
            <w:r/>
            <w:r>
              <w:rPr>
                <w:rFonts w:ascii="Arial" w:hAnsi="Arial"/>
                <w:b w:val="0"/>
                <w:i/>
                <w:color w:val="5B6478"/>
                <w:sz w:val="16"/>
              </w:rPr>
              <w:t>[Name, title]</w:t>
            </w:r>
          </w:p>
        </w:tc>
        <w:tc>
          <w:tcPr>
            <w:tcW w:type="dxa" w:w="1080"/>
          </w:tcPr>
          <w:p>
            <w:pPr>
              <w:spacing w:after="0"/>
            </w:pPr>
            <w:r/>
            <w:r>
              <w:rPr>
                <w:rFonts w:ascii="Arial" w:hAnsi="Arial"/>
                <w:b w:val="0"/>
                <w:i/>
                <w:color w:val="5B6478"/>
                <w:sz w:val="16"/>
              </w:rPr>
              <w:t>[Date the action is done] · next reading [date]</w:t>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r>
        <w:tc>
          <w:tcPr>
            <w:tcW w:type="dxa" w:w="2016"/>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728"/>
          </w:tcPr>
          <w:p>
            <w:pPr>
              <w:spacing w:after="0"/>
            </w:pPr>
            <w:r/>
            <w:r>
              <w:rPr>
                <w:rFonts w:ascii="Arial" w:hAnsi="Arial"/>
                <w:b w:val="0"/>
                <w:i w:val="0"/>
                <w:color w:val="2B3445"/>
                <w:sz w:val="16"/>
              </w:rPr>
            </w:r>
          </w:p>
        </w:tc>
        <w:tc>
          <w:tcPr>
            <w:tcW w:type="dxa" w:w="1584"/>
          </w:tcPr>
          <w:p>
            <w:pPr>
              <w:spacing w:after="0"/>
            </w:pPr>
            <w:r/>
            <w:r>
              <w:rPr>
                <w:rFonts w:ascii="Arial" w:hAnsi="Arial"/>
                <w:b w:val="0"/>
                <w:i w:val="0"/>
                <w:color w:val="2B3445"/>
                <w:sz w:val="16"/>
              </w:rPr>
            </w:r>
          </w:p>
        </w:tc>
        <w:tc>
          <w:tcPr>
            <w:tcW w:type="dxa" w:w="1368"/>
          </w:tcPr>
          <w:p>
            <w:pPr>
              <w:spacing w:after="0"/>
            </w:pPr>
            <w:r/>
            <w:r>
              <w:rPr>
                <w:rFonts w:ascii="Arial" w:hAnsi="Arial"/>
                <w:b w:val="0"/>
                <w:i w:val="0"/>
                <w:color w:val="2B3445"/>
                <w:sz w:val="16"/>
              </w:rPr>
            </w:r>
          </w:p>
        </w:tc>
        <w:tc>
          <w:tcPr>
            <w:tcW w:type="dxa" w:w="1944"/>
          </w:tcPr>
          <w:p>
            <w:pPr>
              <w:spacing w:after="0"/>
            </w:pPr>
            <w:r/>
            <w:r>
              <w:rPr>
                <w:rFonts w:ascii="Arial" w:hAnsi="Arial"/>
                <w:b w:val="0"/>
                <w:i w:val="0"/>
                <w:color w:val="2B3445"/>
                <w:sz w:val="16"/>
              </w:rPr>
            </w:r>
          </w:p>
        </w:tc>
        <w:tc>
          <w:tcPr>
            <w:tcW w:type="dxa" w:w="1872"/>
          </w:tcPr>
          <w:p>
            <w:pPr>
              <w:spacing w:after="0"/>
            </w:pPr>
            <w:r/>
            <w:r>
              <w:rPr>
                <w:rFonts w:ascii="Arial" w:hAnsi="Arial"/>
                <w:b w:val="0"/>
                <w:i w:val="0"/>
                <w:color w:val="2B3445"/>
                <w:sz w:val="16"/>
              </w:rPr>
            </w:r>
          </w:p>
        </w:tc>
        <w:tc>
          <w:tcPr>
            <w:tcW w:type="dxa" w:w="1224"/>
          </w:tcPr>
          <w:p>
            <w:pPr>
              <w:spacing w:after="0"/>
            </w:pPr>
            <w:r/>
            <w:r>
              <w:rPr>
                <w:rFonts w:ascii="Arial" w:hAnsi="Arial"/>
                <w:b w:val="0"/>
                <w:i w:val="0"/>
                <w:color w:val="2B3445"/>
                <w:sz w:val="16"/>
              </w:rPr>
            </w:r>
          </w:p>
        </w:tc>
        <w:tc>
          <w:tcPr>
            <w:tcW w:type="dxa" w:w="1080"/>
          </w:tcPr>
          <w:p>
            <w:pPr>
              <w:spacing w:after="0"/>
            </w:pPr>
            <w:r/>
            <w:r>
              <w:rPr>
                <w:rFonts w:ascii="Arial" w:hAnsi="Arial"/>
                <w:b w:val="0"/>
                <w:i w:val="0"/>
                <w:color w:val="2B3445"/>
                <w:sz w:val="16"/>
              </w:rPr>
            </w:r>
          </w:p>
        </w:tc>
      </w:tr>
    </w:tbl>
    <w:p>
      <w:pPr>
        <w:spacing w:after="80"/>
      </w:pPr>
      <w:r>
        <w:rPr>
          <w:rFonts w:ascii="Arial" w:hAnsi="Arial"/>
          <w:b w:val="0"/>
          <w:i w:val="0"/>
          <w:color w:val="2B3445"/>
          <w:sz w:val="20"/>
        </w:rPr>
      </w:r>
    </w:p>
    <w:p>
      <w:pPr>
        <w:spacing w:after="80"/>
      </w:pPr>
      <w:r>
        <w:rPr>
          <w:rFonts w:ascii="Arial" w:hAnsi="Arial"/>
          <w:b/>
          <w:i w:val="0"/>
          <w:color w:val="27245E"/>
          <w:sz w:val="20"/>
        </w:rPr>
        <w:t>See how ClearPoint keeps every gap, owner and due date current: www.clearpointstrategy.com/get-a-demo</w:t>
      </w:r>
    </w:p>
    <w:sectPr w:rsidR="00FC693F" w:rsidRPr="0006063C" w:rsidSect="00034616">
      <w:footerReference w:type="default" r:id="rId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rPr>
        <w:color w:val="5B6478"/>
        <w:sz w:val="16"/>
      </w:rPr>
      <w:t>ClearPoint Strategy · Free Gap Analysis Template · https://www.clearpointstrategy.com/blog/gap-analysis-template</w:t>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Free Gap Analysis Template — University example</dc:title>
  <dc:subject/>
  <dc:creator>ClearPoint Strategy</dc:creator>
  <cp:keywords/>
  <dc:description>generated by python-docx</dc:description>
  <cp:lastModifiedBy>ClearPoint Strategy</cp:lastModifiedBy>
  <cp:revision>1</cp:revision>
  <dcterms:created xsi:type="dcterms:W3CDTF">2013-12-23T23:15:00Z</dcterms:created>
  <dcterms:modified xsi:type="dcterms:W3CDTF">2013-12-23T23:15:00Z</dcterms:modified>
  <cp:category/>
</cp:coreProperties>
</file>