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AB2BD" w14:textId="722636EA" w:rsidR="00015014" w:rsidRPr="00015014" w:rsidRDefault="00E94FEF" w:rsidP="00015014">
      <w:pPr>
        <w:pStyle w:val="Ttulo1"/>
        <w:rPr>
          <w:rFonts w:ascii="Gellix" w:hAnsi="Gellix"/>
          <w:color w:val="007DFF"/>
          <w:sz w:val="28"/>
          <w:szCs w:val="28"/>
        </w:rPr>
      </w:pPr>
      <w:bookmarkStart w:id="0" w:name="X339e9859c6244b3dbcd2628eecf049a487cdb25"/>
      <w:r>
        <w:rPr>
          <w:rFonts w:ascii="Gellix" w:hAnsi="Gellix"/>
          <w:noProof/>
        </w:rPr>
        <w:drawing>
          <wp:anchor distT="0" distB="0" distL="114300" distR="114300" simplePos="0" relativeHeight="251658240" behindDoc="0" locked="0" layoutInCell="1" allowOverlap="1" wp14:anchorId="21E3A169" wp14:editId="1960F996">
            <wp:simplePos x="0" y="0"/>
            <wp:positionH relativeFrom="margin">
              <wp:align>right</wp:align>
            </wp:positionH>
            <wp:positionV relativeFrom="paragraph">
              <wp:posOffset>-489585</wp:posOffset>
            </wp:positionV>
            <wp:extent cx="931124" cy="590550"/>
            <wp:effectExtent l="0" t="0" r="254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124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5014" w:rsidRPr="00015014">
        <w:rPr>
          <w:rFonts w:ascii="Gellix" w:hAnsi="Gellix"/>
          <w:color w:val="auto"/>
          <w:sz w:val="28"/>
          <w:szCs w:val="28"/>
        </w:rPr>
        <w:t xml:space="preserve">Sanciones Internacionales: </w:t>
      </w:r>
      <w:r w:rsidR="00015014" w:rsidRPr="00015014">
        <w:rPr>
          <w:rFonts w:ascii="Gellix" w:hAnsi="Gellix"/>
          <w:color w:val="007DFF"/>
          <w:sz w:val="28"/>
          <w:szCs w:val="28"/>
        </w:rPr>
        <w:t>Riesgos, Impacto y Estrategias para Empresas Argentinas y Latinoamericanas</w:t>
      </w:r>
    </w:p>
    <w:p w14:paraId="3F07F751" w14:textId="2E11FA53" w:rsidR="00015014" w:rsidRPr="002729B9" w:rsidRDefault="00015014" w:rsidP="00015014">
      <w:pPr>
        <w:pStyle w:val="FirstParagraph"/>
        <w:rPr>
          <w:rFonts w:ascii="Gellix" w:hAnsi="Gellix"/>
          <w:lang w:val="es-AR"/>
        </w:rPr>
      </w:pPr>
      <w:r w:rsidRPr="002729B9">
        <w:rPr>
          <w:rFonts w:ascii="Gellix" w:hAnsi="Gellix"/>
          <w:b/>
          <w:bCs/>
          <w:lang w:val="es-AR"/>
        </w:rPr>
        <w:t>Fecha:</w:t>
      </w:r>
      <w:r w:rsidRPr="002729B9">
        <w:rPr>
          <w:rFonts w:ascii="Gellix" w:hAnsi="Gellix"/>
          <w:lang w:val="es-AR"/>
        </w:rPr>
        <w:t xml:space="preserve"> 6 de octubre de 2026</w:t>
      </w:r>
      <w:r w:rsidRPr="002729B9">
        <w:rPr>
          <w:rFonts w:ascii="Gellix" w:hAnsi="Gellix"/>
          <w:lang w:val="es-AR"/>
        </w:rPr>
        <w:br/>
      </w:r>
      <w:r w:rsidRPr="002729B9">
        <w:rPr>
          <w:rFonts w:ascii="Gellix" w:hAnsi="Gellix"/>
          <w:b/>
          <w:bCs/>
          <w:lang w:val="es-AR"/>
        </w:rPr>
        <w:t>Hora:</w:t>
      </w:r>
      <w:r w:rsidRPr="002729B9">
        <w:rPr>
          <w:rFonts w:ascii="Gellix" w:hAnsi="Gellix"/>
          <w:lang w:val="es-AR"/>
        </w:rPr>
        <w:t xml:space="preserve"> 11:00 </w:t>
      </w:r>
      <w:proofErr w:type="spellStart"/>
      <w:r w:rsidRPr="002729B9">
        <w:rPr>
          <w:rFonts w:ascii="Gellix" w:hAnsi="Gellix"/>
          <w:lang w:val="es-AR"/>
        </w:rPr>
        <w:t>hs</w:t>
      </w:r>
      <w:proofErr w:type="spellEnd"/>
      <w:r w:rsidRPr="002729B9">
        <w:rPr>
          <w:rFonts w:ascii="Gellix" w:hAnsi="Gellix"/>
          <w:lang w:val="es-AR"/>
        </w:rPr>
        <w:t xml:space="preserve"> (Argentina)</w:t>
      </w:r>
      <w:r w:rsidRPr="002729B9">
        <w:rPr>
          <w:rFonts w:ascii="Gellix" w:hAnsi="Gellix"/>
          <w:lang w:val="es-AR"/>
        </w:rPr>
        <w:br/>
      </w:r>
      <w:r w:rsidRPr="002729B9">
        <w:rPr>
          <w:rFonts w:ascii="Gellix" w:hAnsi="Gellix"/>
          <w:b/>
          <w:bCs/>
          <w:lang w:val="es-AR"/>
        </w:rPr>
        <w:t>Modalidad:</w:t>
      </w:r>
      <w:r w:rsidRPr="002729B9">
        <w:rPr>
          <w:rFonts w:ascii="Gellix" w:hAnsi="Gellix"/>
          <w:lang w:val="es-AR"/>
        </w:rPr>
        <w:t xml:space="preserve"> Virtual</w:t>
      </w:r>
    </w:p>
    <w:p w14:paraId="2FA7C59A" w14:textId="77777777" w:rsidR="00015014" w:rsidRPr="002729B9" w:rsidRDefault="00015014" w:rsidP="00015014">
      <w:pPr>
        <w:pStyle w:val="Ttulo3"/>
        <w:rPr>
          <w:rFonts w:ascii="Gellix" w:hAnsi="Gellix"/>
          <w:color w:val="007DFF"/>
        </w:rPr>
      </w:pPr>
      <w:bookmarkStart w:id="1" w:name="descripción"/>
      <w:r w:rsidRPr="002729B9">
        <w:rPr>
          <w:rFonts w:ascii="Gellix" w:hAnsi="Gellix"/>
          <w:color w:val="007DFF"/>
        </w:rPr>
        <w:t>Descripción</w:t>
      </w:r>
    </w:p>
    <w:p w14:paraId="5254835B" w14:textId="2B7993C2" w:rsidR="00015014" w:rsidRPr="00E94FEF" w:rsidRDefault="00015014" w:rsidP="002729B9">
      <w:pPr>
        <w:pStyle w:val="FirstParagraph"/>
        <w:jc w:val="both"/>
        <w:rPr>
          <w:rFonts w:ascii="Gellix" w:hAnsi="Gellix"/>
          <w:sz w:val="23"/>
          <w:szCs w:val="23"/>
          <w:lang w:val="es-AR"/>
        </w:rPr>
      </w:pPr>
      <w:r w:rsidRPr="00E94FEF">
        <w:rPr>
          <w:rFonts w:ascii="Gellix" w:hAnsi="Gellix"/>
          <w:sz w:val="23"/>
          <w:szCs w:val="23"/>
          <w:lang w:val="es-AR"/>
        </w:rPr>
        <w:t>En un contexto de creciente complejidad geopolítica y regulatoria, las sanciones económicas y comerciales internacionales tienen un impacto cada vez más relevante para las empresas argentinas y latinoamericanas, incluso cuando no mantienen operaciones directas en los países sancionados.</w:t>
      </w:r>
    </w:p>
    <w:p w14:paraId="0F400ECE" w14:textId="14F6C63C" w:rsidR="00015014" w:rsidRPr="00E94FEF" w:rsidRDefault="00015014" w:rsidP="002729B9">
      <w:pPr>
        <w:pStyle w:val="Textoindependiente"/>
        <w:jc w:val="both"/>
        <w:rPr>
          <w:rFonts w:ascii="Gellix" w:hAnsi="Gellix"/>
          <w:sz w:val="23"/>
          <w:szCs w:val="23"/>
          <w:lang w:val="es-AR"/>
        </w:rPr>
      </w:pPr>
      <w:r w:rsidRPr="00E94FEF">
        <w:rPr>
          <w:rFonts w:ascii="Gellix" w:hAnsi="Gellix"/>
          <w:sz w:val="23"/>
          <w:szCs w:val="23"/>
          <w:lang w:val="es-AR"/>
        </w:rPr>
        <w:t xml:space="preserve">Este </w:t>
      </w:r>
      <w:proofErr w:type="spellStart"/>
      <w:r w:rsidRPr="00E94FEF">
        <w:rPr>
          <w:rFonts w:ascii="Gellix" w:hAnsi="Gellix"/>
          <w:sz w:val="23"/>
          <w:szCs w:val="23"/>
          <w:lang w:val="es-AR"/>
        </w:rPr>
        <w:t>webinar</w:t>
      </w:r>
      <w:proofErr w:type="spellEnd"/>
      <w:r w:rsidRPr="00E94FEF">
        <w:rPr>
          <w:rFonts w:ascii="Gellix" w:hAnsi="Gellix"/>
          <w:sz w:val="23"/>
          <w:szCs w:val="23"/>
          <w:lang w:val="es-AR"/>
        </w:rPr>
        <w:t xml:space="preserve"> ofrecerá una introducción práctica al marco de sanciones internacionales, con especial énfasis en los regímenes de Estados Unidos y su alcance extraterritorial. Analizaremos cómo estas restricciones pueden afectar a empresas de Argentina y América Latina a través de sus operaciones comerciales y financieras, cadenas de suministro, contrapartes, instituciones financieras y transacciones internacionales.</w:t>
      </w:r>
    </w:p>
    <w:p w14:paraId="2784B906" w14:textId="28F7974E" w:rsidR="00015014" w:rsidRPr="00E94FEF" w:rsidRDefault="00015014" w:rsidP="002729B9">
      <w:pPr>
        <w:pStyle w:val="Textoindependiente"/>
        <w:jc w:val="both"/>
        <w:rPr>
          <w:rFonts w:ascii="Gellix" w:hAnsi="Gellix"/>
          <w:sz w:val="23"/>
          <w:szCs w:val="23"/>
          <w:lang w:val="es-AR"/>
        </w:rPr>
      </w:pPr>
      <w:r w:rsidRPr="00E94FEF">
        <w:rPr>
          <w:rFonts w:ascii="Gellix" w:hAnsi="Gellix"/>
          <w:sz w:val="23"/>
          <w:szCs w:val="23"/>
          <w:lang w:val="es-AR"/>
        </w:rPr>
        <w:t>Asimismo, abordaremos los principales factores de riesgo que las empresas deben considerar, estrategias para identificar y mitigar su exposición, y aspectos prácticos para el desarrollo e implementación de controles de cumplimiento efectivos. A través de ejemplos y situaciones concretas, exploraremos cómo las empresas pueden navegar un entorno de sanciones en constante evolución y gestionar estos riesgos sin obstaculizar innecesariamente sus oportunidades comerciales.</w:t>
      </w:r>
    </w:p>
    <w:p w14:paraId="29BAD9E5" w14:textId="00867367" w:rsidR="00015014" w:rsidRPr="002729B9" w:rsidRDefault="00015014" w:rsidP="00015014">
      <w:pPr>
        <w:pStyle w:val="Ttulo3"/>
        <w:rPr>
          <w:rFonts w:ascii="Gellix" w:hAnsi="Gellix"/>
          <w:color w:val="007DFF"/>
        </w:rPr>
      </w:pPr>
      <w:bookmarkStart w:id="2" w:name="agenda"/>
      <w:bookmarkEnd w:id="1"/>
      <w:r w:rsidRPr="002729B9">
        <w:rPr>
          <w:rFonts w:ascii="Gellix" w:hAnsi="Gellix"/>
          <w:color w:val="007DFF"/>
        </w:rPr>
        <w:t>Agenda</w:t>
      </w:r>
    </w:p>
    <w:tbl>
      <w:tblPr>
        <w:tblStyle w:val="Table"/>
        <w:tblW w:w="5087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418"/>
        <w:gridCol w:w="7224"/>
      </w:tblGrid>
      <w:tr w:rsidR="00015014" w:rsidRPr="002729B9" w14:paraId="3B75834C" w14:textId="77777777" w:rsidTr="002729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18" w:type="dxa"/>
            <w:tcBorders>
              <w:bottom w:val="none" w:sz="0" w:space="0" w:color="auto"/>
            </w:tcBorders>
          </w:tcPr>
          <w:p w14:paraId="0046014F" w14:textId="66487945" w:rsidR="00015014" w:rsidRPr="002729B9" w:rsidRDefault="00015014" w:rsidP="00E74722">
            <w:pPr>
              <w:pStyle w:val="Compact"/>
              <w:rPr>
                <w:rFonts w:ascii="Gellix" w:hAnsi="Gellix"/>
              </w:rPr>
            </w:pPr>
            <w:proofErr w:type="spellStart"/>
            <w:r w:rsidRPr="002729B9">
              <w:rPr>
                <w:rFonts w:ascii="Gellix" w:hAnsi="Gellix"/>
              </w:rPr>
              <w:t>Horario</w:t>
            </w:r>
            <w:proofErr w:type="spellEnd"/>
          </w:p>
        </w:tc>
        <w:tc>
          <w:tcPr>
            <w:tcW w:w="7224" w:type="dxa"/>
            <w:tcBorders>
              <w:bottom w:val="none" w:sz="0" w:space="0" w:color="auto"/>
            </w:tcBorders>
          </w:tcPr>
          <w:p w14:paraId="18ACE262" w14:textId="77777777" w:rsidR="00015014" w:rsidRPr="002729B9" w:rsidRDefault="00015014" w:rsidP="00E74722">
            <w:pPr>
              <w:pStyle w:val="Compact"/>
              <w:rPr>
                <w:rFonts w:ascii="Gellix" w:hAnsi="Gellix"/>
              </w:rPr>
            </w:pPr>
            <w:proofErr w:type="spellStart"/>
            <w:r w:rsidRPr="002729B9">
              <w:rPr>
                <w:rFonts w:ascii="Gellix" w:hAnsi="Gellix"/>
              </w:rPr>
              <w:t>Segmento</w:t>
            </w:r>
            <w:proofErr w:type="spellEnd"/>
          </w:p>
        </w:tc>
      </w:tr>
      <w:tr w:rsidR="00015014" w:rsidRPr="002729B9" w14:paraId="7BA8D652" w14:textId="77777777" w:rsidTr="002729B9">
        <w:tc>
          <w:tcPr>
            <w:tcW w:w="1418" w:type="dxa"/>
          </w:tcPr>
          <w:p w14:paraId="263ADD93" w14:textId="4D0FEF20" w:rsidR="00015014" w:rsidRPr="002729B9" w:rsidRDefault="00015014" w:rsidP="00E74722">
            <w:pPr>
              <w:pStyle w:val="Compact"/>
              <w:rPr>
                <w:rFonts w:ascii="Gellix" w:hAnsi="Gellix"/>
                <w:sz w:val="22"/>
                <w:szCs w:val="22"/>
              </w:rPr>
            </w:pPr>
            <w:r w:rsidRPr="002729B9">
              <w:rPr>
                <w:rFonts w:ascii="Gellix" w:hAnsi="Gellix"/>
                <w:sz w:val="22"/>
                <w:szCs w:val="22"/>
              </w:rPr>
              <w:t>11:00</w:t>
            </w:r>
            <w:r w:rsidR="002729B9" w:rsidRPr="002729B9">
              <w:rPr>
                <w:rFonts w:ascii="Gellix" w:hAnsi="Gellix"/>
                <w:sz w:val="22"/>
                <w:szCs w:val="22"/>
              </w:rPr>
              <w:t xml:space="preserve">- </w:t>
            </w:r>
            <w:r w:rsidRPr="002729B9">
              <w:rPr>
                <w:rFonts w:ascii="Gellix" w:hAnsi="Gellix"/>
                <w:sz w:val="22"/>
                <w:szCs w:val="22"/>
              </w:rPr>
              <w:t>11:05</w:t>
            </w:r>
          </w:p>
        </w:tc>
        <w:tc>
          <w:tcPr>
            <w:tcW w:w="7224" w:type="dxa"/>
          </w:tcPr>
          <w:p w14:paraId="5CE3AA4B" w14:textId="77777777" w:rsidR="002729B9" w:rsidRPr="002729B9" w:rsidRDefault="00015014" w:rsidP="00E74722">
            <w:pPr>
              <w:pStyle w:val="Compact"/>
              <w:rPr>
                <w:rFonts w:ascii="Gellix" w:hAnsi="Gellix"/>
                <w:color w:val="007DFF"/>
                <w:sz w:val="22"/>
                <w:szCs w:val="22"/>
                <w:lang w:val="es-AR"/>
              </w:rPr>
            </w:pPr>
            <w:r w:rsidRPr="002729B9">
              <w:rPr>
                <w:rFonts w:ascii="Gellix" w:hAnsi="Gellix"/>
                <w:color w:val="007DFF"/>
                <w:sz w:val="22"/>
                <w:szCs w:val="22"/>
                <w:lang w:val="es-AR"/>
              </w:rPr>
              <w:t xml:space="preserve">Apertura </w:t>
            </w:r>
          </w:p>
          <w:p w14:paraId="3B5309B9" w14:textId="1A7099F5" w:rsidR="00015014" w:rsidRPr="002729B9" w:rsidRDefault="002729B9" w:rsidP="00E94FEF">
            <w:pPr>
              <w:pStyle w:val="Compact"/>
              <w:numPr>
                <w:ilvl w:val="0"/>
                <w:numId w:val="3"/>
              </w:numPr>
              <w:rPr>
                <w:rFonts w:ascii="Gellix" w:hAnsi="Gellix"/>
                <w:sz w:val="22"/>
                <w:szCs w:val="22"/>
                <w:lang w:val="es-AR"/>
              </w:rPr>
            </w:pPr>
            <w:r w:rsidRPr="002729B9">
              <w:rPr>
                <w:rFonts w:ascii="Gellix" w:hAnsi="Gellix"/>
                <w:i/>
                <w:iCs/>
                <w:sz w:val="22"/>
                <w:szCs w:val="22"/>
                <w:lang w:val="es-AR"/>
              </w:rPr>
              <w:t xml:space="preserve">Florencia Pagani, </w:t>
            </w:r>
            <w:proofErr w:type="gramStart"/>
            <w:r w:rsidRPr="002729B9">
              <w:rPr>
                <w:rFonts w:ascii="Gellix" w:hAnsi="Gellix"/>
                <w:i/>
                <w:iCs/>
                <w:sz w:val="22"/>
                <w:szCs w:val="22"/>
                <w:lang w:val="es-AR"/>
              </w:rPr>
              <w:t>Presidenta</w:t>
            </w:r>
            <w:proofErr w:type="gramEnd"/>
            <w:r w:rsidRPr="002729B9">
              <w:rPr>
                <w:rFonts w:ascii="Gellix" w:hAnsi="Gellix"/>
                <w:i/>
                <w:iCs/>
                <w:sz w:val="22"/>
                <w:szCs w:val="22"/>
                <w:lang w:val="es-AR"/>
              </w:rPr>
              <w:t xml:space="preserve"> de la Comisión de Integridad Empresarial de ICC Argentina</w:t>
            </w:r>
            <w:r w:rsidRPr="002729B9">
              <w:rPr>
                <w:rFonts w:ascii="Gellix" w:hAnsi="Gellix"/>
                <w:i/>
                <w:iCs/>
                <w:sz w:val="22"/>
                <w:szCs w:val="22"/>
                <w:lang w:val="es-AR"/>
              </w:rPr>
              <w:br/>
            </w:r>
          </w:p>
        </w:tc>
      </w:tr>
      <w:tr w:rsidR="00015014" w:rsidRPr="002729B9" w14:paraId="7F4E7F0A" w14:textId="77777777" w:rsidTr="002729B9">
        <w:tc>
          <w:tcPr>
            <w:tcW w:w="1418" w:type="dxa"/>
          </w:tcPr>
          <w:p w14:paraId="1732F902" w14:textId="46EC354A" w:rsidR="00015014" w:rsidRPr="002729B9" w:rsidRDefault="00015014" w:rsidP="00E74722">
            <w:pPr>
              <w:pStyle w:val="Compact"/>
              <w:rPr>
                <w:rFonts w:ascii="Gellix" w:hAnsi="Gellix"/>
                <w:sz w:val="22"/>
                <w:szCs w:val="22"/>
              </w:rPr>
            </w:pPr>
            <w:r w:rsidRPr="002729B9">
              <w:rPr>
                <w:rFonts w:ascii="Gellix" w:hAnsi="Gellix"/>
                <w:sz w:val="22"/>
                <w:szCs w:val="22"/>
              </w:rPr>
              <w:t>11:05</w:t>
            </w:r>
            <w:r w:rsidR="002729B9" w:rsidRPr="002729B9">
              <w:rPr>
                <w:rFonts w:ascii="Gellix" w:hAnsi="Gellix"/>
                <w:sz w:val="22"/>
                <w:szCs w:val="22"/>
              </w:rPr>
              <w:t>-</w:t>
            </w:r>
            <w:r w:rsidRPr="002729B9">
              <w:rPr>
                <w:rFonts w:ascii="Gellix" w:hAnsi="Gellix"/>
                <w:sz w:val="22"/>
                <w:szCs w:val="22"/>
              </w:rPr>
              <w:t>11:45</w:t>
            </w:r>
          </w:p>
        </w:tc>
        <w:tc>
          <w:tcPr>
            <w:tcW w:w="7224" w:type="dxa"/>
          </w:tcPr>
          <w:p w14:paraId="0356940C" w14:textId="124C6222" w:rsidR="00015014" w:rsidRPr="002729B9" w:rsidRDefault="002729B9" w:rsidP="00E74722">
            <w:pPr>
              <w:pStyle w:val="Compact"/>
              <w:rPr>
                <w:rFonts w:ascii="Gellix" w:hAnsi="Gellix"/>
                <w:i/>
                <w:iCs/>
                <w:sz w:val="22"/>
                <w:szCs w:val="22"/>
                <w:lang w:val="es-AR"/>
              </w:rPr>
            </w:pPr>
            <w:r w:rsidRPr="002729B9">
              <w:rPr>
                <w:rFonts w:ascii="Gellix" w:hAnsi="Gellix"/>
                <w:color w:val="007DFF"/>
                <w:sz w:val="22"/>
                <w:szCs w:val="22"/>
                <w:lang w:val="es-AR"/>
              </w:rPr>
              <w:t>Riesgos, Impacto y Estrategias para Empresas Argentinas y Latinoamericanas</w:t>
            </w:r>
            <w:r w:rsidRPr="002729B9">
              <w:rPr>
                <w:rFonts w:ascii="Gellix" w:hAnsi="Gellix"/>
                <w:sz w:val="22"/>
                <w:szCs w:val="22"/>
                <w:lang w:val="es-AR"/>
              </w:rPr>
              <w:br/>
            </w:r>
            <w:r w:rsidR="00015014" w:rsidRPr="002729B9">
              <w:rPr>
                <w:rFonts w:ascii="Gellix" w:hAnsi="Gellix"/>
                <w:sz w:val="22"/>
                <w:szCs w:val="22"/>
                <w:lang w:val="es-AR"/>
              </w:rPr>
              <w:t xml:space="preserve">Marco de sanciones internacionales, alcance extraterritorial de las sanciones de Estados Unidos, principales riesgos para empresas argentinas y latinoamericanas, ejemplos prácticos y estrategias de prevención y cumplimiento. </w:t>
            </w:r>
            <w:r w:rsidR="00E94FEF">
              <w:rPr>
                <w:rFonts w:ascii="Gellix" w:hAnsi="Gellix"/>
                <w:sz w:val="22"/>
                <w:szCs w:val="22"/>
                <w:lang w:val="es-AR"/>
              </w:rPr>
              <w:br/>
            </w:r>
          </w:p>
          <w:p w14:paraId="69666660" w14:textId="66BA4094" w:rsidR="002729B9" w:rsidRDefault="002729B9" w:rsidP="00E94FEF">
            <w:pPr>
              <w:pStyle w:val="Compact"/>
              <w:numPr>
                <w:ilvl w:val="0"/>
                <w:numId w:val="3"/>
              </w:numPr>
              <w:rPr>
                <w:rFonts w:ascii="Gellix" w:hAnsi="Gellix"/>
                <w:i/>
                <w:iCs/>
                <w:sz w:val="22"/>
                <w:szCs w:val="22"/>
                <w:lang w:val="es-AR"/>
              </w:rPr>
            </w:pPr>
            <w:r w:rsidRPr="002729B9">
              <w:rPr>
                <w:rFonts w:ascii="Gellix" w:hAnsi="Gellix"/>
                <w:i/>
                <w:iCs/>
                <w:sz w:val="22"/>
                <w:szCs w:val="22"/>
                <w:lang w:val="es-AR"/>
              </w:rPr>
              <w:t xml:space="preserve">Gretel Echarte, </w:t>
            </w:r>
            <w:proofErr w:type="spellStart"/>
            <w:r w:rsidRPr="002729B9">
              <w:rPr>
                <w:rFonts w:ascii="Gellix" w:hAnsi="Gellix"/>
                <w:i/>
                <w:iCs/>
                <w:sz w:val="22"/>
                <w:szCs w:val="22"/>
                <w:lang w:val="es-AR"/>
              </w:rPr>
              <w:t>Counsel</w:t>
            </w:r>
            <w:proofErr w:type="spellEnd"/>
            <w:r w:rsidRPr="002729B9">
              <w:rPr>
                <w:rFonts w:ascii="Gellix" w:hAnsi="Gellix"/>
                <w:i/>
                <w:iCs/>
                <w:sz w:val="22"/>
                <w:szCs w:val="22"/>
                <w:lang w:val="es-AR"/>
              </w:rPr>
              <w:t xml:space="preserve"> en Sanciones y Controles de Exportación</w:t>
            </w:r>
            <w:r w:rsidRPr="002729B9">
              <w:rPr>
                <w:rFonts w:ascii="Gellix" w:hAnsi="Gellix"/>
                <w:i/>
                <w:iCs/>
                <w:sz w:val="22"/>
                <w:szCs w:val="22"/>
                <w:lang w:val="es-AR"/>
              </w:rPr>
              <w:t xml:space="preserve"> -</w:t>
            </w:r>
            <w:r w:rsidRPr="002729B9">
              <w:rPr>
                <w:rFonts w:ascii="Gellix" w:hAnsi="Gellix"/>
                <w:i/>
                <w:iCs/>
                <w:sz w:val="22"/>
                <w:szCs w:val="22"/>
                <w:lang w:val="es-AR"/>
              </w:rPr>
              <w:t xml:space="preserve"> Mayer Brown</w:t>
            </w:r>
          </w:p>
          <w:p w14:paraId="198786E3" w14:textId="07038A90" w:rsidR="00E94FEF" w:rsidRPr="002729B9" w:rsidRDefault="00E94FEF" w:rsidP="00E74722">
            <w:pPr>
              <w:pStyle w:val="Compact"/>
              <w:rPr>
                <w:rFonts w:ascii="Gellix" w:hAnsi="Gellix"/>
                <w:sz w:val="22"/>
                <w:szCs w:val="22"/>
                <w:lang w:val="es-AR"/>
              </w:rPr>
            </w:pPr>
          </w:p>
        </w:tc>
      </w:tr>
      <w:tr w:rsidR="00015014" w:rsidRPr="002729B9" w14:paraId="34DC551B" w14:textId="77777777" w:rsidTr="002729B9">
        <w:tc>
          <w:tcPr>
            <w:tcW w:w="1418" w:type="dxa"/>
          </w:tcPr>
          <w:p w14:paraId="016C94E7" w14:textId="6EC52C79" w:rsidR="00015014" w:rsidRPr="002729B9" w:rsidRDefault="00015014" w:rsidP="00E74722">
            <w:pPr>
              <w:pStyle w:val="Compact"/>
              <w:rPr>
                <w:rFonts w:ascii="Gellix" w:hAnsi="Gellix"/>
                <w:sz w:val="22"/>
                <w:szCs w:val="22"/>
              </w:rPr>
            </w:pPr>
            <w:r w:rsidRPr="002729B9">
              <w:rPr>
                <w:rFonts w:ascii="Gellix" w:hAnsi="Gellix"/>
                <w:sz w:val="22"/>
                <w:szCs w:val="22"/>
              </w:rPr>
              <w:t>11:45</w:t>
            </w:r>
            <w:r w:rsidR="002729B9" w:rsidRPr="002729B9">
              <w:rPr>
                <w:rFonts w:ascii="Gellix" w:hAnsi="Gellix"/>
                <w:sz w:val="22"/>
                <w:szCs w:val="22"/>
              </w:rPr>
              <w:t>-</w:t>
            </w:r>
            <w:r w:rsidRPr="002729B9">
              <w:rPr>
                <w:rFonts w:ascii="Gellix" w:hAnsi="Gellix"/>
                <w:sz w:val="22"/>
                <w:szCs w:val="22"/>
              </w:rPr>
              <w:t xml:space="preserve">12:00 </w:t>
            </w:r>
          </w:p>
        </w:tc>
        <w:tc>
          <w:tcPr>
            <w:tcW w:w="7224" w:type="dxa"/>
          </w:tcPr>
          <w:p w14:paraId="732437C7" w14:textId="77777777" w:rsidR="00015014" w:rsidRPr="002729B9" w:rsidRDefault="002729B9" w:rsidP="00E74722">
            <w:pPr>
              <w:pStyle w:val="Compact"/>
              <w:rPr>
                <w:rFonts w:ascii="Gellix" w:hAnsi="Gellix"/>
                <w:color w:val="007DFF"/>
                <w:sz w:val="22"/>
                <w:szCs w:val="22"/>
                <w:lang w:val="es-AR"/>
              </w:rPr>
            </w:pPr>
            <w:r w:rsidRPr="002729B9">
              <w:rPr>
                <w:rFonts w:ascii="Gellix" w:hAnsi="Gellix"/>
                <w:color w:val="007DFF"/>
                <w:sz w:val="22"/>
                <w:szCs w:val="22"/>
                <w:lang w:val="es-AR"/>
              </w:rPr>
              <w:t xml:space="preserve">Espacio de </w:t>
            </w:r>
            <w:r w:rsidR="00015014" w:rsidRPr="002729B9">
              <w:rPr>
                <w:rFonts w:ascii="Gellix" w:hAnsi="Gellix"/>
                <w:color w:val="007DFF"/>
                <w:sz w:val="22"/>
                <w:szCs w:val="22"/>
                <w:lang w:val="es-AR"/>
              </w:rPr>
              <w:t>Preguntas</w:t>
            </w:r>
          </w:p>
          <w:p w14:paraId="3D99158B" w14:textId="70446BB2" w:rsidR="002729B9" w:rsidRPr="002729B9" w:rsidRDefault="002729B9" w:rsidP="00E74722">
            <w:pPr>
              <w:pStyle w:val="Compact"/>
              <w:rPr>
                <w:rFonts w:ascii="Gellix" w:hAnsi="Gellix"/>
                <w:sz w:val="22"/>
                <w:szCs w:val="22"/>
                <w:lang w:val="es-AR"/>
              </w:rPr>
            </w:pPr>
          </w:p>
        </w:tc>
      </w:tr>
      <w:bookmarkEnd w:id="0"/>
      <w:bookmarkEnd w:id="2"/>
    </w:tbl>
    <w:p w14:paraId="4A0D0B50" w14:textId="77777777" w:rsidR="00EA16B1" w:rsidRPr="002729B9" w:rsidRDefault="00EA16B1">
      <w:pPr>
        <w:rPr>
          <w:lang w:val="es-AR"/>
        </w:rPr>
      </w:pPr>
    </w:p>
    <w:sectPr w:rsidR="00EA16B1" w:rsidRPr="002729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llix">
    <w:panose1 w:val="00000800000000000000"/>
    <w:charset w:val="00"/>
    <w:family w:val="auto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5126D"/>
    <w:multiLevelType w:val="hybridMultilevel"/>
    <w:tmpl w:val="2DE0408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22334"/>
    <w:multiLevelType w:val="hybridMultilevel"/>
    <w:tmpl w:val="5860EFF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E62170"/>
    <w:multiLevelType w:val="hybridMultilevel"/>
    <w:tmpl w:val="0CF67FEC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10155080">
    <w:abstractNumId w:val="0"/>
  </w:num>
  <w:num w:numId="2" w16cid:durableId="517307379">
    <w:abstractNumId w:val="2"/>
  </w:num>
  <w:num w:numId="3" w16cid:durableId="436026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C78"/>
    <w:rsid w:val="00015014"/>
    <w:rsid w:val="000F7591"/>
    <w:rsid w:val="00147313"/>
    <w:rsid w:val="002729B9"/>
    <w:rsid w:val="002E1327"/>
    <w:rsid w:val="00761C78"/>
    <w:rsid w:val="007805F9"/>
    <w:rsid w:val="00C66E72"/>
    <w:rsid w:val="00E94FEF"/>
    <w:rsid w:val="00EA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52E58"/>
  <w15:chartTrackingRefBased/>
  <w15:docId w15:val="{9E9BE3A3-2F2E-4E09-85F8-CB041BF92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014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61C7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AR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1C7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AR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1C7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AR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1C7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s-AR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1C7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s-AR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1C7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s-AR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1C7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s-AR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1C7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s-AR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1C7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s-AR" w:eastAsia="en-US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1C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1C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1C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1C7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1C7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1C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1C7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1C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1C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1C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AR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61C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1C7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AR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61C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1C78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61C7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1C78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:lang w:val="es-AR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61C7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1C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val="es-AR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1C7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1C78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qFormat/>
    <w:rsid w:val="00015014"/>
    <w:pPr>
      <w:spacing w:before="180" w:after="180"/>
    </w:pPr>
  </w:style>
  <w:style w:type="character" w:customStyle="1" w:styleId="TextoindependienteCar">
    <w:name w:val="Texto independiente Car"/>
    <w:basedOn w:val="Fuentedeprrafopredeter"/>
    <w:link w:val="Textoindependiente"/>
    <w:rsid w:val="00015014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Textoindependiente"/>
    <w:next w:val="Textoindependiente"/>
    <w:qFormat/>
    <w:rsid w:val="00015014"/>
  </w:style>
  <w:style w:type="paragraph" w:customStyle="1" w:styleId="Compact">
    <w:name w:val="Compact"/>
    <w:basedOn w:val="Textoindependiente"/>
    <w:qFormat/>
    <w:rsid w:val="00015014"/>
    <w:pPr>
      <w:spacing w:before="36" w:after="36"/>
    </w:pPr>
  </w:style>
  <w:style w:type="table" w:customStyle="1" w:styleId="Table">
    <w:name w:val="Table"/>
    <w:semiHidden/>
    <w:unhideWhenUsed/>
    <w:qFormat/>
    <w:rsid w:val="00015014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3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Facundo Daniel Pivetti</dc:creator>
  <cp:keywords/>
  <dc:description/>
  <cp:lastModifiedBy>Facundo Daniel Pivetti</cp:lastModifiedBy>
  <cp:revision>2</cp:revision>
  <dcterms:created xsi:type="dcterms:W3CDTF">2026-09-08T12:55:00Z</dcterms:created>
  <dcterms:modified xsi:type="dcterms:W3CDTF">2026-09-08T13:26:00Z</dcterms:modified>
</cp:coreProperties>
</file>