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207D6" w:rsidP="000C6505" w:rsidRDefault="000207D6" w14:paraId="25B03605" w14:textId="77777777">
      <w:pPr>
        <w:jc w:val="center"/>
      </w:pPr>
    </w:p>
    <w:p w:rsidR="000C6505" w:rsidP="000C6505" w:rsidRDefault="000C6505" w14:paraId="3C8D935D" w14:textId="77777777">
      <w:pPr>
        <w:jc w:val="center"/>
      </w:pPr>
    </w:p>
    <w:p w:rsidR="000C6505" w:rsidP="00906DA6" w:rsidRDefault="00906DA6" w14:paraId="2B9059DC" w14:textId="3BFB660F">
      <w:r>
        <w:rPr>
          <w:noProof/>
        </w:rPr>
        <w:drawing>
          <wp:inline distT="114300" distB="114300" distL="114300" distR="114300" wp14:anchorId="2F7DDB82" wp14:editId="24C3F59F">
            <wp:extent cx="1041400" cy="490220"/>
            <wp:effectExtent l="0" t="0" r="6350" b="5080"/>
            <wp:docPr id="1"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with text on it&#10;&#10;Description automatically generated"/>
                    <pic:cNvPicPr preferRelativeResize="0"/>
                  </pic:nvPicPr>
                  <pic:blipFill>
                    <a:blip r:embed="rId8"/>
                    <a:srcRect/>
                    <a:stretch>
                      <a:fillRect/>
                    </a:stretch>
                  </pic:blipFill>
                  <pic:spPr>
                    <a:xfrm>
                      <a:off x="0" y="0"/>
                      <a:ext cx="1050187" cy="494356"/>
                    </a:xfrm>
                    <a:prstGeom prst="rect">
                      <a:avLst/>
                    </a:prstGeom>
                    <a:ln/>
                  </pic:spPr>
                </pic:pic>
              </a:graphicData>
            </a:graphic>
          </wp:inline>
        </w:drawing>
      </w:r>
      <w:r w:rsidR="00F02FF8">
        <w:tab/>
      </w:r>
      <w:r w:rsidR="00F02FF8">
        <w:tab/>
      </w:r>
      <w:r w:rsidR="0063593B">
        <w:tab/>
      </w:r>
      <w:r w:rsidR="0063593B">
        <w:tab/>
      </w:r>
      <w:r w:rsidR="0063593B">
        <w:tab/>
      </w:r>
      <w:r w:rsidR="0063593B">
        <w:tab/>
      </w:r>
      <w:r w:rsidR="0063593B">
        <w:tab/>
      </w:r>
      <w:r w:rsidR="00F02FF8">
        <w:tab/>
      </w:r>
      <w:r w:rsidR="00F02FF8">
        <w:tab/>
      </w:r>
      <w:r w:rsidR="00F02FF8">
        <w:tab/>
      </w:r>
      <w:r w:rsidR="00F02FF8">
        <w:tab/>
      </w:r>
      <w:r w:rsidR="00F02FF8">
        <w:tab/>
      </w:r>
      <w:r w:rsidR="00F02FF8">
        <w:tab/>
      </w:r>
    </w:p>
    <w:p w:rsidR="00F13403" w:rsidP="000C6505" w:rsidRDefault="00F13403" w14:paraId="5160D385" w14:textId="77777777">
      <w:pPr>
        <w:jc w:val="center"/>
      </w:pPr>
    </w:p>
    <w:p w:rsidR="00F13403" w:rsidP="000C6505" w:rsidRDefault="00F13403" w14:paraId="216F8398" w14:textId="77777777">
      <w:pPr>
        <w:jc w:val="center"/>
      </w:pPr>
    </w:p>
    <w:p w:rsidR="00F13403" w:rsidP="000C6505" w:rsidRDefault="00F13403" w14:paraId="07229CEC" w14:textId="77777777">
      <w:pPr>
        <w:jc w:val="center"/>
      </w:pPr>
    </w:p>
    <w:p w:rsidR="000C6505" w:rsidP="000C6505" w:rsidRDefault="000C6505" w14:paraId="714AE1C4" w14:textId="77777777">
      <w:pPr>
        <w:jc w:val="center"/>
      </w:pPr>
    </w:p>
    <w:p w:rsidR="00A545C3" w:rsidP="00A545C3" w:rsidRDefault="009E0D63" w14:paraId="1648B1BD" w14:textId="71F4D30C">
      <w:pPr>
        <w:jc w:val="center"/>
        <w:rPr>
          <w:rFonts w:ascii="Arial" w:hAnsi="Arial" w:cs="Arial"/>
          <w:sz w:val="56"/>
          <w:szCs w:val="56"/>
        </w:rPr>
      </w:pPr>
      <w:r>
        <w:rPr>
          <w:rFonts w:ascii="Arial" w:hAnsi="Arial" w:cs="Arial"/>
          <w:sz w:val="56"/>
          <w:szCs w:val="56"/>
        </w:rPr>
        <w:t>A Guide to Reviewing</w:t>
      </w:r>
      <w:r w:rsidR="00A545C3">
        <w:rPr>
          <w:rFonts w:ascii="Arial" w:hAnsi="Arial" w:cs="Arial"/>
          <w:sz w:val="56"/>
          <w:szCs w:val="56"/>
        </w:rPr>
        <w:t xml:space="preserve"> </w:t>
      </w:r>
      <w:r>
        <w:rPr>
          <w:rFonts w:ascii="Arial" w:hAnsi="Arial" w:cs="Arial"/>
          <w:sz w:val="56"/>
          <w:szCs w:val="56"/>
        </w:rPr>
        <w:t>M</w:t>
      </w:r>
      <w:r w:rsidR="003575DA">
        <w:rPr>
          <w:rFonts w:ascii="Arial" w:hAnsi="Arial" w:cs="Arial"/>
          <w:sz w:val="56"/>
          <w:szCs w:val="56"/>
        </w:rPr>
        <w:t>11</w:t>
      </w:r>
    </w:p>
    <w:p w:rsidR="009E0D63" w:rsidP="00A545C3" w:rsidRDefault="003575DA" w14:paraId="79EC25F1" w14:textId="78279676">
      <w:pPr>
        <w:jc w:val="center"/>
        <w:rPr>
          <w:rFonts w:ascii="Arial" w:hAnsi="Arial" w:cs="Arial"/>
          <w:sz w:val="56"/>
          <w:szCs w:val="56"/>
        </w:rPr>
      </w:pPr>
      <w:r>
        <w:rPr>
          <w:rFonts w:ascii="Arial" w:hAnsi="Arial" w:cs="Arial"/>
          <w:sz w:val="56"/>
          <w:szCs w:val="56"/>
        </w:rPr>
        <w:t>Management of Monies</w:t>
      </w:r>
    </w:p>
    <w:p w:rsidR="00936260" w:rsidP="009E0D63" w:rsidRDefault="00936260" w14:paraId="7340EEAB" w14:textId="723E935A">
      <w:pPr>
        <w:jc w:val="center"/>
        <w:rPr>
          <w:rFonts w:ascii="Arial" w:hAnsi="Arial" w:cs="Arial"/>
          <w:noProof/>
          <w:sz w:val="56"/>
          <w:szCs w:val="56"/>
        </w:rPr>
      </w:pPr>
    </w:p>
    <w:p w:rsidR="009351D5" w:rsidP="009E0D63" w:rsidRDefault="0074117E" w14:paraId="758E1856" w14:textId="5C97DAF5">
      <w:pPr>
        <w:jc w:val="center"/>
      </w:pPr>
      <w:r w:rsidR="0A7BB99D">
        <w:drawing>
          <wp:inline wp14:editId="5BD4B93E" wp14:anchorId="5396A325">
            <wp:extent cx="6638925" cy="4638675"/>
            <wp:effectExtent l="0" t="0" r="0" b="0"/>
            <wp:docPr id="17304256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0425667" name="Picture 1730425667"/>
                    <pic:cNvPicPr/>
                  </pic:nvPicPr>
                  <pic:blipFill>
                    <a:blip xmlns:r="http://schemas.openxmlformats.org/officeDocument/2006/relationships" r:embed="rId672442464">
                      <a:extLst>
                        <a:ext uri="{28A0092B-C50C-407E-A947-70E740481C1C}">
                          <a14:useLocalDpi xmlns:a14="http://schemas.microsoft.com/office/drawing/2010/main"/>
                        </a:ext>
                      </a:extLst>
                    </a:blip>
                    <a:stretch>
                      <a:fillRect/>
                    </a:stretch>
                  </pic:blipFill>
                  <pic:spPr>
                    <a:xfrm>
                      <a:off x="0" y="0"/>
                      <a:ext cx="6638925" cy="4638675"/>
                    </a:xfrm>
                    <a:prstGeom prst="rect">
                      <a:avLst/>
                    </a:prstGeom>
                  </pic:spPr>
                </pic:pic>
              </a:graphicData>
            </a:graphic>
          </wp:inline>
        </w:drawing>
      </w:r>
    </w:p>
    <w:p w:rsidR="00936260" w:rsidP="009D7C8F" w:rsidRDefault="00936260" w14:paraId="335E823A" w14:textId="24753FC7">
      <w:pPr>
        <w:rPr>
          <w:rFonts w:ascii="Arial" w:hAnsi="Arial" w:cs="Arial"/>
          <w:sz w:val="56"/>
          <w:szCs w:val="56"/>
        </w:rPr>
      </w:pPr>
    </w:p>
    <w:p w:rsidR="00A5537D" w:rsidP="009D7C8F" w:rsidRDefault="00A5537D" w14:paraId="0872976A" w14:textId="77777777">
      <w:pPr>
        <w:rPr>
          <w:rFonts w:ascii="Arial" w:hAnsi="Arial" w:cs="Arial"/>
          <w:sz w:val="56"/>
          <w:szCs w:val="56"/>
        </w:rPr>
      </w:pPr>
    </w:p>
    <w:p w:rsidRPr="00883904" w:rsidR="00F167C0" w:rsidP="00F167C0" w:rsidRDefault="00F167C0" w14:paraId="506065A7" w14:textId="77777777">
      <w:pPr>
        <w:tabs>
          <w:tab w:val="left" w:pos="960"/>
        </w:tabs>
        <w:rPr>
          <w:rFonts w:ascii="Arial" w:hAnsi="Arial" w:cs="Arial"/>
          <w:b/>
          <w:bCs/>
          <w:sz w:val="24"/>
          <w:szCs w:val="24"/>
        </w:rPr>
      </w:pPr>
      <w:r w:rsidRPr="00883904">
        <w:rPr>
          <w:rFonts w:ascii="Arial" w:hAnsi="Arial" w:cs="Arial"/>
          <w:b/>
          <w:bCs/>
          <w:sz w:val="24"/>
          <w:szCs w:val="24"/>
        </w:rPr>
        <w:lastRenderedPageBreak/>
        <w:t xml:space="preserve">Key </w:t>
      </w:r>
      <w:r w:rsidRPr="00956DA6">
        <w:rPr>
          <w:rFonts w:ascii="Arial" w:hAnsi="Arial" w:cs="Arial"/>
          <w:b/>
          <w:bCs/>
          <w:sz w:val="24"/>
          <w:szCs w:val="24"/>
        </w:rPr>
        <w:t>features:</w:t>
      </w:r>
    </w:p>
    <w:p w:rsidR="00562E9D" w:rsidP="00F167C0" w:rsidRDefault="00562E9D" w14:paraId="289B880B" w14:textId="526ABA8D">
      <w:pPr>
        <w:pStyle w:val="ListParagraph"/>
        <w:numPr>
          <w:ilvl w:val="0"/>
          <w:numId w:val="4"/>
        </w:numPr>
        <w:rPr>
          <w:rFonts w:ascii="Arial" w:hAnsi="Arial" w:cs="Arial"/>
          <w:sz w:val="24"/>
          <w:szCs w:val="24"/>
        </w:rPr>
      </w:pPr>
      <w:r w:rsidRPr="00F167C0">
        <w:rPr>
          <w:rFonts w:ascii="Arial" w:hAnsi="Arial" w:cs="Arial"/>
          <w:sz w:val="24"/>
          <w:szCs w:val="24"/>
        </w:rPr>
        <w:t>T</w:t>
      </w:r>
      <w:r w:rsidRPr="00F167C0" w:rsidR="00DE269C">
        <w:rPr>
          <w:rFonts w:ascii="Arial" w:hAnsi="Arial" w:cs="Arial"/>
          <w:sz w:val="24"/>
          <w:szCs w:val="24"/>
        </w:rPr>
        <w:t xml:space="preserve">he </w:t>
      </w:r>
      <w:r w:rsidR="00F167C0">
        <w:rPr>
          <w:rFonts w:ascii="Arial" w:hAnsi="Arial" w:cs="Arial"/>
          <w:sz w:val="24"/>
          <w:szCs w:val="24"/>
        </w:rPr>
        <w:t>M</w:t>
      </w:r>
      <w:r w:rsidRPr="00F167C0" w:rsidR="00DE269C">
        <w:rPr>
          <w:rFonts w:ascii="Arial" w:hAnsi="Arial" w:cs="Arial"/>
          <w:sz w:val="24"/>
          <w:szCs w:val="24"/>
        </w:rPr>
        <w:t xml:space="preserve">odule gathers together a number of ‘functional’ elements of the BAA that specifically address money and how it should be handled, and the structures that need to be put in place to facilitate its handling in a secure and compliant manner. </w:t>
      </w:r>
    </w:p>
    <w:p w:rsidRPr="00F167C0" w:rsidR="00267DA1" w:rsidP="00267DA1" w:rsidRDefault="00267DA1" w14:paraId="5B80984F" w14:textId="77777777">
      <w:pPr>
        <w:pStyle w:val="ListParagraph"/>
        <w:rPr>
          <w:rFonts w:ascii="Arial" w:hAnsi="Arial" w:cs="Arial"/>
          <w:sz w:val="24"/>
          <w:szCs w:val="24"/>
        </w:rPr>
      </w:pPr>
    </w:p>
    <w:p w:rsidRPr="009E2C10" w:rsidR="009E2C10" w:rsidP="009E2C10" w:rsidRDefault="00DE269C" w14:paraId="14D2230F" w14:textId="2B92CDE2">
      <w:pPr>
        <w:pStyle w:val="ListParagraph"/>
        <w:numPr>
          <w:ilvl w:val="0"/>
          <w:numId w:val="4"/>
        </w:numPr>
        <w:rPr>
          <w:rFonts w:ascii="Arial" w:hAnsi="Arial" w:cs="Arial"/>
          <w:sz w:val="24"/>
          <w:szCs w:val="24"/>
        </w:rPr>
      </w:pPr>
      <w:r w:rsidRPr="00267DA1">
        <w:rPr>
          <w:rFonts w:ascii="Arial" w:hAnsi="Arial" w:cs="Arial"/>
          <w:sz w:val="24"/>
          <w:szCs w:val="24"/>
        </w:rPr>
        <w:t>It includes both premiums and where applicable claims monies</w:t>
      </w:r>
      <w:r w:rsidR="00534588">
        <w:rPr>
          <w:rFonts w:ascii="Arial" w:hAnsi="Arial" w:cs="Arial"/>
          <w:sz w:val="24"/>
          <w:szCs w:val="24"/>
        </w:rPr>
        <w:t xml:space="preserve"> (but note that language that will be included </w:t>
      </w:r>
      <w:r w:rsidR="006B1A63">
        <w:rPr>
          <w:rFonts w:ascii="Arial" w:hAnsi="Arial" w:cs="Arial"/>
          <w:sz w:val="24"/>
          <w:szCs w:val="24"/>
        </w:rPr>
        <w:t xml:space="preserve">in the event the Coverholder has claims authority is not yet </w:t>
      </w:r>
      <w:r w:rsidR="0000121D">
        <w:rPr>
          <w:rFonts w:ascii="Arial" w:hAnsi="Arial" w:cs="Arial"/>
          <w:sz w:val="24"/>
          <w:szCs w:val="24"/>
        </w:rPr>
        <w:t>drafted)</w:t>
      </w:r>
      <w:r w:rsidRPr="00267DA1" w:rsidR="00562E9D">
        <w:rPr>
          <w:rFonts w:ascii="Arial" w:hAnsi="Arial" w:cs="Arial"/>
          <w:sz w:val="24"/>
          <w:szCs w:val="24"/>
        </w:rPr>
        <w:t>.</w:t>
      </w:r>
    </w:p>
    <w:p w:rsidRPr="0000121D" w:rsidR="009E2C10" w:rsidP="009E2C10" w:rsidRDefault="009E2C10" w14:paraId="1349E490" w14:textId="77777777">
      <w:pPr>
        <w:pStyle w:val="ListParagraph"/>
        <w:rPr>
          <w:rFonts w:ascii="Arial" w:hAnsi="Arial" w:cs="Arial"/>
          <w:sz w:val="24"/>
          <w:szCs w:val="24"/>
        </w:rPr>
      </w:pPr>
    </w:p>
    <w:p w:rsidR="00562E9D" w:rsidP="005A1101" w:rsidRDefault="00DE269C" w14:paraId="5F22FE79" w14:textId="07AF8B89">
      <w:pPr>
        <w:pStyle w:val="ListParagraph"/>
        <w:numPr>
          <w:ilvl w:val="0"/>
          <w:numId w:val="4"/>
        </w:numPr>
        <w:rPr>
          <w:rFonts w:ascii="Arial" w:hAnsi="Arial" w:cs="Arial"/>
          <w:sz w:val="24"/>
          <w:szCs w:val="24"/>
        </w:rPr>
      </w:pPr>
      <w:r w:rsidRPr="0099790A">
        <w:rPr>
          <w:rFonts w:ascii="Arial" w:hAnsi="Arial" w:cs="Arial"/>
          <w:sz w:val="24"/>
          <w:szCs w:val="24"/>
        </w:rPr>
        <w:t xml:space="preserve">Although uncommon, there is a variation </w:t>
      </w:r>
      <w:r w:rsidRPr="0099790A" w:rsidR="00D07867">
        <w:rPr>
          <w:rFonts w:ascii="Arial" w:hAnsi="Arial" w:cs="Arial"/>
          <w:sz w:val="24"/>
          <w:szCs w:val="24"/>
        </w:rPr>
        <w:t xml:space="preserve">(Module 11 </w:t>
      </w:r>
      <w:r w:rsidRPr="0099790A" w:rsidR="00E5655A">
        <w:rPr>
          <w:rFonts w:ascii="Arial" w:hAnsi="Arial" w:cs="Arial"/>
          <w:sz w:val="24"/>
          <w:szCs w:val="24"/>
        </w:rPr>
        <w:t>Variation</w:t>
      </w:r>
      <w:r w:rsidRPr="0099790A" w:rsidR="00D07867">
        <w:rPr>
          <w:rFonts w:ascii="Arial" w:hAnsi="Arial" w:cs="Arial"/>
          <w:sz w:val="24"/>
          <w:szCs w:val="24"/>
        </w:rPr>
        <w:t xml:space="preserve"> </w:t>
      </w:r>
      <w:r w:rsidRPr="0099790A" w:rsidR="00D07867">
        <w:rPr>
          <w:rFonts w:ascii="Arial" w:hAnsi="Arial" w:cs="Arial"/>
          <w:sz w:val="24"/>
          <w:szCs w:val="24"/>
          <w:highlight w:val="yellow"/>
        </w:rPr>
        <w:t>1</w:t>
      </w:r>
      <w:r w:rsidRPr="0099790A" w:rsidR="003B5EA8">
        <w:rPr>
          <w:rFonts w:ascii="Arial" w:hAnsi="Arial" w:cs="Arial"/>
          <w:sz w:val="24"/>
          <w:szCs w:val="24"/>
        </w:rPr>
        <w:t xml:space="preserve"> – No authority to handle money</w:t>
      </w:r>
      <w:r w:rsidRPr="0099790A" w:rsidR="0099790A">
        <w:rPr>
          <w:rFonts w:ascii="Arial" w:hAnsi="Arial" w:cs="Arial"/>
          <w:sz w:val="24"/>
          <w:szCs w:val="24"/>
        </w:rPr>
        <w:t>)</w:t>
      </w:r>
      <w:r w:rsidRPr="0099790A" w:rsidR="003B5EA8">
        <w:rPr>
          <w:rFonts w:ascii="Arial" w:hAnsi="Arial" w:cs="Arial"/>
          <w:sz w:val="24"/>
          <w:szCs w:val="24"/>
        </w:rPr>
        <w:t xml:space="preserve"> </w:t>
      </w:r>
      <w:r w:rsidRPr="0099790A">
        <w:rPr>
          <w:rFonts w:ascii="Arial" w:hAnsi="Arial" w:cs="Arial"/>
          <w:sz w:val="24"/>
          <w:szCs w:val="24"/>
        </w:rPr>
        <w:t xml:space="preserve">to be used in the event the Coverholder does </w:t>
      </w:r>
      <w:r w:rsidRPr="0099790A" w:rsidR="009E2C10">
        <w:rPr>
          <w:rFonts w:ascii="Arial" w:hAnsi="Arial" w:cs="Arial"/>
          <w:sz w:val="24"/>
          <w:szCs w:val="24"/>
        </w:rPr>
        <w:t>NOT</w:t>
      </w:r>
      <w:r w:rsidRPr="0099790A">
        <w:rPr>
          <w:rFonts w:ascii="Arial" w:hAnsi="Arial" w:cs="Arial"/>
          <w:sz w:val="24"/>
          <w:szCs w:val="24"/>
        </w:rPr>
        <w:t xml:space="preserve"> have authority to handle money</w:t>
      </w:r>
      <w:r w:rsidRPr="0099790A" w:rsidR="0099790A">
        <w:rPr>
          <w:rFonts w:ascii="Arial" w:hAnsi="Arial" w:cs="Arial"/>
          <w:sz w:val="24"/>
          <w:szCs w:val="24"/>
        </w:rPr>
        <w:t xml:space="preserve">. </w:t>
      </w:r>
    </w:p>
    <w:p w:rsidRPr="0099790A" w:rsidR="0099790A" w:rsidP="0099790A" w:rsidRDefault="0099790A" w14:paraId="6109F17A" w14:textId="77777777">
      <w:pPr>
        <w:pStyle w:val="ListParagraph"/>
        <w:rPr>
          <w:rFonts w:ascii="Arial" w:hAnsi="Arial" w:cs="Arial"/>
          <w:sz w:val="24"/>
          <w:szCs w:val="24"/>
        </w:rPr>
      </w:pPr>
    </w:p>
    <w:p w:rsidRPr="0099790A" w:rsidR="0099790A" w:rsidP="0099790A" w:rsidRDefault="004978F6" w14:paraId="72B2E4E8" w14:textId="1D849A2E">
      <w:pPr>
        <w:pStyle w:val="ListParagraph"/>
        <w:numPr>
          <w:ilvl w:val="0"/>
          <w:numId w:val="4"/>
        </w:numPr>
        <w:rPr>
          <w:rFonts w:ascii="Arial" w:hAnsi="Arial" w:cs="Arial"/>
          <w:sz w:val="24"/>
          <w:szCs w:val="24"/>
        </w:rPr>
      </w:pPr>
      <w:r w:rsidRPr="0099790A">
        <w:rPr>
          <w:rFonts w:ascii="Arial" w:hAnsi="Arial" w:cs="Arial"/>
          <w:sz w:val="24"/>
          <w:szCs w:val="24"/>
        </w:rPr>
        <w:t>Where the Coverholder does have authority to handle money there are 2 main sections included in the module:</w:t>
      </w:r>
    </w:p>
    <w:p w:rsidRPr="0099790A" w:rsidR="0099790A" w:rsidP="0099790A" w:rsidRDefault="0099790A" w14:paraId="5F4199B7" w14:textId="77777777">
      <w:pPr>
        <w:pStyle w:val="ListParagraph"/>
        <w:rPr>
          <w:rFonts w:ascii="Arial" w:hAnsi="Arial" w:cs="Arial"/>
          <w:sz w:val="24"/>
          <w:szCs w:val="24"/>
        </w:rPr>
      </w:pPr>
    </w:p>
    <w:p w:rsidRPr="0099790A" w:rsidR="000A0C14" w:rsidP="0099790A" w:rsidRDefault="000A0C14" w14:paraId="002CA48F" w14:textId="154D99A8">
      <w:pPr>
        <w:pStyle w:val="ListParagraph"/>
        <w:numPr>
          <w:ilvl w:val="0"/>
          <w:numId w:val="5"/>
        </w:numPr>
        <w:rPr>
          <w:rFonts w:ascii="Arial" w:hAnsi="Arial" w:cs="Arial"/>
          <w:sz w:val="24"/>
          <w:szCs w:val="24"/>
        </w:rPr>
      </w:pPr>
      <w:r w:rsidRPr="0099790A">
        <w:rPr>
          <w:rFonts w:ascii="Arial" w:hAnsi="Arial" w:cs="Arial"/>
          <w:b/>
          <w:bCs/>
          <w:sz w:val="24"/>
          <w:szCs w:val="24"/>
        </w:rPr>
        <w:t xml:space="preserve">Monies held by the Coverholder </w:t>
      </w:r>
    </w:p>
    <w:p w:rsidRPr="00A5537D" w:rsidR="000A0C14" w:rsidP="000A0C14" w:rsidRDefault="00B744AC" w14:paraId="4BB1AA2F" w14:textId="017F7036">
      <w:pPr>
        <w:ind w:left="720"/>
        <w:rPr>
          <w:rFonts w:ascii="Arial" w:hAnsi="Arial" w:cs="Arial"/>
          <w:sz w:val="24"/>
          <w:szCs w:val="24"/>
        </w:rPr>
      </w:pPr>
      <w:r w:rsidRPr="00A5537D">
        <w:rPr>
          <w:rFonts w:ascii="Arial" w:hAnsi="Arial" w:cs="Arial"/>
          <w:sz w:val="24"/>
          <w:szCs w:val="24"/>
        </w:rPr>
        <w:t>I</w:t>
      </w:r>
      <w:r w:rsidRPr="00A5537D" w:rsidR="000A0C14">
        <w:rPr>
          <w:rFonts w:ascii="Arial" w:hAnsi="Arial" w:cs="Arial"/>
          <w:sz w:val="24"/>
          <w:szCs w:val="24"/>
        </w:rPr>
        <w:t>ncluding provisions relating to bank accounts and what the Coverholder is allowed to do with monies in the account</w:t>
      </w:r>
      <w:r w:rsidR="0099790A">
        <w:rPr>
          <w:rFonts w:ascii="Arial" w:hAnsi="Arial" w:cs="Arial"/>
          <w:sz w:val="24"/>
          <w:szCs w:val="24"/>
        </w:rPr>
        <w:t>.</w:t>
      </w:r>
    </w:p>
    <w:p w:rsidR="0099790A" w:rsidP="0099790A" w:rsidRDefault="000A0C14" w14:paraId="4D49DAAF" w14:textId="0F6DCF21">
      <w:pPr>
        <w:ind w:left="720"/>
        <w:rPr>
          <w:rFonts w:ascii="Arial" w:hAnsi="Arial" w:cs="Arial"/>
          <w:sz w:val="24"/>
          <w:szCs w:val="24"/>
        </w:rPr>
      </w:pPr>
      <w:r w:rsidRPr="00A5537D">
        <w:rPr>
          <w:rFonts w:ascii="Arial" w:hAnsi="Arial" w:cs="Arial"/>
          <w:sz w:val="24"/>
          <w:szCs w:val="24"/>
        </w:rPr>
        <w:t xml:space="preserve">There is also an optional provision to allow for </w:t>
      </w:r>
      <w:r w:rsidR="0099790A">
        <w:rPr>
          <w:rFonts w:ascii="Arial" w:hAnsi="Arial" w:cs="Arial"/>
          <w:sz w:val="24"/>
          <w:szCs w:val="24"/>
        </w:rPr>
        <w:t xml:space="preserve">the use of </w:t>
      </w:r>
      <w:r w:rsidRPr="00A5537D">
        <w:rPr>
          <w:rFonts w:ascii="Arial" w:hAnsi="Arial" w:cs="Arial"/>
          <w:sz w:val="24"/>
          <w:szCs w:val="24"/>
        </w:rPr>
        <w:t>sweep accounts</w:t>
      </w:r>
      <w:r w:rsidR="0099790A">
        <w:rPr>
          <w:rFonts w:ascii="Arial" w:hAnsi="Arial" w:cs="Arial"/>
          <w:sz w:val="24"/>
          <w:szCs w:val="24"/>
        </w:rPr>
        <w:t>.</w:t>
      </w:r>
    </w:p>
    <w:p w:rsidRPr="0099790A" w:rsidR="001B5301" w:rsidP="001B5301" w:rsidRDefault="005D695C" w14:paraId="37D13DC2" w14:textId="7A689E7D">
      <w:pPr>
        <w:pStyle w:val="ListParagraph"/>
        <w:numPr>
          <w:ilvl w:val="0"/>
          <w:numId w:val="5"/>
        </w:numPr>
        <w:rPr>
          <w:rFonts w:ascii="Arial" w:hAnsi="Arial" w:cs="Arial"/>
          <w:sz w:val="24"/>
          <w:szCs w:val="24"/>
        </w:rPr>
      </w:pPr>
      <w:r>
        <w:rPr>
          <w:rFonts w:ascii="Arial" w:hAnsi="Arial" w:cs="Arial"/>
          <w:b/>
          <w:bCs/>
          <w:sz w:val="24"/>
          <w:szCs w:val="24"/>
        </w:rPr>
        <w:t>Payments from policyholders</w:t>
      </w:r>
    </w:p>
    <w:p w:rsidRPr="00B72C28" w:rsidR="00B72C28" w:rsidP="00B72C28" w:rsidRDefault="00191C54" w14:paraId="0FBF746F" w14:textId="41382E89">
      <w:pPr>
        <w:ind w:left="720"/>
        <w:rPr>
          <w:rFonts w:ascii="Arial" w:hAnsi="Arial" w:cs="Arial"/>
          <w:sz w:val="24"/>
          <w:szCs w:val="24"/>
        </w:rPr>
      </w:pPr>
      <w:r>
        <w:rPr>
          <w:rFonts w:ascii="Arial" w:hAnsi="Arial" w:cs="Arial"/>
          <w:sz w:val="24"/>
          <w:szCs w:val="24"/>
        </w:rPr>
        <w:t>Including whether or not p</w:t>
      </w:r>
      <w:r w:rsidRPr="00B72C28" w:rsidR="00B72C28">
        <w:rPr>
          <w:rFonts w:ascii="Arial" w:hAnsi="Arial" w:cs="Arial"/>
          <w:sz w:val="24"/>
          <w:szCs w:val="24"/>
        </w:rPr>
        <w:t>ayment by instalments</w:t>
      </w:r>
      <w:r>
        <w:rPr>
          <w:rFonts w:ascii="Arial" w:hAnsi="Arial" w:cs="Arial"/>
          <w:sz w:val="24"/>
          <w:szCs w:val="24"/>
        </w:rPr>
        <w:t xml:space="preserve">, </w:t>
      </w:r>
      <w:r w:rsidR="00731CA7">
        <w:rPr>
          <w:rFonts w:ascii="Arial" w:hAnsi="Arial" w:cs="Arial"/>
          <w:sz w:val="24"/>
          <w:szCs w:val="24"/>
        </w:rPr>
        <w:t xml:space="preserve">Minimum and Deposit </w:t>
      </w:r>
      <w:r w:rsidR="008F62B1">
        <w:rPr>
          <w:rFonts w:ascii="Arial" w:hAnsi="Arial" w:cs="Arial"/>
          <w:sz w:val="24"/>
          <w:szCs w:val="24"/>
        </w:rPr>
        <w:t>Payments and</w:t>
      </w:r>
      <w:r w:rsidR="004F13B0">
        <w:rPr>
          <w:rFonts w:ascii="Arial" w:hAnsi="Arial" w:cs="Arial"/>
          <w:sz w:val="24"/>
          <w:szCs w:val="24"/>
        </w:rPr>
        <w:t xml:space="preserve"> </w:t>
      </w:r>
      <w:r w:rsidRPr="00B72C28" w:rsidR="00B72C28">
        <w:rPr>
          <w:rFonts w:ascii="Arial" w:hAnsi="Arial" w:cs="Arial"/>
          <w:sz w:val="24"/>
          <w:szCs w:val="24"/>
        </w:rPr>
        <w:t xml:space="preserve">Premium Finance </w:t>
      </w:r>
      <w:r>
        <w:rPr>
          <w:rFonts w:ascii="Arial" w:hAnsi="Arial" w:cs="Arial"/>
          <w:sz w:val="24"/>
          <w:szCs w:val="24"/>
        </w:rPr>
        <w:t xml:space="preserve">Contracts </w:t>
      </w:r>
      <w:r w:rsidRPr="00B72C28" w:rsidR="00B72C28">
        <w:rPr>
          <w:rFonts w:ascii="Arial" w:hAnsi="Arial" w:cs="Arial"/>
          <w:sz w:val="24"/>
          <w:szCs w:val="24"/>
        </w:rPr>
        <w:t>are authorise</w:t>
      </w:r>
      <w:r w:rsidR="004F13B0">
        <w:rPr>
          <w:rFonts w:ascii="Arial" w:hAnsi="Arial" w:cs="Arial"/>
          <w:sz w:val="24"/>
          <w:szCs w:val="24"/>
        </w:rPr>
        <w:t>d.</w:t>
      </w:r>
    </w:p>
    <w:p w:rsidRPr="001B5301" w:rsidR="001B5301" w:rsidP="001B5301" w:rsidRDefault="001B5301" w14:paraId="2E383E93" w14:textId="0DE93EE0">
      <w:pPr>
        <w:ind w:left="720"/>
        <w:rPr>
          <w:rFonts w:ascii="Arial" w:hAnsi="Arial" w:cs="Arial"/>
          <w:sz w:val="24"/>
          <w:szCs w:val="24"/>
        </w:rPr>
      </w:pPr>
      <w:r w:rsidRPr="00A5537D">
        <w:rPr>
          <w:rFonts w:ascii="Arial" w:hAnsi="Arial" w:cs="Arial"/>
          <w:sz w:val="24"/>
          <w:szCs w:val="24"/>
        </w:rPr>
        <w:t xml:space="preserve">There is also an optional provision to allow for </w:t>
      </w:r>
      <w:r>
        <w:rPr>
          <w:rFonts w:ascii="Arial" w:hAnsi="Arial" w:cs="Arial"/>
          <w:sz w:val="24"/>
          <w:szCs w:val="24"/>
        </w:rPr>
        <w:t xml:space="preserve">the use of </w:t>
      </w:r>
      <w:r w:rsidRPr="00A5537D">
        <w:rPr>
          <w:rFonts w:ascii="Arial" w:hAnsi="Arial" w:cs="Arial"/>
          <w:sz w:val="24"/>
          <w:szCs w:val="24"/>
        </w:rPr>
        <w:t>sweep accounts</w:t>
      </w:r>
      <w:r>
        <w:rPr>
          <w:rFonts w:ascii="Arial" w:hAnsi="Arial" w:cs="Arial"/>
          <w:sz w:val="24"/>
          <w:szCs w:val="24"/>
        </w:rPr>
        <w:t>.</w:t>
      </w:r>
    </w:p>
    <w:p w:rsidRPr="0099790A" w:rsidR="00B744AC" w:rsidP="0099790A" w:rsidRDefault="00B744AC" w14:paraId="0D2ECBB4" w14:textId="7C9A620D">
      <w:pPr>
        <w:pStyle w:val="ListParagraph"/>
        <w:numPr>
          <w:ilvl w:val="0"/>
          <w:numId w:val="5"/>
        </w:numPr>
        <w:rPr>
          <w:rFonts w:ascii="Arial" w:hAnsi="Arial" w:cs="Arial"/>
          <w:sz w:val="24"/>
          <w:szCs w:val="24"/>
        </w:rPr>
      </w:pPr>
      <w:r w:rsidRPr="0099790A">
        <w:rPr>
          <w:rFonts w:ascii="Arial" w:hAnsi="Arial" w:cs="Arial"/>
          <w:b/>
          <w:bCs/>
          <w:sz w:val="24"/>
          <w:szCs w:val="24"/>
        </w:rPr>
        <w:t xml:space="preserve">Payment of monies owed to Insurers </w:t>
      </w:r>
    </w:p>
    <w:p w:rsidR="001E31BC" w:rsidP="00872289" w:rsidRDefault="00914D50" w14:paraId="6F99083D" w14:textId="2B16137F">
      <w:pPr>
        <w:ind w:left="720"/>
        <w:rPr>
          <w:rFonts w:ascii="Arial" w:hAnsi="Arial" w:cs="Arial"/>
          <w:sz w:val="24"/>
          <w:szCs w:val="24"/>
        </w:rPr>
      </w:pPr>
      <w:r>
        <w:rPr>
          <w:rFonts w:ascii="Arial" w:hAnsi="Arial" w:cs="Arial"/>
          <w:sz w:val="24"/>
          <w:szCs w:val="24"/>
        </w:rPr>
        <w:t>N</w:t>
      </w:r>
      <w:r w:rsidRPr="00A5537D" w:rsidR="00B744AC">
        <w:rPr>
          <w:rFonts w:ascii="Arial" w:hAnsi="Arial" w:cs="Arial"/>
          <w:sz w:val="24"/>
          <w:szCs w:val="24"/>
        </w:rPr>
        <w:t xml:space="preserve">ow includes details of </w:t>
      </w:r>
      <w:r w:rsidRPr="00A5537D" w:rsidR="00B744AC">
        <w:rPr>
          <w:rFonts w:ascii="Arial" w:hAnsi="Arial" w:cs="Arial"/>
          <w:b/>
          <w:bCs/>
          <w:sz w:val="24"/>
          <w:szCs w:val="24"/>
        </w:rPr>
        <w:t>who</w:t>
      </w:r>
      <w:r w:rsidRPr="00A5537D" w:rsidR="00B744AC">
        <w:rPr>
          <w:rFonts w:ascii="Arial" w:hAnsi="Arial" w:cs="Arial"/>
          <w:sz w:val="24"/>
          <w:szCs w:val="24"/>
        </w:rPr>
        <w:t xml:space="preserve"> (via broker or direct) is involved and </w:t>
      </w:r>
      <w:r w:rsidRPr="00A5537D" w:rsidR="00B744AC">
        <w:rPr>
          <w:rFonts w:ascii="Arial" w:hAnsi="Arial" w:cs="Arial"/>
          <w:b/>
          <w:bCs/>
          <w:sz w:val="24"/>
          <w:szCs w:val="24"/>
        </w:rPr>
        <w:t>how</w:t>
      </w:r>
      <w:r w:rsidRPr="00A5537D" w:rsidR="00B744AC">
        <w:rPr>
          <w:rFonts w:ascii="Arial" w:hAnsi="Arial" w:cs="Arial"/>
          <w:sz w:val="24"/>
          <w:szCs w:val="24"/>
        </w:rPr>
        <w:t xml:space="preserve"> payments are made (direct to Insurers</w:t>
      </w:r>
      <w:r w:rsidRPr="00A5537D" w:rsidR="007D6BD5">
        <w:rPr>
          <w:rFonts w:ascii="Arial" w:hAnsi="Arial" w:cs="Arial"/>
          <w:sz w:val="24"/>
          <w:szCs w:val="24"/>
        </w:rPr>
        <w:t xml:space="preserve">’ </w:t>
      </w:r>
      <w:r w:rsidRPr="00A5537D" w:rsidR="00B744AC">
        <w:rPr>
          <w:rFonts w:ascii="Arial" w:hAnsi="Arial" w:cs="Arial"/>
          <w:sz w:val="24"/>
          <w:szCs w:val="24"/>
        </w:rPr>
        <w:t xml:space="preserve">bank or via </w:t>
      </w:r>
      <w:r w:rsidR="0099790A">
        <w:rPr>
          <w:rFonts w:ascii="Arial" w:hAnsi="Arial" w:cs="Arial"/>
          <w:sz w:val="24"/>
          <w:szCs w:val="24"/>
        </w:rPr>
        <w:t>central settlement services</w:t>
      </w:r>
      <w:r w:rsidRPr="00A5537D" w:rsidR="00B744AC">
        <w:rPr>
          <w:rFonts w:ascii="Arial" w:hAnsi="Arial" w:cs="Arial"/>
          <w:sz w:val="24"/>
          <w:szCs w:val="24"/>
        </w:rPr>
        <w:t xml:space="preserve">), not just when – there is flexibility for a mix of options including varying payment details per </w:t>
      </w:r>
      <w:r w:rsidR="004F6C6C">
        <w:rPr>
          <w:rFonts w:ascii="Arial" w:hAnsi="Arial" w:cs="Arial"/>
          <w:sz w:val="24"/>
          <w:szCs w:val="24"/>
        </w:rPr>
        <w:t>Insurer or by Binder</w:t>
      </w:r>
      <w:r w:rsidR="00A47B54">
        <w:rPr>
          <w:rFonts w:ascii="Arial" w:hAnsi="Arial" w:cs="Arial"/>
          <w:sz w:val="24"/>
          <w:szCs w:val="24"/>
        </w:rPr>
        <w:t xml:space="preserve"> segment/placing section</w:t>
      </w:r>
      <w:r w:rsidRPr="00A5537D" w:rsidR="00562E9D">
        <w:rPr>
          <w:rFonts w:ascii="Arial" w:hAnsi="Arial" w:cs="Arial"/>
          <w:sz w:val="24"/>
          <w:szCs w:val="24"/>
        </w:rPr>
        <w:t>.</w:t>
      </w:r>
    </w:p>
    <w:p w:rsidR="008E2263" w:rsidP="00872289" w:rsidRDefault="008E2263" w14:paraId="1F723317" w14:textId="77777777">
      <w:pPr>
        <w:ind w:left="720"/>
        <w:rPr>
          <w:rFonts w:ascii="Arial" w:hAnsi="Arial" w:cs="Arial"/>
          <w:sz w:val="24"/>
          <w:szCs w:val="24"/>
        </w:rPr>
      </w:pPr>
    </w:p>
    <w:p w:rsidR="00D260C8" w:rsidP="00D260C8" w:rsidRDefault="006C4466" w14:paraId="51A249A2" w14:textId="0C829255">
      <w:pPr>
        <w:pStyle w:val="ListParagraph"/>
        <w:numPr>
          <w:ilvl w:val="0"/>
          <w:numId w:val="7"/>
        </w:numPr>
        <w:rPr>
          <w:rFonts w:ascii="Arial" w:hAnsi="Arial" w:cs="Arial"/>
          <w:sz w:val="24"/>
          <w:szCs w:val="24"/>
        </w:rPr>
      </w:pPr>
      <w:r w:rsidRPr="001E31BC">
        <w:rPr>
          <w:rFonts w:ascii="Arial" w:hAnsi="Arial" w:cs="Arial"/>
          <w:sz w:val="24"/>
          <w:szCs w:val="24"/>
        </w:rPr>
        <w:t xml:space="preserve">Taxes are addressed in this module and have become </w:t>
      </w:r>
      <w:r w:rsidRPr="001E31BC">
        <w:rPr>
          <w:rFonts w:ascii="Arial" w:hAnsi="Arial" w:cs="Arial"/>
          <w:b/>
          <w:bCs/>
          <w:sz w:val="24"/>
          <w:szCs w:val="24"/>
          <w:highlight w:val="white"/>
        </w:rPr>
        <w:t>Taxes, Charges and/or Levies</w:t>
      </w:r>
      <w:r w:rsidRPr="001E31BC">
        <w:rPr>
          <w:rFonts w:ascii="Arial" w:hAnsi="Arial" w:cs="Arial"/>
          <w:sz w:val="24"/>
          <w:szCs w:val="24"/>
          <w:highlight w:val="white"/>
        </w:rPr>
        <w:t>.</w:t>
      </w:r>
    </w:p>
    <w:p w:rsidRPr="00D260C8" w:rsidR="00D260C8" w:rsidP="00D260C8" w:rsidRDefault="00D260C8" w14:paraId="60E7BF7D" w14:textId="77777777">
      <w:pPr>
        <w:pStyle w:val="ListParagraph"/>
        <w:rPr>
          <w:rFonts w:ascii="Arial" w:hAnsi="Arial" w:cs="Arial"/>
          <w:sz w:val="24"/>
          <w:szCs w:val="24"/>
        </w:rPr>
      </w:pPr>
    </w:p>
    <w:p w:rsidR="0071581B" w:rsidP="00D260C8" w:rsidRDefault="006C4466" w14:paraId="27E4BFD2" w14:textId="53A39192">
      <w:pPr>
        <w:pStyle w:val="ListParagraph"/>
        <w:numPr>
          <w:ilvl w:val="0"/>
          <w:numId w:val="7"/>
        </w:numPr>
        <w:rPr>
          <w:rFonts w:ascii="Arial" w:hAnsi="Arial" w:cs="Arial"/>
          <w:sz w:val="24"/>
          <w:szCs w:val="24"/>
        </w:rPr>
      </w:pPr>
      <w:r w:rsidRPr="00D260C8">
        <w:rPr>
          <w:rFonts w:ascii="Arial" w:hAnsi="Arial" w:cs="Arial"/>
          <w:sz w:val="24"/>
          <w:szCs w:val="24"/>
        </w:rPr>
        <w:t xml:space="preserve">Standard provisions for </w:t>
      </w:r>
      <w:r w:rsidRPr="00D260C8" w:rsidR="009D7C8F">
        <w:rPr>
          <w:rFonts w:ascii="Arial" w:hAnsi="Arial" w:cs="Arial"/>
          <w:sz w:val="24"/>
          <w:szCs w:val="24"/>
        </w:rPr>
        <w:t>C</w:t>
      </w:r>
      <w:r w:rsidRPr="00D260C8">
        <w:rPr>
          <w:rFonts w:ascii="Arial" w:hAnsi="Arial" w:cs="Arial"/>
          <w:sz w:val="24"/>
          <w:szCs w:val="24"/>
        </w:rPr>
        <w:t xml:space="preserve">ascading </w:t>
      </w:r>
      <w:r w:rsidRPr="00D260C8" w:rsidR="009D7C8F">
        <w:rPr>
          <w:rFonts w:ascii="Arial" w:hAnsi="Arial" w:cs="Arial"/>
          <w:sz w:val="24"/>
          <w:szCs w:val="24"/>
        </w:rPr>
        <w:t>R</w:t>
      </w:r>
      <w:r w:rsidRPr="00D260C8">
        <w:rPr>
          <w:rFonts w:ascii="Arial" w:hAnsi="Arial" w:cs="Arial"/>
          <w:sz w:val="24"/>
          <w:szCs w:val="24"/>
        </w:rPr>
        <w:t xml:space="preserve">isk </w:t>
      </w:r>
      <w:r w:rsidRPr="00D260C8" w:rsidR="009D7C8F">
        <w:rPr>
          <w:rFonts w:ascii="Arial" w:hAnsi="Arial" w:cs="Arial"/>
          <w:sz w:val="24"/>
          <w:szCs w:val="24"/>
        </w:rPr>
        <w:t>T</w:t>
      </w:r>
      <w:r w:rsidRPr="00D260C8">
        <w:rPr>
          <w:rFonts w:ascii="Arial" w:hAnsi="Arial" w:cs="Arial"/>
          <w:sz w:val="24"/>
          <w:szCs w:val="24"/>
        </w:rPr>
        <w:t>ransfer have been drafted that will be included automatically where required by law or regulation, for example Ireland and Italy, or included if the Insurer chooses to authorise</w:t>
      </w:r>
      <w:r w:rsidRPr="00D260C8" w:rsidR="00096FB8">
        <w:rPr>
          <w:rFonts w:ascii="Arial" w:hAnsi="Arial" w:cs="Arial"/>
          <w:sz w:val="24"/>
          <w:szCs w:val="24"/>
        </w:rPr>
        <w:t>.</w:t>
      </w:r>
    </w:p>
    <w:p w:rsidRPr="005A07D4" w:rsidR="005A07D4" w:rsidP="005A07D4" w:rsidRDefault="005A07D4" w14:paraId="08D8706A" w14:textId="77777777">
      <w:pPr>
        <w:pStyle w:val="ListParagraph"/>
        <w:rPr>
          <w:rFonts w:ascii="Arial" w:hAnsi="Arial" w:cs="Arial"/>
          <w:sz w:val="24"/>
          <w:szCs w:val="24"/>
        </w:rPr>
      </w:pPr>
    </w:p>
    <w:p w:rsidR="005A07D4" w:rsidP="005A07D4" w:rsidRDefault="005A07D4" w14:paraId="200F5FBC" w14:textId="77777777">
      <w:pPr>
        <w:rPr>
          <w:rFonts w:ascii="Arial" w:hAnsi="Arial" w:cs="Arial"/>
          <w:sz w:val="24"/>
          <w:szCs w:val="24"/>
        </w:rPr>
      </w:pPr>
    </w:p>
    <w:p w:rsidRPr="00941A29" w:rsidR="005A07D4" w:rsidP="005A07D4" w:rsidRDefault="005A07D4" w14:paraId="399F8B77" w14:textId="77777777">
      <w:pPr>
        <w:tabs>
          <w:tab w:val="left" w:pos="960"/>
        </w:tabs>
        <w:rPr>
          <w:rFonts w:ascii="Arial" w:hAnsi="Arial" w:cs="Arial"/>
          <w:sz w:val="24"/>
          <w:szCs w:val="24"/>
        </w:rPr>
      </w:pPr>
    </w:p>
    <w:p w:rsidR="005A07D4" w:rsidP="005A07D4" w:rsidRDefault="005A07D4" w14:paraId="40E410C5" w14:textId="5481435F">
      <w:pPr>
        <w:tabs>
          <w:tab w:val="left" w:pos="960"/>
        </w:tabs>
        <w:rPr>
          <w:rFonts w:ascii="Arial" w:hAnsi="Arial" w:cs="Arial"/>
          <w:b/>
          <w:bCs/>
          <w:sz w:val="24"/>
          <w:szCs w:val="24"/>
        </w:rPr>
      </w:pPr>
      <w:r>
        <w:rPr>
          <w:rFonts w:ascii="Arial" w:hAnsi="Arial" w:cs="Arial"/>
          <w:b/>
          <w:bCs/>
          <w:sz w:val="24"/>
          <w:szCs w:val="24"/>
        </w:rPr>
        <w:t>Improvements we know are needed but have not yet been addressed:</w:t>
      </w:r>
    </w:p>
    <w:p w:rsidR="00E13ABA" w:rsidP="00E13ABA" w:rsidRDefault="00AB2B85" w14:paraId="1FCA4181" w14:textId="3BA99F86">
      <w:pPr>
        <w:pStyle w:val="ListParagraph"/>
        <w:numPr>
          <w:ilvl w:val="0"/>
          <w:numId w:val="9"/>
        </w:numPr>
        <w:rPr>
          <w:rFonts w:ascii="Arial" w:hAnsi="Arial" w:cs="Arial"/>
          <w:sz w:val="24"/>
          <w:szCs w:val="24"/>
        </w:rPr>
      </w:pPr>
      <w:r>
        <w:rPr>
          <w:rFonts w:ascii="Arial" w:hAnsi="Arial" w:cs="Arial"/>
          <w:sz w:val="24"/>
          <w:szCs w:val="24"/>
        </w:rPr>
        <w:t>Provisions for the use of C&amp;C payments are</w:t>
      </w:r>
      <w:r w:rsidR="00E13ABA">
        <w:rPr>
          <w:rFonts w:ascii="Arial" w:hAnsi="Arial" w:cs="Arial"/>
          <w:sz w:val="24"/>
          <w:szCs w:val="24"/>
        </w:rPr>
        <w:t xml:space="preserve"> noted as required but have not yet been drafted.</w:t>
      </w:r>
    </w:p>
    <w:p w:rsidRPr="00E13ABA" w:rsidR="002C69FF" w:rsidP="00E13ABA" w:rsidRDefault="00A524D4" w14:paraId="2270F73B" w14:textId="08F85B96">
      <w:pPr>
        <w:pStyle w:val="ListParagraph"/>
        <w:numPr>
          <w:ilvl w:val="0"/>
          <w:numId w:val="9"/>
        </w:numPr>
        <w:rPr>
          <w:rFonts w:ascii="Arial" w:hAnsi="Arial" w:cs="Arial"/>
          <w:sz w:val="24"/>
          <w:szCs w:val="24"/>
        </w:rPr>
      </w:pPr>
      <w:r>
        <w:rPr>
          <w:rFonts w:ascii="Arial" w:hAnsi="Arial" w:cs="Arial"/>
          <w:sz w:val="24"/>
          <w:szCs w:val="24"/>
        </w:rPr>
        <w:t xml:space="preserve">Provisions specific to when the Coverholder has </w:t>
      </w:r>
      <w:r w:rsidR="00346F59">
        <w:rPr>
          <w:rFonts w:ascii="Arial" w:hAnsi="Arial" w:cs="Arial"/>
          <w:sz w:val="24"/>
          <w:szCs w:val="24"/>
        </w:rPr>
        <w:t xml:space="preserve">been granted </w:t>
      </w:r>
      <w:r>
        <w:rPr>
          <w:rFonts w:ascii="Arial" w:hAnsi="Arial" w:cs="Arial"/>
          <w:sz w:val="24"/>
          <w:szCs w:val="24"/>
        </w:rPr>
        <w:t>Claims authority</w:t>
      </w:r>
      <w:r w:rsidR="00346F59">
        <w:rPr>
          <w:rFonts w:ascii="Arial" w:hAnsi="Arial" w:cs="Arial"/>
          <w:sz w:val="24"/>
          <w:szCs w:val="24"/>
        </w:rPr>
        <w:t>.</w:t>
      </w:r>
    </w:p>
    <w:sectPr w:rsidRPr="00E13ABA" w:rsidR="002C69FF" w:rsidSect="00F1340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11365"/>
    <w:multiLevelType w:val="hybridMultilevel"/>
    <w:tmpl w:val="9232328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28124EA"/>
    <w:multiLevelType w:val="hybridMultilevel"/>
    <w:tmpl w:val="C8ECA7CA"/>
    <w:lvl w:ilvl="0" w:tplc="5F165D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FD2D03"/>
    <w:multiLevelType w:val="hybridMultilevel"/>
    <w:tmpl w:val="0B4E0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7A5676"/>
    <w:multiLevelType w:val="hybridMultilevel"/>
    <w:tmpl w:val="51965074"/>
    <w:lvl w:ilvl="0" w:tplc="FDF072C6">
      <w:start w:val="1"/>
      <w:numFmt w:val="bullet"/>
      <w:lvlText w:val="•"/>
      <w:lvlJc w:val="left"/>
      <w:pPr>
        <w:tabs>
          <w:tab w:val="num" w:pos="720"/>
        </w:tabs>
        <w:ind w:left="720" w:hanging="360"/>
      </w:pPr>
      <w:rPr>
        <w:rFonts w:hint="default" w:ascii="Arial" w:hAnsi="Arial"/>
      </w:rPr>
    </w:lvl>
    <w:lvl w:ilvl="1" w:tplc="6FAEE762" w:tentative="1">
      <w:start w:val="1"/>
      <w:numFmt w:val="bullet"/>
      <w:lvlText w:val="•"/>
      <w:lvlJc w:val="left"/>
      <w:pPr>
        <w:tabs>
          <w:tab w:val="num" w:pos="1440"/>
        </w:tabs>
        <w:ind w:left="1440" w:hanging="360"/>
      </w:pPr>
      <w:rPr>
        <w:rFonts w:hint="default" w:ascii="Arial" w:hAnsi="Arial"/>
      </w:rPr>
    </w:lvl>
    <w:lvl w:ilvl="2" w:tplc="2D547754" w:tentative="1">
      <w:start w:val="1"/>
      <w:numFmt w:val="bullet"/>
      <w:lvlText w:val="•"/>
      <w:lvlJc w:val="left"/>
      <w:pPr>
        <w:tabs>
          <w:tab w:val="num" w:pos="2160"/>
        </w:tabs>
        <w:ind w:left="2160" w:hanging="360"/>
      </w:pPr>
      <w:rPr>
        <w:rFonts w:hint="default" w:ascii="Arial" w:hAnsi="Arial"/>
      </w:rPr>
    </w:lvl>
    <w:lvl w:ilvl="3" w:tplc="5DE215C2" w:tentative="1">
      <w:start w:val="1"/>
      <w:numFmt w:val="bullet"/>
      <w:lvlText w:val="•"/>
      <w:lvlJc w:val="left"/>
      <w:pPr>
        <w:tabs>
          <w:tab w:val="num" w:pos="2880"/>
        </w:tabs>
        <w:ind w:left="2880" w:hanging="360"/>
      </w:pPr>
      <w:rPr>
        <w:rFonts w:hint="default" w:ascii="Arial" w:hAnsi="Arial"/>
      </w:rPr>
    </w:lvl>
    <w:lvl w:ilvl="4" w:tplc="250EFD26" w:tentative="1">
      <w:start w:val="1"/>
      <w:numFmt w:val="bullet"/>
      <w:lvlText w:val="•"/>
      <w:lvlJc w:val="left"/>
      <w:pPr>
        <w:tabs>
          <w:tab w:val="num" w:pos="3600"/>
        </w:tabs>
        <w:ind w:left="3600" w:hanging="360"/>
      </w:pPr>
      <w:rPr>
        <w:rFonts w:hint="default" w:ascii="Arial" w:hAnsi="Arial"/>
      </w:rPr>
    </w:lvl>
    <w:lvl w:ilvl="5" w:tplc="5FE8D9C8" w:tentative="1">
      <w:start w:val="1"/>
      <w:numFmt w:val="bullet"/>
      <w:lvlText w:val="•"/>
      <w:lvlJc w:val="left"/>
      <w:pPr>
        <w:tabs>
          <w:tab w:val="num" w:pos="4320"/>
        </w:tabs>
        <w:ind w:left="4320" w:hanging="360"/>
      </w:pPr>
      <w:rPr>
        <w:rFonts w:hint="default" w:ascii="Arial" w:hAnsi="Arial"/>
      </w:rPr>
    </w:lvl>
    <w:lvl w:ilvl="6" w:tplc="66CCFF80" w:tentative="1">
      <w:start w:val="1"/>
      <w:numFmt w:val="bullet"/>
      <w:lvlText w:val="•"/>
      <w:lvlJc w:val="left"/>
      <w:pPr>
        <w:tabs>
          <w:tab w:val="num" w:pos="5040"/>
        </w:tabs>
        <w:ind w:left="5040" w:hanging="360"/>
      </w:pPr>
      <w:rPr>
        <w:rFonts w:hint="default" w:ascii="Arial" w:hAnsi="Arial"/>
      </w:rPr>
    </w:lvl>
    <w:lvl w:ilvl="7" w:tplc="7076FDF6" w:tentative="1">
      <w:start w:val="1"/>
      <w:numFmt w:val="bullet"/>
      <w:lvlText w:val="•"/>
      <w:lvlJc w:val="left"/>
      <w:pPr>
        <w:tabs>
          <w:tab w:val="num" w:pos="5760"/>
        </w:tabs>
        <w:ind w:left="5760" w:hanging="360"/>
      </w:pPr>
      <w:rPr>
        <w:rFonts w:hint="default" w:ascii="Arial" w:hAnsi="Arial"/>
      </w:rPr>
    </w:lvl>
    <w:lvl w:ilvl="8" w:tplc="74B6DA46"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209A731F"/>
    <w:multiLevelType w:val="hybridMultilevel"/>
    <w:tmpl w:val="8004A2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C5385F"/>
    <w:multiLevelType w:val="hybridMultilevel"/>
    <w:tmpl w:val="A2CAADD2"/>
    <w:lvl w:ilvl="0" w:tplc="F330039A">
      <w:start w:val="1"/>
      <w:numFmt w:val="bullet"/>
      <w:lvlText w:val="•"/>
      <w:lvlJc w:val="left"/>
      <w:pPr>
        <w:tabs>
          <w:tab w:val="num" w:pos="720"/>
        </w:tabs>
        <w:ind w:left="720" w:hanging="360"/>
      </w:pPr>
      <w:rPr>
        <w:rFonts w:hint="default" w:ascii="Arial" w:hAnsi="Arial"/>
      </w:rPr>
    </w:lvl>
    <w:lvl w:ilvl="1" w:tplc="9DB82732" w:tentative="1">
      <w:start w:val="1"/>
      <w:numFmt w:val="bullet"/>
      <w:lvlText w:val="•"/>
      <w:lvlJc w:val="left"/>
      <w:pPr>
        <w:tabs>
          <w:tab w:val="num" w:pos="1440"/>
        </w:tabs>
        <w:ind w:left="1440" w:hanging="360"/>
      </w:pPr>
      <w:rPr>
        <w:rFonts w:hint="default" w:ascii="Arial" w:hAnsi="Arial"/>
      </w:rPr>
    </w:lvl>
    <w:lvl w:ilvl="2" w:tplc="0E7CF0D6" w:tentative="1">
      <w:start w:val="1"/>
      <w:numFmt w:val="bullet"/>
      <w:lvlText w:val="•"/>
      <w:lvlJc w:val="left"/>
      <w:pPr>
        <w:tabs>
          <w:tab w:val="num" w:pos="2160"/>
        </w:tabs>
        <w:ind w:left="2160" w:hanging="360"/>
      </w:pPr>
      <w:rPr>
        <w:rFonts w:hint="default" w:ascii="Arial" w:hAnsi="Arial"/>
      </w:rPr>
    </w:lvl>
    <w:lvl w:ilvl="3" w:tplc="FBBAAC0A" w:tentative="1">
      <w:start w:val="1"/>
      <w:numFmt w:val="bullet"/>
      <w:lvlText w:val="•"/>
      <w:lvlJc w:val="left"/>
      <w:pPr>
        <w:tabs>
          <w:tab w:val="num" w:pos="2880"/>
        </w:tabs>
        <w:ind w:left="2880" w:hanging="360"/>
      </w:pPr>
      <w:rPr>
        <w:rFonts w:hint="default" w:ascii="Arial" w:hAnsi="Arial"/>
      </w:rPr>
    </w:lvl>
    <w:lvl w:ilvl="4" w:tplc="75B66BAE" w:tentative="1">
      <w:start w:val="1"/>
      <w:numFmt w:val="bullet"/>
      <w:lvlText w:val="•"/>
      <w:lvlJc w:val="left"/>
      <w:pPr>
        <w:tabs>
          <w:tab w:val="num" w:pos="3600"/>
        </w:tabs>
        <w:ind w:left="3600" w:hanging="360"/>
      </w:pPr>
      <w:rPr>
        <w:rFonts w:hint="default" w:ascii="Arial" w:hAnsi="Arial"/>
      </w:rPr>
    </w:lvl>
    <w:lvl w:ilvl="5" w:tplc="614AB8A6" w:tentative="1">
      <w:start w:val="1"/>
      <w:numFmt w:val="bullet"/>
      <w:lvlText w:val="•"/>
      <w:lvlJc w:val="left"/>
      <w:pPr>
        <w:tabs>
          <w:tab w:val="num" w:pos="4320"/>
        </w:tabs>
        <w:ind w:left="4320" w:hanging="360"/>
      </w:pPr>
      <w:rPr>
        <w:rFonts w:hint="default" w:ascii="Arial" w:hAnsi="Arial"/>
      </w:rPr>
    </w:lvl>
    <w:lvl w:ilvl="6" w:tplc="4508D3B0" w:tentative="1">
      <w:start w:val="1"/>
      <w:numFmt w:val="bullet"/>
      <w:lvlText w:val="•"/>
      <w:lvlJc w:val="left"/>
      <w:pPr>
        <w:tabs>
          <w:tab w:val="num" w:pos="5040"/>
        </w:tabs>
        <w:ind w:left="5040" w:hanging="360"/>
      </w:pPr>
      <w:rPr>
        <w:rFonts w:hint="default" w:ascii="Arial" w:hAnsi="Arial"/>
      </w:rPr>
    </w:lvl>
    <w:lvl w:ilvl="7" w:tplc="C400DD4A" w:tentative="1">
      <w:start w:val="1"/>
      <w:numFmt w:val="bullet"/>
      <w:lvlText w:val="•"/>
      <w:lvlJc w:val="left"/>
      <w:pPr>
        <w:tabs>
          <w:tab w:val="num" w:pos="5760"/>
        </w:tabs>
        <w:ind w:left="5760" w:hanging="360"/>
      </w:pPr>
      <w:rPr>
        <w:rFonts w:hint="default" w:ascii="Arial" w:hAnsi="Arial"/>
      </w:rPr>
    </w:lvl>
    <w:lvl w:ilvl="8" w:tplc="F23A5E2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E373AA7"/>
    <w:multiLevelType w:val="hybridMultilevel"/>
    <w:tmpl w:val="C3228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70E7786"/>
    <w:multiLevelType w:val="hybridMultilevel"/>
    <w:tmpl w:val="8D0217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4A364EA"/>
    <w:multiLevelType w:val="hybridMultilevel"/>
    <w:tmpl w:val="3F506748"/>
    <w:lvl w:ilvl="0" w:tplc="B50C289C">
      <w:start w:val="1"/>
      <w:numFmt w:val="bullet"/>
      <w:lvlText w:val="•"/>
      <w:lvlJc w:val="left"/>
      <w:pPr>
        <w:tabs>
          <w:tab w:val="num" w:pos="720"/>
        </w:tabs>
        <w:ind w:left="720" w:hanging="360"/>
      </w:pPr>
      <w:rPr>
        <w:rFonts w:hint="default" w:ascii="Arial" w:hAnsi="Arial"/>
      </w:rPr>
    </w:lvl>
    <w:lvl w:ilvl="1" w:tplc="5D0AC1EA" w:tentative="1">
      <w:start w:val="1"/>
      <w:numFmt w:val="bullet"/>
      <w:lvlText w:val="•"/>
      <w:lvlJc w:val="left"/>
      <w:pPr>
        <w:tabs>
          <w:tab w:val="num" w:pos="1440"/>
        </w:tabs>
        <w:ind w:left="1440" w:hanging="360"/>
      </w:pPr>
      <w:rPr>
        <w:rFonts w:hint="default" w:ascii="Arial" w:hAnsi="Arial"/>
      </w:rPr>
    </w:lvl>
    <w:lvl w:ilvl="2" w:tplc="BDC6089E" w:tentative="1">
      <w:start w:val="1"/>
      <w:numFmt w:val="bullet"/>
      <w:lvlText w:val="•"/>
      <w:lvlJc w:val="left"/>
      <w:pPr>
        <w:tabs>
          <w:tab w:val="num" w:pos="2160"/>
        </w:tabs>
        <w:ind w:left="2160" w:hanging="360"/>
      </w:pPr>
      <w:rPr>
        <w:rFonts w:hint="default" w:ascii="Arial" w:hAnsi="Arial"/>
      </w:rPr>
    </w:lvl>
    <w:lvl w:ilvl="3" w:tplc="F4E0FFB6" w:tentative="1">
      <w:start w:val="1"/>
      <w:numFmt w:val="bullet"/>
      <w:lvlText w:val="•"/>
      <w:lvlJc w:val="left"/>
      <w:pPr>
        <w:tabs>
          <w:tab w:val="num" w:pos="2880"/>
        </w:tabs>
        <w:ind w:left="2880" w:hanging="360"/>
      </w:pPr>
      <w:rPr>
        <w:rFonts w:hint="default" w:ascii="Arial" w:hAnsi="Arial"/>
      </w:rPr>
    </w:lvl>
    <w:lvl w:ilvl="4" w:tplc="77FA3144" w:tentative="1">
      <w:start w:val="1"/>
      <w:numFmt w:val="bullet"/>
      <w:lvlText w:val="•"/>
      <w:lvlJc w:val="left"/>
      <w:pPr>
        <w:tabs>
          <w:tab w:val="num" w:pos="3600"/>
        </w:tabs>
        <w:ind w:left="3600" w:hanging="360"/>
      </w:pPr>
      <w:rPr>
        <w:rFonts w:hint="default" w:ascii="Arial" w:hAnsi="Arial"/>
      </w:rPr>
    </w:lvl>
    <w:lvl w:ilvl="5" w:tplc="54D29072" w:tentative="1">
      <w:start w:val="1"/>
      <w:numFmt w:val="bullet"/>
      <w:lvlText w:val="•"/>
      <w:lvlJc w:val="left"/>
      <w:pPr>
        <w:tabs>
          <w:tab w:val="num" w:pos="4320"/>
        </w:tabs>
        <w:ind w:left="4320" w:hanging="360"/>
      </w:pPr>
      <w:rPr>
        <w:rFonts w:hint="default" w:ascii="Arial" w:hAnsi="Arial"/>
      </w:rPr>
    </w:lvl>
    <w:lvl w:ilvl="6" w:tplc="ED462DA8" w:tentative="1">
      <w:start w:val="1"/>
      <w:numFmt w:val="bullet"/>
      <w:lvlText w:val="•"/>
      <w:lvlJc w:val="left"/>
      <w:pPr>
        <w:tabs>
          <w:tab w:val="num" w:pos="5040"/>
        </w:tabs>
        <w:ind w:left="5040" w:hanging="360"/>
      </w:pPr>
      <w:rPr>
        <w:rFonts w:hint="default" w:ascii="Arial" w:hAnsi="Arial"/>
      </w:rPr>
    </w:lvl>
    <w:lvl w:ilvl="7" w:tplc="D03ACA94" w:tentative="1">
      <w:start w:val="1"/>
      <w:numFmt w:val="bullet"/>
      <w:lvlText w:val="•"/>
      <w:lvlJc w:val="left"/>
      <w:pPr>
        <w:tabs>
          <w:tab w:val="num" w:pos="5760"/>
        </w:tabs>
        <w:ind w:left="5760" w:hanging="360"/>
      </w:pPr>
      <w:rPr>
        <w:rFonts w:hint="default" w:ascii="Arial" w:hAnsi="Arial"/>
      </w:rPr>
    </w:lvl>
    <w:lvl w:ilvl="8" w:tplc="3724E01A" w:tentative="1">
      <w:start w:val="1"/>
      <w:numFmt w:val="bullet"/>
      <w:lvlText w:val="•"/>
      <w:lvlJc w:val="left"/>
      <w:pPr>
        <w:tabs>
          <w:tab w:val="num" w:pos="6480"/>
        </w:tabs>
        <w:ind w:left="6480" w:hanging="360"/>
      </w:pPr>
      <w:rPr>
        <w:rFonts w:hint="default" w:ascii="Arial" w:hAnsi="Arial"/>
      </w:rPr>
    </w:lvl>
  </w:abstractNum>
  <w:num w:numId="1" w16cid:durableId="1477723945">
    <w:abstractNumId w:val="5"/>
  </w:num>
  <w:num w:numId="2" w16cid:durableId="832377381">
    <w:abstractNumId w:val="3"/>
  </w:num>
  <w:num w:numId="3" w16cid:durableId="1997680786">
    <w:abstractNumId w:val="8"/>
  </w:num>
  <w:num w:numId="4" w16cid:durableId="710418343">
    <w:abstractNumId w:val="2"/>
  </w:num>
  <w:num w:numId="5" w16cid:durableId="844826458">
    <w:abstractNumId w:val="1"/>
  </w:num>
  <w:num w:numId="6" w16cid:durableId="795756825">
    <w:abstractNumId w:val="0"/>
  </w:num>
  <w:num w:numId="7" w16cid:durableId="1702053607">
    <w:abstractNumId w:val="7"/>
  </w:num>
  <w:num w:numId="8" w16cid:durableId="1768161787">
    <w:abstractNumId w:val="4"/>
  </w:num>
  <w:num w:numId="9" w16cid:durableId="1474060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49"/>
    <w:rsid w:val="0000121D"/>
    <w:rsid w:val="000207D6"/>
    <w:rsid w:val="00084C0F"/>
    <w:rsid w:val="00096FB8"/>
    <w:rsid w:val="000A0C14"/>
    <w:rsid w:val="000C6505"/>
    <w:rsid w:val="00135525"/>
    <w:rsid w:val="00140C96"/>
    <w:rsid w:val="00146949"/>
    <w:rsid w:val="00171D91"/>
    <w:rsid w:val="00191C54"/>
    <w:rsid w:val="001A6665"/>
    <w:rsid w:val="001B5301"/>
    <w:rsid w:val="001E31BC"/>
    <w:rsid w:val="00267DA1"/>
    <w:rsid w:val="002C69FF"/>
    <w:rsid w:val="00346F59"/>
    <w:rsid w:val="003575DA"/>
    <w:rsid w:val="003B5EA8"/>
    <w:rsid w:val="003F0150"/>
    <w:rsid w:val="00477DC6"/>
    <w:rsid w:val="004978F6"/>
    <w:rsid w:val="004F13B0"/>
    <w:rsid w:val="004F6C6C"/>
    <w:rsid w:val="00534588"/>
    <w:rsid w:val="00562E9D"/>
    <w:rsid w:val="005A07D4"/>
    <w:rsid w:val="005B7A0E"/>
    <w:rsid w:val="005D695C"/>
    <w:rsid w:val="00615631"/>
    <w:rsid w:val="0063593B"/>
    <w:rsid w:val="006B1A63"/>
    <w:rsid w:val="006C4466"/>
    <w:rsid w:val="0071581B"/>
    <w:rsid w:val="00731CA7"/>
    <w:rsid w:val="0074117E"/>
    <w:rsid w:val="00760DCA"/>
    <w:rsid w:val="007D6BD5"/>
    <w:rsid w:val="008176E7"/>
    <w:rsid w:val="00872289"/>
    <w:rsid w:val="008E2263"/>
    <w:rsid w:val="008E637B"/>
    <w:rsid w:val="008F62B1"/>
    <w:rsid w:val="00906DA6"/>
    <w:rsid w:val="00914D50"/>
    <w:rsid w:val="009351D5"/>
    <w:rsid w:val="00936260"/>
    <w:rsid w:val="0099790A"/>
    <w:rsid w:val="00997ABA"/>
    <w:rsid w:val="009D7C8F"/>
    <w:rsid w:val="009E0D63"/>
    <w:rsid w:val="009E2C10"/>
    <w:rsid w:val="009F479B"/>
    <w:rsid w:val="00A47B54"/>
    <w:rsid w:val="00A524D4"/>
    <w:rsid w:val="00A545C3"/>
    <w:rsid w:val="00A5537D"/>
    <w:rsid w:val="00A74D65"/>
    <w:rsid w:val="00AB2B85"/>
    <w:rsid w:val="00B1581F"/>
    <w:rsid w:val="00B72C28"/>
    <w:rsid w:val="00B744AC"/>
    <w:rsid w:val="00C97548"/>
    <w:rsid w:val="00CB4C56"/>
    <w:rsid w:val="00D07867"/>
    <w:rsid w:val="00D260C8"/>
    <w:rsid w:val="00DA673B"/>
    <w:rsid w:val="00DE269C"/>
    <w:rsid w:val="00E13ABA"/>
    <w:rsid w:val="00E5655A"/>
    <w:rsid w:val="00F02FF8"/>
    <w:rsid w:val="00F13403"/>
    <w:rsid w:val="00F167C0"/>
    <w:rsid w:val="00F177EF"/>
    <w:rsid w:val="036CAE5C"/>
    <w:rsid w:val="0A7BB99D"/>
    <w:rsid w:val="37C809FC"/>
    <w:rsid w:val="5D0693F6"/>
    <w:rsid w:val="5E832BE3"/>
    <w:rsid w:val="71A8E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A07D"/>
  <w15:chartTrackingRefBased/>
  <w15:docId w15:val="{C66CE244-299A-4EED-BA5B-8B1DC7C4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4694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949"/>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9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9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9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9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4694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46949"/>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4694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4694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4694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469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469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469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46949"/>
    <w:rPr>
      <w:rFonts w:eastAsiaTheme="majorEastAsia" w:cstheme="majorBidi"/>
      <w:color w:val="272727" w:themeColor="text1" w:themeTint="D8"/>
    </w:rPr>
  </w:style>
  <w:style w:type="paragraph" w:styleId="Title">
    <w:name w:val="Title"/>
    <w:basedOn w:val="Normal"/>
    <w:next w:val="Normal"/>
    <w:link w:val="TitleChar"/>
    <w:uiPriority w:val="10"/>
    <w:qFormat/>
    <w:rsid w:val="001469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469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469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46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949"/>
    <w:pPr>
      <w:spacing w:before="160"/>
      <w:jc w:val="center"/>
    </w:pPr>
    <w:rPr>
      <w:i/>
      <w:iCs/>
      <w:color w:val="404040" w:themeColor="text1" w:themeTint="BF"/>
    </w:rPr>
  </w:style>
  <w:style w:type="character" w:styleId="QuoteChar" w:customStyle="1">
    <w:name w:val="Quote Char"/>
    <w:basedOn w:val="DefaultParagraphFont"/>
    <w:link w:val="Quote"/>
    <w:uiPriority w:val="29"/>
    <w:rsid w:val="00146949"/>
    <w:rPr>
      <w:i/>
      <w:iCs/>
      <w:color w:val="404040" w:themeColor="text1" w:themeTint="BF"/>
    </w:rPr>
  </w:style>
  <w:style w:type="paragraph" w:styleId="ListParagraph">
    <w:name w:val="List Paragraph"/>
    <w:basedOn w:val="Normal"/>
    <w:uiPriority w:val="34"/>
    <w:qFormat/>
    <w:rsid w:val="00146949"/>
    <w:pPr>
      <w:ind w:left="720"/>
      <w:contextualSpacing/>
    </w:pPr>
  </w:style>
  <w:style w:type="character" w:styleId="IntenseEmphasis">
    <w:name w:val="Intense Emphasis"/>
    <w:basedOn w:val="DefaultParagraphFont"/>
    <w:uiPriority w:val="21"/>
    <w:qFormat/>
    <w:rsid w:val="00146949"/>
    <w:rPr>
      <w:i/>
      <w:iCs/>
      <w:color w:val="2F5496" w:themeColor="accent1" w:themeShade="BF"/>
    </w:rPr>
  </w:style>
  <w:style w:type="paragraph" w:styleId="IntenseQuote">
    <w:name w:val="Intense Quote"/>
    <w:basedOn w:val="Normal"/>
    <w:next w:val="Normal"/>
    <w:link w:val="IntenseQuoteChar"/>
    <w:uiPriority w:val="30"/>
    <w:qFormat/>
    <w:rsid w:val="0014694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46949"/>
    <w:rPr>
      <w:i/>
      <w:iCs/>
      <w:color w:val="2F5496" w:themeColor="accent1" w:themeShade="BF"/>
    </w:rPr>
  </w:style>
  <w:style w:type="character" w:styleId="IntenseReference">
    <w:name w:val="Intense Reference"/>
    <w:basedOn w:val="DefaultParagraphFont"/>
    <w:uiPriority w:val="32"/>
    <w:qFormat/>
    <w:rsid w:val="00146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787617">
      <w:bodyDiv w:val="1"/>
      <w:marLeft w:val="0"/>
      <w:marRight w:val="0"/>
      <w:marTop w:val="0"/>
      <w:marBottom w:val="0"/>
      <w:divBdr>
        <w:top w:val="none" w:sz="0" w:space="0" w:color="auto"/>
        <w:left w:val="none" w:sz="0" w:space="0" w:color="auto"/>
        <w:bottom w:val="none" w:sz="0" w:space="0" w:color="auto"/>
        <w:right w:val="none" w:sz="0" w:space="0" w:color="auto"/>
      </w:divBdr>
      <w:divsChild>
        <w:div w:id="1983148047">
          <w:marLeft w:val="274"/>
          <w:marRight w:val="0"/>
          <w:marTop w:val="0"/>
          <w:marBottom w:val="0"/>
          <w:divBdr>
            <w:top w:val="none" w:sz="0" w:space="0" w:color="auto"/>
            <w:left w:val="none" w:sz="0" w:space="0" w:color="auto"/>
            <w:bottom w:val="none" w:sz="0" w:space="0" w:color="auto"/>
            <w:right w:val="none" w:sz="0" w:space="0" w:color="auto"/>
          </w:divBdr>
        </w:div>
        <w:div w:id="1889678936">
          <w:marLeft w:val="274"/>
          <w:marRight w:val="0"/>
          <w:marTop w:val="200"/>
          <w:marBottom w:val="0"/>
          <w:divBdr>
            <w:top w:val="none" w:sz="0" w:space="0" w:color="auto"/>
            <w:left w:val="none" w:sz="0" w:space="0" w:color="auto"/>
            <w:bottom w:val="none" w:sz="0" w:space="0" w:color="auto"/>
            <w:right w:val="none" w:sz="0" w:space="0" w:color="auto"/>
          </w:divBdr>
        </w:div>
        <w:div w:id="1606617860">
          <w:marLeft w:val="274"/>
          <w:marRight w:val="0"/>
          <w:marTop w:val="200"/>
          <w:marBottom w:val="0"/>
          <w:divBdr>
            <w:top w:val="none" w:sz="0" w:space="0" w:color="auto"/>
            <w:left w:val="none" w:sz="0" w:space="0" w:color="auto"/>
            <w:bottom w:val="none" w:sz="0" w:space="0" w:color="auto"/>
            <w:right w:val="none" w:sz="0" w:space="0" w:color="auto"/>
          </w:divBdr>
        </w:div>
      </w:divsChild>
    </w:div>
    <w:div w:id="731198846">
      <w:bodyDiv w:val="1"/>
      <w:marLeft w:val="0"/>
      <w:marRight w:val="0"/>
      <w:marTop w:val="0"/>
      <w:marBottom w:val="0"/>
      <w:divBdr>
        <w:top w:val="none" w:sz="0" w:space="0" w:color="auto"/>
        <w:left w:val="none" w:sz="0" w:space="0" w:color="auto"/>
        <w:bottom w:val="none" w:sz="0" w:space="0" w:color="auto"/>
        <w:right w:val="none" w:sz="0" w:space="0" w:color="auto"/>
      </w:divBdr>
    </w:div>
    <w:div w:id="891649267">
      <w:bodyDiv w:val="1"/>
      <w:marLeft w:val="0"/>
      <w:marRight w:val="0"/>
      <w:marTop w:val="0"/>
      <w:marBottom w:val="0"/>
      <w:divBdr>
        <w:top w:val="none" w:sz="0" w:space="0" w:color="auto"/>
        <w:left w:val="none" w:sz="0" w:space="0" w:color="auto"/>
        <w:bottom w:val="none" w:sz="0" w:space="0" w:color="auto"/>
        <w:right w:val="none" w:sz="0" w:space="0" w:color="auto"/>
      </w:divBdr>
    </w:div>
    <w:div w:id="903682697">
      <w:bodyDiv w:val="1"/>
      <w:marLeft w:val="0"/>
      <w:marRight w:val="0"/>
      <w:marTop w:val="0"/>
      <w:marBottom w:val="0"/>
      <w:divBdr>
        <w:top w:val="none" w:sz="0" w:space="0" w:color="auto"/>
        <w:left w:val="none" w:sz="0" w:space="0" w:color="auto"/>
        <w:bottom w:val="none" w:sz="0" w:space="0" w:color="auto"/>
        <w:right w:val="none" w:sz="0" w:space="0" w:color="auto"/>
      </w:divBdr>
      <w:divsChild>
        <w:div w:id="340401031">
          <w:marLeft w:val="274"/>
          <w:marRight w:val="0"/>
          <w:marTop w:val="0"/>
          <w:marBottom w:val="0"/>
          <w:divBdr>
            <w:top w:val="none" w:sz="0" w:space="0" w:color="auto"/>
            <w:left w:val="none" w:sz="0" w:space="0" w:color="auto"/>
            <w:bottom w:val="none" w:sz="0" w:space="0" w:color="auto"/>
            <w:right w:val="none" w:sz="0" w:space="0" w:color="auto"/>
          </w:divBdr>
        </w:div>
        <w:div w:id="1247038093">
          <w:marLeft w:val="274"/>
          <w:marRight w:val="0"/>
          <w:marTop w:val="200"/>
          <w:marBottom w:val="0"/>
          <w:divBdr>
            <w:top w:val="none" w:sz="0" w:space="0" w:color="auto"/>
            <w:left w:val="none" w:sz="0" w:space="0" w:color="auto"/>
            <w:bottom w:val="none" w:sz="0" w:space="0" w:color="auto"/>
            <w:right w:val="none" w:sz="0" w:space="0" w:color="auto"/>
          </w:divBdr>
        </w:div>
        <w:div w:id="931010253">
          <w:marLeft w:val="274"/>
          <w:marRight w:val="0"/>
          <w:marTop w:val="200"/>
          <w:marBottom w:val="0"/>
          <w:divBdr>
            <w:top w:val="none" w:sz="0" w:space="0" w:color="auto"/>
            <w:left w:val="none" w:sz="0" w:space="0" w:color="auto"/>
            <w:bottom w:val="none" w:sz="0" w:space="0" w:color="auto"/>
            <w:right w:val="none" w:sz="0" w:space="0" w:color="auto"/>
          </w:divBdr>
        </w:div>
      </w:divsChild>
    </w:div>
    <w:div w:id="2037122114">
      <w:bodyDiv w:val="1"/>
      <w:marLeft w:val="0"/>
      <w:marRight w:val="0"/>
      <w:marTop w:val="0"/>
      <w:marBottom w:val="0"/>
      <w:divBdr>
        <w:top w:val="none" w:sz="0" w:space="0" w:color="auto"/>
        <w:left w:val="none" w:sz="0" w:space="0" w:color="auto"/>
        <w:bottom w:val="none" w:sz="0" w:space="0" w:color="auto"/>
        <w:right w:val="none" w:sz="0" w:space="0" w:color="auto"/>
      </w:divBdr>
      <w:divsChild>
        <w:div w:id="719283967">
          <w:marLeft w:val="274"/>
          <w:marRight w:val="0"/>
          <w:marTop w:val="200"/>
          <w:marBottom w:val="0"/>
          <w:divBdr>
            <w:top w:val="none" w:sz="0" w:space="0" w:color="auto"/>
            <w:left w:val="none" w:sz="0" w:space="0" w:color="auto"/>
            <w:bottom w:val="none" w:sz="0" w:space="0" w:color="auto"/>
            <w:right w:val="none" w:sz="0" w:space="0" w:color="auto"/>
          </w:divBdr>
        </w:div>
      </w:divsChild>
    </w:div>
    <w:div w:id="21209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3.png" Id="rId67244246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b0828a1d159eb1060547100834e28db">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9521c6a1860668a0c42fb84f73091ee8"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documentManagement>
</p:properties>
</file>

<file path=customXml/itemProps1.xml><?xml version="1.0" encoding="utf-8"?>
<ds:datastoreItem xmlns:ds="http://schemas.openxmlformats.org/officeDocument/2006/customXml" ds:itemID="{50BAE104-A159-43CC-A0F2-D7C23E242DDC}"/>
</file>

<file path=customXml/itemProps2.xml><?xml version="1.0" encoding="utf-8"?>
<ds:datastoreItem xmlns:ds="http://schemas.openxmlformats.org/officeDocument/2006/customXml" ds:itemID="{9F4CFD26-A398-45CC-A8C7-088831578037}">
  <ds:schemaRefs>
    <ds:schemaRef ds:uri="http://schemas.microsoft.com/sharepoint/v3/contenttype/forms"/>
  </ds:schemaRefs>
</ds:datastoreItem>
</file>

<file path=customXml/itemProps3.xml><?xml version="1.0" encoding="utf-8"?>
<ds:datastoreItem xmlns:ds="http://schemas.openxmlformats.org/officeDocument/2006/customXml" ds:itemID="{BA27E785-9639-41BB-9F89-D5F7613F2EEC}">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Carla Wise</dc:creator>
  <keywords/>
  <dc:description/>
  <lastModifiedBy>Matthew Logue</lastModifiedBy>
  <revision>61</revision>
  <dcterms:created xsi:type="dcterms:W3CDTF">2024-08-12T11:04:00.0000000Z</dcterms:created>
  <dcterms:modified xsi:type="dcterms:W3CDTF">2026-06-03T15:16:30.3804694Z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0x010100377AE1591518474992CCABE93F3E12DA</vt:lpwstr>
  </property>
  <property fmtid="{D5CDD505-2E9C-101B-9397-08002B2CF9AE}" pid="3" name="MediaServiceImageTags">
    <vt:lpwstr/>
  </property>
  <property fmtid="{D5CDD505-2E9C-101B-9397-08002B2CF9AE}" pid="5" name="docLang">
    <vt:lpwstr>en</vt:lpwstr>
  </property>
</Properties>
</file>