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3605" w14:textId="7917CBC1" w:rsidR="000207D6" w:rsidRDefault="000207D6" w:rsidP="000C6505">
      <w:pPr>
        <w:jc w:val="center"/>
      </w:pPr>
    </w:p>
    <w:p w14:paraId="3C8D935D" w14:textId="77777777" w:rsidR="000C6505" w:rsidRDefault="000C6505" w:rsidP="000C6505">
      <w:pPr>
        <w:jc w:val="center"/>
      </w:pPr>
    </w:p>
    <w:p w14:paraId="2B9059DC" w14:textId="2EC97AAB" w:rsidR="000C6505" w:rsidRDefault="00906DA6" w:rsidP="00906DA6">
      <w:r>
        <w:rPr>
          <w:noProof/>
        </w:rPr>
        <w:drawing>
          <wp:inline distT="0" distB="0" distL="0" distR="0" wp14:anchorId="2F7DDB82" wp14:editId="11CE5710">
            <wp:extent cx="1041400" cy="490220"/>
            <wp:effectExtent l="0" t="0" r="6350" b="5080"/>
            <wp:docPr id="1" name="image1.png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ACBF781-726F-4992-A3E7-39767BDB30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with text on i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187" cy="4943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02FF8">
        <w:tab/>
      </w:r>
      <w:r w:rsidR="00F02FF8">
        <w:tab/>
      </w:r>
      <w:r w:rsidR="0063593B">
        <w:tab/>
      </w:r>
      <w:r w:rsidR="0063593B">
        <w:tab/>
      </w:r>
      <w:r w:rsidR="0063593B">
        <w:tab/>
      </w:r>
      <w:r w:rsidR="0063593B">
        <w:tab/>
      </w:r>
      <w:r w:rsidR="0063593B">
        <w:tab/>
      </w:r>
      <w:r w:rsidR="00F02FF8">
        <w:tab/>
      </w:r>
      <w:r w:rsidR="00F02FF8">
        <w:tab/>
      </w:r>
      <w:r w:rsidR="00F02FF8">
        <w:tab/>
      </w:r>
      <w:r w:rsidR="00F02FF8">
        <w:tab/>
      </w:r>
      <w:r w:rsidR="60C6EBDF">
        <w:rPr>
          <w:noProof/>
        </w:rPr>
        <w:drawing>
          <wp:anchor distT="0" distB="0" distL="114300" distR="114300" simplePos="0" relativeHeight="251658240" behindDoc="0" locked="0" layoutInCell="1" allowOverlap="1" wp14:anchorId="78EAFC12" wp14:editId="6E962AA3">
            <wp:simplePos x="0" y="0"/>
            <wp:positionH relativeFrom="column">
              <wp:posOffset>4115435</wp:posOffset>
            </wp:positionH>
            <wp:positionV relativeFrom="paragraph">
              <wp:posOffset>118745</wp:posOffset>
            </wp:positionV>
            <wp:extent cx="2142000" cy="399600"/>
            <wp:effectExtent l="0" t="0" r="0" b="635"/>
            <wp:wrapNone/>
            <wp:docPr id="1217006428" name="drawing" descr="A red letters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404EED-064E-452A-AAEC-8E4E282DF0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0916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FF8">
        <w:tab/>
      </w:r>
      <w:r w:rsidR="00F02FF8">
        <w:tab/>
      </w:r>
    </w:p>
    <w:p w14:paraId="5160D385" w14:textId="77777777" w:rsidR="00F13403" w:rsidRDefault="00F13403" w:rsidP="000C6505">
      <w:pPr>
        <w:jc w:val="center"/>
      </w:pPr>
    </w:p>
    <w:p w14:paraId="216F8398" w14:textId="77777777" w:rsidR="00F13403" w:rsidRDefault="00F13403" w:rsidP="000C6505">
      <w:pPr>
        <w:jc w:val="center"/>
      </w:pPr>
    </w:p>
    <w:p w14:paraId="07229CEC" w14:textId="77777777" w:rsidR="00F13403" w:rsidRDefault="00F13403" w:rsidP="000C6505">
      <w:pPr>
        <w:jc w:val="center"/>
      </w:pPr>
    </w:p>
    <w:p w14:paraId="714AE1C4" w14:textId="77777777" w:rsidR="000C6505" w:rsidRDefault="000C6505" w:rsidP="000C6505">
      <w:pPr>
        <w:jc w:val="center"/>
      </w:pPr>
    </w:p>
    <w:p w14:paraId="1648B1BD" w14:textId="008CC4E4" w:rsidR="00A545C3" w:rsidRDefault="009E0D63" w:rsidP="00A545C3">
      <w:pPr>
        <w:jc w:val="center"/>
        <w:rPr>
          <w:rFonts w:ascii="Arial" w:hAnsi="Arial" w:cs="Arial"/>
          <w:sz w:val="56"/>
          <w:szCs w:val="56"/>
        </w:rPr>
      </w:pPr>
      <w:r w:rsidRPr="02CCE6AC">
        <w:rPr>
          <w:rFonts w:ascii="Arial" w:hAnsi="Arial" w:cs="Arial"/>
          <w:sz w:val="56"/>
          <w:szCs w:val="56"/>
        </w:rPr>
        <w:t>A Guide to Reviewing</w:t>
      </w:r>
      <w:r w:rsidR="00A545C3" w:rsidRPr="02CCE6AC">
        <w:rPr>
          <w:rFonts w:ascii="Arial" w:hAnsi="Arial" w:cs="Arial"/>
          <w:sz w:val="56"/>
          <w:szCs w:val="56"/>
        </w:rPr>
        <w:t xml:space="preserve"> </w:t>
      </w:r>
      <w:r w:rsidRPr="02CCE6AC">
        <w:rPr>
          <w:rFonts w:ascii="Arial" w:hAnsi="Arial" w:cs="Arial"/>
          <w:sz w:val="56"/>
          <w:szCs w:val="56"/>
        </w:rPr>
        <w:t>M</w:t>
      </w:r>
      <w:r w:rsidR="003575DA" w:rsidRPr="02CCE6AC">
        <w:rPr>
          <w:rFonts w:ascii="Arial" w:hAnsi="Arial" w:cs="Arial"/>
          <w:sz w:val="56"/>
          <w:szCs w:val="56"/>
        </w:rPr>
        <w:t>1</w:t>
      </w:r>
      <w:r w:rsidR="7DF77C1B" w:rsidRPr="02CCE6AC">
        <w:rPr>
          <w:rFonts w:ascii="Arial" w:hAnsi="Arial" w:cs="Arial"/>
          <w:sz w:val="56"/>
          <w:szCs w:val="56"/>
        </w:rPr>
        <w:t>2</w:t>
      </w:r>
    </w:p>
    <w:p w14:paraId="79EC25F1" w14:textId="45F0A582" w:rsidR="009E0D63" w:rsidRDefault="7DF77C1B" w:rsidP="00A545C3">
      <w:pPr>
        <w:jc w:val="center"/>
        <w:rPr>
          <w:rFonts w:ascii="Arial" w:hAnsi="Arial" w:cs="Arial"/>
          <w:sz w:val="56"/>
          <w:szCs w:val="56"/>
        </w:rPr>
      </w:pPr>
      <w:r w:rsidRPr="02CCE6AC">
        <w:rPr>
          <w:rFonts w:ascii="Arial" w:hAnsi="Arial" w:cs="Arial"/>
          <w:sz w:val="56"/>
          <w:szCs w:val="56"/>
        </w:rPr>
        <w:t>Termination / Automatic Suspension and Non-Renewal</w:t>
      </w:r>
    </w:p>
    <w:p w14:paraId="7340EEAB" w14:textId="723E935A" w:rsidR="00936260" w:rsidRDefault="00936260" w:rsidP="009E0D63">
      <w:pPr>
        <w:jc w:val="center"/>
        <w:rPr>
          <w:rFonts w:ascii="Arial" w:hAnsi="Arial" w:cs="Arial"/>
          <w:noProof/>
          <w:sz w:val="56"/>
          <w:szCs w:val="56"/>
        </w:rPr>
      </w:pPr>
    </w:p>
    <w:p w14:paraId="758E1856" w14:textId="50F7FDC5" w:rsidR="009351D5" w:rsidRDefault="31457F51" w:rsidP="34A01CB0">
      <w:pPr>
        <w:jc w:val="center"/>
      </w:pPr>
      <w:r>
        <w:rPr>
          <w:noProof/>
        </w:rPr>
        <w:drawing>
          <wp:inline distT="0" distB="0" distL="0" distR="0" wp14:anchorId="49015B76" wp14:editId="50699801">
            <wp:extent cx="6638925" cy="4612103"/>
            <wp:effectExtent l="0" t="0" r="0" b="0"/>
            <wp:docPr id="10406661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66165" name="draw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61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E823A" w14:textId="24753FC7" w:rsidR="00936260" w:rsidRDefault="00936260" w:rsidP="009D7C8F">
      <w:pPr>
        <w:rPr>
          <w:rFonts w:ascii="Arial" w:hAnsi="Arial" w:cs="Arial"/>
          <w:sz w:val="56"/>
          <w:szCs w:val="56"/>
        </w:rPr>
      </w:pPr>
    </w:p>
    <w:p w14:paraId="66729859" w14:textId="2B922F4B" w:rsidR="34A01CB0" w:rsidRDefault="34A01CB0" w:rsidP="34A01CB0">
      <w:pPr>
        <w:rPr>
          <w:rFonts w:ascii="Arial" w:hAnsi="Arial" w:cs="Arial"/>
          <w:b/>
          <w:bCs/>
          <w:sz w:val="24"/>
          <w:szCs w:val="24"/>
        </w:rPr>
      </w:pPr>
    </w:p>
    <w:p w14:paraId="4B9B6450" w14:textId="7986D4D8" w:rsidR="34A01CB0" w:rsidRDefault="34A01CB0" w:rsidP="34A01CB0">
      <w:pPr>
        <w:rPr>
          <w:rFonts w:ascii="Arial" w:hAnsi="Arial" w:cs="Arial"/>
          <w:b/>
          <w:bCs/>
          <w:sz w:val="24"/>
          <w:szCs w:val="24"/>
        </w:rPr>
      </w:pPr>
    </w:p>
    <w:p w14:paraId="506065A7" w14:textId="06F741D5" w:rsidR="00F167C0" w:rsidRPr="00883904" w:rsidRDefault="00F167C0" w:rsidP="34A01CB0">
      <w:pPr>
        <w:rPr>
          <w:rFonts w:ascii="Arial" w:hAnsi="Arial" w:cs="Arial"/>
          <w:b/>
          <w:bCs/>
          <w:sz w:val="24"/>
          <w:szCs w:val="24"/>
        </w:rPr>
      </w:pPr>
      <w:r w:rsidRPr="34A01CB0">
        <w:rPr>
          <w:rFonts w:ascii="Arial" w:hAnsi="Arial" w:cs="Arial"/>
          <w:b/>
          <w:bCs/>
          <w:sz w:val="24"/>
          <w:szCs w:val="24"/>
        </w:rPr>
        <w:t>Key features:</w:t>
      </w:r>
    </w:p>
    <w:p w14:paraId="76F3C18B" w14:textId="52E86E04" w:rsidR="004A1C61" w:rsidRPr="004A1C61" w:rsidRDefault="00562E9D" w:rsidP="009E3496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34A01CB0">
        <w:rPr>
          <w:rFonts w:ascii="Arial" w:hAnsi="Arial" w:cs="Arial"/>
          <w:sz w:val="24"/>
          <w:szCs w:val="24"/>
        </w:rPr>
        <w:t>T</w:t>
      </w:r>
      <w:r w:rsidR="00DE269C" w:rsidRPr="34A01CB0">
        <w:rPr>
          <w:rFonts w:ascii="Arial" w:hAnsi="Arial" w:cs="Arial"/>
          <w:sz w:val="24"/>
          <w:szCs w:val="24"/>
        </w:rPr>
        <w:t xml:space="preserve">he </w:t>
      </w:r>
      <w:r w:rsidR="007D75AE" w:rsidRPr="34A01CB0">
        <w:rPr>
          <w:rFonts w:ascii="Arial" w:hAnsi="Arial" w:cs="Arial"/>
          <w:sz w:val="24"/>
          <w:szCs w:val="24"/>
        </w:rPr>
        <w:t>m</w:t>
      </w:r>
      <w:r w:rsidR="00DE269C" w:rsidRPr="34A01CB0">
        <w:rPr>
          <w:rFonts w:ascii="Arial" w:hAnsi="Arial" w:cs="Arial"/>
          <w:sz w:val="24"/>
          <w:szCs w:val="24"/>
        </w:rPr>
        <w:t xml:space="preserve">odule </w:t>
      </w:r>
      <w:r w:rsidR="003D7903" w:rsidRPr="34A01CB0">
        <w:rPr>
          <w:rFonts w:ascii="Arial" w:hAnsi="Arial" w:cs="Arial"/>
          <w:sz w:val="24"/>
          <w:szCs w:val="24"/>
        </w:rPr>
        <w:t>has been completely overhauled (6</w:t>
      </w:r>
      <w:r w:rsidR="00BC3BB7" w:rsidRPr="34A01CB0">
        <w:rPr>
          <w:rFonts w:ascii="Arial" w:hAnsi="Arial" w:cs="Arial"/>
          <w:sz w:val="24"/>
          <w:szCs w:val="24"/>
        </w:rPr>
        <w:t>,</w:t>
      </w:r>
      <w:r w:rsidR="003D7903" w:rsidRPr="34A01CB0">
        <w:rPr>
          <w:rFonts w:ascii="Arial" w:hAnsi="Arial" w:cs="Arial"/>
          <w:sz w:val="24"/>
          <w:szCs w:val="24"/>
        </w:rPr>
        <w:t>000 words</w:t>
      </w:r>
      <w:r w:rsidR="00BC3BB7" w:rsidRPr="34A01CB0">
        <w:rPr>
          <w:rFonts w:ascii="Arial" w:hAnsi="Arial" w:cs="Arial"/>
          <w:sz w:val="24"/>
          <w:szCs w:val="24"/>
        </w:rPr>
        <w:t xml:space="preserve"> vs 1,400 in today’s LMA3113a</w:t>
      </w:r>
      <w:r w:rsidR="20765D2E" w:rsidRPr="34A01CB0">
        <w:rPr>
          <w:rFonts w:ascii="Arial" w:hAnsi="Arial" w:cs="Arial"/>
          <w:sz w:val="24"/>
          <w:szCs w:val="24"/>
        </w:rPr>
        <w:t>)</w:t>
      </w:r>
      <w:r w:rsidR="00C31D5A" w:rsidRPr="34A01CB0">
        <w:rPr>
          <w:rFonts w:ascii="Arial" w:hAnsi="Arial" w:cs="Arial"/>
          <w:sz w:val="24"/>
          <w:szCs w:val="24"/>
        </w:rPr>
        <w:t>.</w:t>
      </w:r>
    </w:p>
    <w:p w14:paraId="41BEA3ED" w14:textId="7EFE258E" w:rsidR="00BC3BB7" w:rsidRDefault="00CA5C37" w:rsidP="009E3496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has been a move to ‘Automatic Suspens</w:t>
      </w:r>
      <w:r w:rsidR="00C31D5A">
        <w:rPr>
          <w:rFonts w:ascii="Arial" w:hAnsi="Arial" w:cs="Arial"/>
          <w:sz w:val="24"/>
          <w:szCs w:val="24"/>
        </w:rPr>
        <w:t>ion’ rather than ‘Automatic Termination’.</w:t>
      </w:r>
    </w:p>
    <w:p w14:paraId="191ABED9" w14:textId="79F98995" w:rsidR="00C31D5A" w:rsidRDefault="007D75AE" w:rsidP="00265F98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module still includes the ‘Right to Immediate Termination’ and ‘Termination with Notice’.</w:t>
      </w:r>
    </w:p>
    <w:p w14:paraId="6D0831B9" w14:textId="06AABFE5" w:rsidR="007D75AE" w:rsidRDefault="00A40D39" w:rsidP="00265F98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revised structure provides improved clarity on ‘What happens during any notice period’ and ‘What happens once the Agreement has ended’.</w:t>
      </w:r>
    </w:p>
    <w:p w14:paraId="757B9670" w14:textId="1EC480FA" w:rsidR="001B058C" w:rsidRDefault="001B058C" w:rsidP="00265F98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 brand new ‘Non-Renewal’ section for when the Agreement is fixed term (not applicable for continuous contracts).</w:t>
      </w:r>
    </w:p>
    <w:p w14:paraId="200F5FBC" w14:textId="661D9CB6" w:rsidR="005A07D4" w:rsidRDefault="001C46BB" w:rsidP="00265F98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‘Non-Renewal’ section repeats some of the ‘Termination’ language but </w:t>
      </w:r>
      <w:r w:rsidR="0078457A">
        <w:rPr>
          <w:rFonts w:ascii="Arial" w:hAnsi="Arial" w:cs="Arial"/>
          <w:sz w:val="24"/>
          <w:szCs w:val="24"/>
        </w:rPr>
        <w:t>is designed to be fully informative in the event of non-renewal.</w:t>
      </w:r>
    </w:p>
    <w:p w14:paraId="5C205849" w14:textId="1EE3DF59" w:rsidR="006953E9" w:rsidRDefault="006953E9" w:rsidP="00265F98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 new look ‘Communication</w:t>
      </w:r>
      <w:r w:rsidR="005F0528">
        <w:rPr>
          <w:rFonts w:ascii="Arial" w:hAnsi="Arial" w:cs="Arial"/>
          <w:sz w:val="24"/>
          <w:szCs w:val="24"/>
        </w:rPr>
        <w:t>’ section that is designed to be relevant for all scenarios.</w:t>
      </w:r>
    </w:p>
    <w:p w14:paraId="32BD023F" w14:textId="07F30F9F" w:rsidR="005F0528" w:rsidRDefault="005F0528" w:rsidP="00265F98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key provisions have been mutualised to create a fairer Agreement for the Coverholder.</w:t>
      </w:r>
    </w:p>
    <w:p w14:paraId="44CA6245" w14:textId="445C9678" w:rsidR="005F0528" w:rsidRDefault="005F0528" w:rsidP="00265F98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more robust survivorship provisions.</w:t>
      </w:r>
    </w:p>
    <w:p w14:paraId="7A8C98EC" w14:textId="449153EE" w:rsidR="005F0528" w:rsidRPr="006953E9" w:rsidRDefault="74D787C5" w:rsidP="00265F98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12B964BB">
        <w:rPr>
          <w:rFonts w:ascii="Arial" w:hAnsi="Arial" w:cs="Arial"/>
          <w:sz w:val="24"/>
          <w:szCs w:val="24"/>
        </w:rPr>
        <w:t>‘Amendment to the Agreement’ (including any change</w:t>
      </w:r>
      <w:r w:rsidR="3D50B6AC" w:rsidRPr="12B964BB">
        <w:rPr>
          <w:rFonts w:ascii="Arial" w:hAnsi="Arial" w:cs="Arial"/>
          <w:sz w:val="24"/>
          <w:szCs w:val="24"/>
        </w:rPr>
        <w:t xml:space="preserve"> of participating Insurer) is dealt with in M</w:t>
      </w:r>
      <w:r w:rsidR="462F22A5" w:rsidRPr="12B964BB">
        <w:rPr>
          <w:rFonts w:ascii="Arial" w:hAnsi="Arial" w:cs="Arial"/>
          <w:sz w:val="24"/>
          <w:szCs w:val="24"/>
        </w:rPr>
        <w:t>3</w:t>
      </w:r>
      <w:r w:rsidR="3D50B6AC" w:rsidRPr="12B964BB">
        <w:rPr>
          <w:rFonts w:ascii="Arial" w:hAnsi="Arial" w:cs="Arial"/>
          <w:sz w:val="24"/>
          <w:szCs w:val="24"/>
        </w:rPr>
        <w:t xml:space="preserve"> – </w:t>
      </w:r>
      <w:r w:rsidR="1A6A23F2" w:rsidRPr="12B964BB">
        <w:rPr>
          <w:rFonts w:ascii="Arial" w:hAnsi="Arial" w:cs="Arial"/>
          <w:sz w:val="24"/>
          <w:szCs w:val="24"/>
        </w:rPr>
        <w:t>Amendment</w:t>
      </w:r>
      <w:r w:rsidR="76ECBAB2" w:rsidRPr="12B964BB">
        <w:rPr>
          <w:rFonts w:ascii="Arial" w:hAnsi="Arial" w:cs="Arial"/>
          <w:sz w:val="24"/>
          <w:szCs w:val="24"/>
        </w:rPr>
        <w:t>.</w:t>
      </w:r>
    </w:p>
    <w:p w14:paraId="399F8B77" w14:textId="77777777" w:rsidR="005A07D4" w:rsidRPr="00941A29" w:rsidRDefault="005A07D4" w:rsidP="005A07D4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40E410C5" w14:textId="5481435F" w:rsidR="005A07D4" w:rsidRDefault="005A07D4" w:rsidP="005A07D4">
      <w:pPr>
        <w:tabs>
          <w:tab w:val="left" w:pos="9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Improvements we know are needed but have not yet been addressed:</w:t>
      </w:r>
    </w:p>
    <w:p w14:paraId="2270F73B" w14:textId="6E962970" w:rsidR="002C69FF" w:rsidRDefault="00B745AB" w:rsidP="34A01CB0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34A01CB0">
        <w:rPr>
          <w:rFonts w:ascii="Arial" w:hAnsi="Arial" w:cs="Arial"/>
          <w:sz w:val="24"/>
          <w:szCs w:val="24"/>
        </w:rPr>
        <w:t>The module is 9</w:t>
      </w:r>
      <w:r w:rsidR="061C6E35" w:rsidRPr="34A01CB0">
        <w:rPr>
          <w:rFonts w:ascii="Arial" w:hAnsi="Arial" w:cs="Arial"/>
          <w:sz w:val="24"/>
          <w:szCs w:val="24"/>
        </w:rPr>
        <w:t>5</w:t>
      </w:r>
      <w:r w:rsidRPr="34A01CB0">
        <w:rPr>
          <w:rFonts w:ascii="Arial" w:hAnsi="Arial" w:cs="Arial"/>
          <w:sz w:val="24"/>
          <w:szCs w:val="24"/>
        </w:rPr>
        <w:t>% complete, there are a few things our legal counsel needs to check in terms of the particular wording of a couple of clauses</w:t>
      </w:r>
      <w:r w:rsidR="00C1051E" w:rsidRPr="34A01CB0">
        <w:rPr>
          <w:rFonts w:ascii="Arial" w:hAnsi="Arial" w:cs="Arial"/>
          <w:sz w:val="24"/>
          <w:szCs w:val="24"/>
        </w:rPr>
        <w:t>.</w:t>
      </w:r>
    </w:p>
    <w:p w14:paraId="4152C5D4" w14:textId="77777777" w:rsidR="00D9068E" w:rsidRDefault="00D9068E" w:rsidP="007B7719">
      <w:pPr>
        <w:pStyle w:val="ListParagraph"/>
        <w:spacing w:after="320"/>
        <w:ind w:left="714"/>
        <w:rPr>
          <w:rFonts w:ascii="Arial" w:hAnsi="Arial" w:cs="Arial"/>
          <w:sz w:val="24"/>
          <w:szCs w:val="24"/>
        </w:rPr>
      </w:pPr>
    </w:p>
    <w:p w14:paraId="4391B316" w14:textId="5BC9EDDC" w:rsidR="00C7558B" w:rsidRPr="00AA7EDC" w:rsidRDefault="00C1051E" w:rsidP="00AA7EDC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34A01CB0">
        <w:rPr>
          <w:rFonts w:ascii="Arial" w:hAnsi="Arial" w:cs="Arial"/>
          <w:sz w:val="24"/>
          <w:szCs w:val="24"/>
        </w:rPr>
        <w:t>There is also the caveat that some changes may be needed once we review the whole agreement end-to-end</w:t>
      </w:r>
      <w:r w:rsidR="00585D6A" w:rsidRPr="34A01CB0">
        <w:rPr>
          <w:rFonts w:ascii="Arial" w:hAnsi="Arial" w:cs="Arial"/>
          <w:sz w:val="24"/>
          <w:szCs w:val="24"/>
        </w:rPr>
        <w:t xml:space="preserve"> in Q1 2026.</w:t>
      </w:r>
    </w:p>
    <w:p w14:paraId="30FBB669" w14:textId="77777777" w:rsidR="00C7558B" w:rsidRDefault="00C7558B" w:rsidP="00097042">
      <w:pPr>
        <w:pStyle w:val="ListParagraph"/>
        <w:spacing w:after="320"/>
        <w:ind w:left="714"/>
        <w:rPr>
          <w:rFonts w:ascii="Arial" w:hAnsi="Arial" w:cs="Arial"/>
          <w:sz w:val="24"/>
          <w:szCs w:val="24"/>
        </w:rPr>
      </w:pPr>
    </w:p>
    <w:p w14:paraId="0C97AF8E" w14:textId="70E58A68" w:rsidR="4D0672D4" w:rsidRDefault="4D0672D4" w:rsidP="34A01CB0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34A01CB0">
        <w:rPr>
          <w:rFonts w:ascii="Arial" w:hAnsi="Arial" w:cs="Arial"/>
          <w:sz w:val="24"/>
          <w:szCs w:val="24"/>
        </w:rPr>
        <w:t>Definitions and guidance need to be finalised.</w:t>
      </w:r>
    </w:p>
    <w:sectPr w:rsidR="4D0672D4" w:rsidSect="00F13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365"/>
    <w:multiLevelType w:val="hybridMultilevel"/>
    <w:tmpl w:val="923232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124EA"/>
    <w:multiLevelType w:val="hybridMultilevel"/>
    <w:tmpl w:val="C8ECA7CA"/>
    <w:lvl w:ilvl="0" w:tplc="5F165D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03"/>
    <w:multiLevelType w:val="hybridMultilevel"/>
    <w:tmpl w:val="0B4E0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A5676"/>
    <w:multiLevelType w:val="hybridMultilevel"/>
    <w:tmpl w:val="51965074"/>
    <w:lvl w:ilvl="0" w:tplc="FDF07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E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547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E21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EF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8D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CF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6F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6D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A731F"/>
    <w:multiLevelType w:val="hybridMultilevel"/>
    <w:tmpl w:val="8004A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385F"/>
    <w:multiLevelType w:val="hybridMultilevel"/>
    <w:tmpl w:val="A2CAADD2"/>
    <w:lvl w:ilvl="0" w:tplc="F3300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82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CF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BAA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B66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AB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8D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0D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A5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373AA7"/>
    <w:multiLevelType w:val="hybridMultilevel"/>
    <w:tmpl w:val="C3228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E7786"/>
    <w:multiLevelType w:val="hybridMultilevel"/>
    <w:tmpl w:val="8D02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364EA"/>
    <w:multiLevelType w:val="hybridMultilevel"/>
    <w:tmpl w:val="3F506748"/>
    <w:lvl w:ilvl="0" w:tplc="B50C2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AC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60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0F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A3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D29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462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AC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4E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74060752">
    <w:abstractNumId w:val="6"/>
  </w:num>
  <w:num w:numId="2" w16cid:durableId="1477723945">
    <w:abstractNumId w:val="5"/>
  </w:num>
  <w:num w:numId="3" w16cid:durableId="1702053607">
    <w:abstractNumId w:val="7"/>
  </w:num>
  <w:num w:numId="4" w16cid:durableId="1768161787">
    <w:abstractNumId w:val="4"/>
  </w:num>
  <w:num w:numId="5" w16cid:durableId="1997680786">
    <w:abstractNumId w:val="8"/>
  </w:num>
  <w:num w:numId="6" w16cid:durableId="710418343">
    <w:abstractNumId w:val="2"/>
  </w:num>
  <w:num w:numId="7" w16cid:durableId="795756825">
    <w:abstractNumId w:val="0"/>
  </w:num>
  <w:num w:numId="8" w16cid:durableId="832377381">
    <w:abstractNumId w:val="3"/>
  </w:num>
  <w:num w:numId="9" w16cid:durableId="844826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49"/>
    <w:rsid w:val="0000121D"/>
    <w:rsid w:val="00006A89"/>
    <w:rsid w:val="000207D6"/>
    <w:rsid w:val="00037241"/>
    <w:rsid w:val="00042B41"/>
    <w:rsid w:val="0007554B"/>
    <w:rsid w:val="00084C0F"/>
    <w:rsid w:val="00096FB8"/>
    <w:rsid w:val="00097042"/>
    <w:rsid w:val="000A0C14"/>
    <w:rsid w:val="000C6505"/>
    <w:rsid w:val="00135525"/>
    <w:rsid w:val="00140C96"/>
    <w:rsid w:val="00146949"/>
    <w:rsid w:val="00171D91"/>
    <w:rsid w:val="00183BA3"/>
    <w:rsid w:val="00191C54"/>
    <w:rsid w:val="001A6665"/>
    <w:rsid w:val="001B058C"/>
    <w:rsid w:val="001B5301"/>
    <w:rsid w:val="001C46BB"/>
    <w:rsid w:val="001E31BC"/>
    <w:rsid w:val="00217314"/>
    <w:rsid w:val="00265F98"/>
    <w:rsid w:val="00267DA1"/>
    <w:rsid w:val="002C2AAD"/>
    <w:rsid w:val="002C69FF"/>
    <w:rsid w:val="002E65D1"/>
    <w:rsid w:val="00346F59"/>
    <w:rsid w:val="003575DA"/>
    <w:rsid w:val="003A142C"/>
    <w:rsid w:val="003B5EA8"/>
    <w:rsid w:val="003D7903"/>
    <w:rsid w:val="003F0150"/>
    <w:rsid w:val="00400C75"/>
    <w:rsid w:val="0040315E"/>
    <w:rsid w:val="00477DC6"/>
    <w:rsid w:val="004978F6"/>
    <w:rsid w:val="004A1C61"/>
    <w:rsid w:val="004B1BE1"/>
    <w:rsid w:val="004F13B0"/>
    <w:rsid w:val="004F6C6C"/>
    <w:rsid w:val="00534588"/>
    <w:rsid w:val="00562E9D"/>
    <w:rsid w:val="00585D6A"/>
    <w:rsid w:val="005A07D4"/>
    <w:rsid w:val="005B7A0E"/>
    <w:rsid w:val="005D695C"/>
    <w:rsid w:val="005F0528"/>
    <w:rsid w:val="00615631"/>
    <w:rsid w:val="0063593B"/>
    <w:rsid w:val="006953E9"/>
    <w:rsid w:val="006B1A63"/>
    <w:rsid w:val="006C4466"/>
    <w:rsid w:val="0071581B"/>
    <w:rsid w:val="00731CA7"/>
    <w:rsid w:val="0074117E"/>
    <w:rsid w:val="00760DCA"/>
    <w:rsid w:val="0078457A"/>
    <w:rsid w:val="007B7719"/>
    <w:rsid w:val="007D6BD5"/>
    <w:rsid w:val="007D75AE"/>
    <w:rsid w:val="007E0C6D"/>
    <w:rsid w:val="008176E7"/>
    <w:rsid w:val="00872289"/>
    <w:rsid w:val="008E2263"/>
    <w:rsid w:val="008E637B"/>
    <w:rsid w:val="008E7B33"/>
    <w:rsid w:val="008F62B1"/>
    <w:rsid w:val="00906DA6"/>
    <w:rsid w:val="00914D50"/>
    <w:rsid w:val="009351D5"/>
    <w:rsid w:val="00936260"/>
    <w:rsid w:val="0099790A"/>
    <w:rsid w:val="00997ABA"/>
    <w:rsid w:val="009C742C"/>
    <w:rsid w:val="009D7C8F"/>
    <w:rsid w:val="009E0D63"/>
    <w:rsid w:val="009E280A"/>
    <w:rsid w:val="009E2C10"/>
    <w:rsid w:val="009E3496"/>
    <w:rsid w:val="009F479B"/>
    <w:rsid w:val="00A40D39"/>
    <w:rsid w:val="00A47B54"/>
    <w:rsid w:val="00A524D4"/>
    <w:rsid w:val="00A545C3"/>
    <w:rsid w:val="00A5537D"/>
    <w:rsid w:val="00A74D65"/>
    <w:rsid w:val="00AA7EDC"/>
    <w:rsid w:val="00AB2B85"/>
    <w:rsid w:val="00AD05F3"/>
    <w:rsid w:val="00B04016"/>
    <w:rsid w:val="00B1581F"/>
    <w:rsid w:val="00B71CC0"/>
    <w:rsid w:val="00B72C28"/>
    <w:rsid w:val="00B744AC"/>
    <w:rsid w:val="00B745AB"/>
    <w:rsid w:val="00BC3BB7"/>
    <w:rsid w:val="00C1051E"/>
    <w:rsid w:val="00C31D5A"/>
    <w:rsid w:val="00C7558B"/>
    <w:rsid w:val="00C97548"/>
    <w:rsid w:val="00CA5C37"/>
    <w:rsid w:val="00CB4C56"/>
    <w:rsid w:val="00CD3F6B"/>
    <w:rsid w:val="00D07867"/>
    <w:rsid w:val="00D260C8"/>
    <w:rsid w:val="00D444D5"/>
    <w:rsid w:val="00D9068E"/>
    <w:rsid w:val="00D91594"/>
    <w:rsid w:val="00DA673B"/>
    <w:rsid w:val="00DB268F"/>
    <w:rsid w:val="00DE269C"/>
    <w:rsid w:val="00DE7B8D"/>
    <w:rsid w:val="00E13ABA"/>
    <w:rsid w:val="00E40207"/>
    <w:rsid w:val="00E5655A"/>
    <w:rsid w:val="00F02FF8"/>
    <w:rsid w:val="00F13403"/>
    <w:rsid w:val="00F167C0"/>
    <w:rsid w:val="00F177EF"/>
    <w:rsid w:val="00F979A4"/>
    <w:rsid w:val="02CCE6AC"/>
    <w:rsid w:val="03126EC5"/>
    <w:rsid w:val="061C6E35"/>
    <w:rsid w:val="12B964BB"/>
    <w:rsid w:val="1A6A23F2"/>
    <w:rsid w:val="1D128B00"/>
    <w:rsid w:val="20765D2E"/>
    <w:rsid w:val="31457F51"/>
    <w:rsid w:val="32A10AA6"/>
    <w:rsid w:val="34A01CB0"/>
    <w:rsid w:val="34E4E6D8"/>
    <w:rsid w:val="3D50B6AC"/>
    <w:rsid w:val="45A9D729"/>
    <w:rsid w:val="462F22A5"/>
    <w:rsid w:val="4D0672D4"/>
    <w:rsid w:val="60C6EBDF"/>
    <w:rsid w:val="6B5E47A3"/>
    <w:rsid w:val="72017315"/>
    <w:rsid w:val="725BF181"/>
    <w:rsid w:val="74D787C5"/>
    <w:rsid w:val="76ECBAB2"/>
    <w:rsid w:val="7ACBF190"/>
    <w:rsid w:val="7DF7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A07D"/>
  <w15:chartTrackingRefBased/>
  <w15:docId w15:val="{E4DB0393-B2C5-4E7D-9DA1-1403F5B8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9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9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AE1591518474992CCABE93F3E12DA" ma:contentTypeVersion="16" ma:contentTypeDescription="Create a new document." ma:contentTypeScope="" ma:versionID="1b0828a1d159eb1060547100834e28db">
  <xsd:schema xmlns:xsd="http://www.w3.org/2001/XMLSchema" xmlns:xs="http://www.w3.org/2001/XMLSchema" xmlns:p="http://schemas.microsoft.com/office/2006/metadata/properties" xmlns:ns2="a5e57fd1-0c0a-472d-8327-db4812840e88" xmlns:ns3="b78bf32b-46fd-4ea8-a798-be7c09e45cbe" targetNamespace="http://schemas.microsoft.com/office/2006/metadata/properties" ma:root="true" ma:fieldsID="9521c6a1860668a0c42fb84f73091ee8" ns2:_="" ns3:_="">
    <xsd:import namespace="a5e57fd1-0c0a-472d-8327-db4812840e88"/>
    <xsd:import namespace="b78bf32b-46fd-4ea8-a798-be7c09e45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7fd1-0c0a-472d-8327-db481284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f32b-46fd-4ea8-a798-be7c09e45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d1d199-3bdd-404d-9b02-5a81725503fa}" ma:internalName="TaxCatchAll" ma:showField="CatchAllData" ma:web="b78bf32b-46fd-4ea8-a798-be7c09e45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57fd1-0c0a-472d-8327-db4812840e88">
      <Terms xmlns="http://schemas.microsoft.com/office/infopath/2007/PartnerControls"/>
    </lcf76f155ced4ddcb4097134ff3c332f>
    <TaxCatchAll xmlns="b78bf32b-46fd-4ea8-a798-be7c09e45cbe" xsi:nil="true"/>
  </documentManagement>
</p:properties>
</file>

<file path=customXml/itemProps1.xml><?xml version="1.0" encoding="utf-8"?>
<ds:datastoreItem xmlns:ds="http://schemas.openxmlformats.org/officeDocument/2006/customXml" ds:itemID="{9F4CFD26-A398-45CC-A8C7-088831578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482F2-90AA-4AA4-BDF1-5491722A1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7fd1-0c0a-472d-8327-db4812840e88"/>
    <ds:schemaRef ds:uri="b78bf32b-46fd-4ea8-a798-be7c09e45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7E785-9639-41BB-9F89-D5F7613F2EEC}">
  <ds:schemaRefs>
    <ds:schemaRef ds:uri="http://schemas.microsoft.com/office/2006/metadata/properties"/>
    <ds:schemaRef ds:uri="http://schemas.microsoft.com/office/infopath/2007/PartnerControls"/>
    <ds:schemaRef ds:uri="a5e57fd1-0c0a-472d-8327-db4812840e88"/>
    <ds:schemaRef ds:uri="b78bf32b-46fd-4ea8-a798-be7c09e45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1249</Characters>
  <Application>Microsoft Office Word</Application>
  <DocSecurity>0</DocSecurity>
  <Lines>42</Lines>
  <Paragraphs>17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Wise</dc:creator>
  <cp:keywords/>
  <dc:description/>
  <cp:lastModifiedBy>Matthew Logue</cp:lastModifiedBy>
  <cp:revision>87</cp:revision>
  <dcterms:created xsi:type="dcterms:W3CDTF">2024-08-12T11:04:00Z</dcterms:created>
  <dcterms:modified xsi:type="dcterms:W3CDTF">2026-06-03T15:19:00Z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0x010100377AE1591518474992CCABE93F3E12DA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