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3605" w14:textId="7917CBC1" w:rsidR="000207D6" w:rsidRDefault="000207D6" w:rsidP="000C6505">
      <w:pPr>
        <w:jc w:val="center"/>
      </w:pPr>
    </w:p>
    <w:p w14:paraId="3C8D935D" w14:textId="77777777" w:rsidR="000C6505" w:rsidRDefault="000C6505" w:rsidP="000C6505">
      <w:pPr>
        <w:jc w:val="center"/>
      </w:pPr>
    </w:p>
    <w:p w14:paraId="2B9059DC" w14:textId="2EC97AAB" w:rsidR="000C6505" w:rsidRDefault="00906DA6" w:rsidP="00906DA6">
      <w:r>
        <w:rPr>
          <w:noProof/>
        </w:rPr>
        <w:drawing>
          <wp:inline distT="0" distB="0" distL="0" distR="0" wp14:anchorId="2F7DDB82" wp14:editId="11CE5710">
            <wp:extent cx="1041400" cy="490220"/>
            <wp:effectExtent l="0" t="0" r="6350" b="5080"/>
            <wp:docPr id="1" name="image1.png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ACBF781-726F-4992-A3E7-39767BDB30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text on i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187" cy="4943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02FF8">
        <w:tab/>
      </w:r>
      <w:r w:rsidR="00F02FF8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F02FF8">
        <w:tab/>
      </w:r>
      <w:r w:rsidR="00F02FF8">
        <w:tab/>
      </w:r>
      <w:r w:rsidR="00F02FF8">
        <w:tab/>
      </w:r>
      <w:r w:rsidR="00F02FF8">
        <w:tab/>
      </w:r>
      <w:r w:rsidR="60C6EBDF">
        <w:rPr>
          <w:noProof/>
        </w:rPr>
        <w:drawing>
          <wp:anchor distT="0" distB="0" distL="114300" distR="114300" simplePos="0" relativeHeight="251658240" behindDoc="0" locked="0" layoutInCell="1" allowOverlap="1" wp14:anchorId="78EAFC12" wp14:editId="6E962AA3">
            <wp:simplePos x="0" y="0"/>
            <wp:positionH relativeFrom="column">
              <wp:posOffset>4115435</wp:posOffset>
            </wp:positionH>
            <wp:positionV relativeFrom="paragraph">
              <wp:posOffset>118745</wp:posOffset>
            </wp:positionV>
            <wp:extent cx="2142000" cy="399600"/>
            <wp:effectExtent l="0" t="0" r="0" b="635"/>
            <wp:wrapNone/>
            <wp:docPr id="1217006428" name="drawing" descr="A red letters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404EED-064E-452A-AAEC-8E4E282DF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0916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FF8">
        <w:tab/>
      </w:r>
      <w:r w:rsidR="00F02FF8">
        <w:tab/>
      </w:r>
    </w:p>
    <w:p w14:paraId="5160D385" w14:textId="77777777" w:rsidR="00F13403" w:rsidRDefault="00F13403" w:rsidP="000C6505">
      <w:pPr>
        <w:jc w:val="center"/>
      </w:pPr>
    </w:p>
    <w:p w14:paraId="216F8398" w14:textId="77777777" w:rsidR="00F13403" w:rsidRDefault="00F13403" w:rsidP="000C6505">
      <w:pPr>
        <w:jc w:val="center"/>
      </w:pPr>
    </w:p>
    <w:p w14:paraId="07229CEC" w14:textId="77777777" w:rsidR="00F13403" w:rsidRDefault="00F13403" w:rsidP="000C6505">
      <w:pPr>
        <w:jc w:val="center"/>
      </w:pPr>
    </w:p>
    <w:p w14:paraId="714AE1C4" w14:textId="77777777" w:rsidR="000C6505" w:rsidRDefault="000C6505" w:rsidP="000C6505">
      <w:pPr>
        <w:jc w:val="center"/>
      </w:pPr>
    </w:p>
    <w:p w14:paraId="1648B1BD" w14:textId="34A3B7ED" w:rsidR="00A545C3" w:rsidRDefault="5109BB0C" w:rsidP="00A545C3">
      <w:pPr>
        <w:jc w:val="center"/>
        <w:rPr>
          <w:rFonts w:ascii="Arial" w:hAnsi="Arial" w:cs="Arial"/>
          <w:sz w:val="56"/>
          <w:szCs w:val="56"/>
        </w:rPr>
      </w:pPr>
      <w:r w:rsidRPr="1C9919BC">
        <w:rPr>
          <w:rFonts w:ascii="Arial" w:hAnsi="Arial" w:cs="Arial"/>
          <w:sz w:val="56"/>
          <w:szCs w:val="56"/>
        </w:rPr>
        <w:t>A Guide to Reviewing</w:t>
      </w:r>
      <w:r w:rsidR="6D2A5DE8" w:rsidRPr="1C9919BC">
        <w:rPr>
          <w:rFonts w:ascii="Arial" w:hAnsi="Arial" w:cs="Arial"/>
          <w:sz w:val="56"/>
          <w:szCs w:val="56"/>
        </w:rPr>
        <w:t xml:space="preserve"> </w:t>
      </w:r>
      <w:r w:rsidRPr="1C9919BC">
        <w:rPr>
          <w:rFonts w:ascii="Arial" w:hAnsi="Arial" w:cs="Arial"/>
          <w:sz w:val="56"/>
          <w:szCs w:val="56"/>
        </w:rPr>
        <w:t>M</w:t>
      </w:r>
      <w:r w:rsidR="006D5CA6">
        <w:rPr>
          <w:rFonts w:ascii="Arial" w:hAnsi="Arial" w:cs="Arial"/>
          <w:sz w:val="56"/>
          <w:szCs w:val="56"/>
        </w:rPr>
        <w:t>3</w:t>
      </w:r>
    </w:p>
    <w:p w14:paraId="79EC25F1" w14:textId="2C58D93F" w:rsidR="009E0D63" w:rsidRDefault="006D5CA6" w:rsidP="1C9919BC">
      <w:pPr>
        <w:jc w:val="center"/>
      </w:pPr>
      <w:r>
        <w:rPr>
          <w:rFonts w:ascii="Arial" w:hAnsi="Arial" w:cs="Arial"/>
          <w:sz w:val="56"/>
          <w:szCs w:val="56"/>
        </w:rPr>
        <w:t>Amendments</w:t>
      </w:r>
      <w:r w:rsidR="00FB64FD">
        <w:rPr>
          <w:rFonts w:ascii="Arial" w:hAnsi="Arial" w:cs="Arial"/>
          <w:sz w:val="56"/>
          <w:szCs w:val="56"/>
        </w:rPr>
        <w:t xml:space="preserve"> to this Agreement</w:t>
      </w:r>
    </w:p>
    <w:p w14:paraId="7340EEAB" w14:textId="723E935A" w:rsidR="00936260" w:rsidRDefault="00936260" w:rsidP="009E0D63">
      <w:pPr>
        <w:jc w:val="center"/>
        <w:rPr>
          <w:rFonts w:ascii="Arial" w:hAnsi="Arial" w:cs="Arial"/>
          <w:noProof/>
          <w:sz w:val="56"/>
          <w:szCs w:val="56"/>
        </w:rPr>
      </w:pPr>
    </w:p>
    <w:p w14:paraId="758E1856" w14:textId="16633AE9" w:rsidR="009351D5" w:rsidRDefault="5BE52C41" w:rsidP="34A01CB0">
      <w:pPr>
        <w:jc w:val="center"/>
      </w:pPr>
      <w:r>
        <w:rPr>
          <w:noProof/>
        </w:rPr>
        <w:drawing>
          <wp:inline distT="0" distB="0" distL="0" distR="0" wp14:anchorId="2837C459" wp14:editId="47ED4B58">
            <wp:extent cx="6560014" cy="4591050"/>
            <wp:effectExtent l="0" t="0" r="0" b="0"/>
            <wp:docPr id="1261261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6111" name="draw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014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823A" w14:textId="24753FC7" w:rsidR="00936260" w:rsidRDefault="00936260" w:rsidP="009D7C8F">
      <w:pPr>
        <w:rPr>
          <w:rFonts w:ascii="Arial" w:hAnsi="Arial" w:cs="Arial"/>
          <w:sz w:val="56"/>
          <w:szCs w:val="56"/>
        </w:rPr>
      </w:pPr>
    </w:p>
    <w:p w14:paraId="66729859" w14:textId="2B922F4B" w:rsidR="34A01CB0" w:rsidRDefault="34A01CB0" w:rsidP="34A01CB0">
      <w:pPr>
        <w:rPr>
          <w:rFonts w:ascii="Arial" w:hAnsi="Arial" w:cs="Arial"/>
          <w:b/>
          <w:bCs/>
          <w:sz w:val="24"/>
          <w:szCs w:val="24"/>
        </w:rPr>
      </w:pPr>
    </w:p>
    <w:p w14:paraId="4B9B6450" w14:textId="7986D4D8" w:rsidR="34A01CB0" w:rsidRDefault="34A01CB0" w:rsidP="34A01CB0">
      <w:pPr>
        <w:rPr>
          <w:rFonts w:ascii="Arial" w:hAnsi="Arial" w:cs="Arial"/>
          <w:b/>
          <w:bCs/>
          <w:sz w:val="24"/>
          <w:szCs w:val="24"/>
        </w:rPr>
      </w:pPr>
    </w:p>
    <w:p w14:paraId="506065A7" w14:textId="06F741D5" w:rsidR="00F167C0" w:rsidRPr="00883904" w:rsidRDefault="00F167C0" w:rsidP="34A01CB0">
      <w:pPr>
        <w:rPr>
          <w:rFonts w:ascii="Arial" w:hAnsi="Arial" w:cs="Arial"/>
          <w:b/>
          <w:bCs/>
          <w:sz w:val="24"/>
          <w:szCs w:val="24"/>
        </w:rPr>
      </w:pPr>
      <w:r w:rsidRPr="34A01CB0">
        <w:rPr>
          <w:rFonts w:ascii="Arial" w:hAnsi="Arial" w:cs="Arial"/>
          <w:b/>
          <w:bCs/>
          <w:sz w:val="24"/>
          <w:szCs w:val="24"/>
        </w:rPr>
        <w:t>Key features:</w:t>
      </w:r>
    </w:p>
    <w:p w14:paraId="76F3C18B" w14:textId="32065588" w:rsidR="004A1C61" w:rsidRPr="004A1C61" w:rsidRDefault="003B2436" w:rsidP="009E3496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module was originally planned to </w:t>
      </w:r>
      <w:r w:rsidR="00462517">
        <w:rPr>
          <w:rFonts w:ascii="Arial" w:hAnsi="Arial" w:cs="Arial"/>
          <w:sz w:val="24"/>
          <w:szCs w:val="24"/>
        </w:rPr>
        <w:t>cov</w:t>
      </w:r>
      <w:r>
        <w:rPr>
          <w:rFonts w:ascii="Arial" w:hAnsi="Arial" w:cs="Arial"/>
          <w:sz w:val="24"/>
          <w:szCs w:val="24"/>
        </w:rPr>
        <w:t>e</w:t>
      </w:r>
      <w:r w:rsidR="0046251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7B331B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Grant and Deleg</w:t>
      </w:r>
      <w:r w:rsidR="006D5CA6">
        <w:rPr>
          <w:rFonts w:ascii="Arial" w:hAnsi="Arial" w:cs="Arial"/>
          <w:sz w:val="24"/>
          <w:szCs w:val="24"/>
        </w:rPr>
        <w:t>ation of Authority</w:t>
      </w:r>
      <w:r w:rsidR="007B331B">
        <w:rPr>
          <w:rFonts w:ascii="Arial" w:hAnsi="Arial" w:cs="Arial"/>
          <w:sz w:val="24"/>
          <w:szCs w:val="24"/>
        </w:rPr>
        <w:t>’</w:t>
      </w:r>
      <w:r w:rsidR="00462517">
        <w:rPr>
          <w:rFonts w:ascii="Arial" w:hAnsi="Arial" w:cs="Arial"/>
          <w:sz w:val="24"/>
          <w:szCs w:val="24"/>
        </w:rPr>
        <w:t xml:space="preserve">, </w:t>
      </w:r>
      <w:r w:rsidR="00A91198">
        <w:rPr>
          <w:rFonts w:ascii="Arial" w:hAnsi="Arial" w:cs="Arial"/>
          <w:sz w:val="24"/>
          <w:szCs w:val="24"/>
        </w:rPr>
        <w:t xml:space="preserve">as an overview </w:t>
      </w:r>
      <w:r w:rsidR="007B331B">
        <w:rPr>
          <w:rFonts w:ascii="Arial" w:hAnsi="Arial" w:cs="Arial"/>
          <w:sz w:val="24"/>
          <w:szCs w:val="24"/>
        </w:rPr>
        <w:t xml:space="preserve">of the regulated activities the Coverholder is authorised to undertake </w:t>
      </w:r>
      <w:r w:rsidR="00462517">
        <w:rPr>
          <w:rFonts w:ascii="Arial" w:hAnsi="Arial" w:cs="Arial"/>
          <w:sz w:val="24"/>
          <w:szCs w:val="24"/>
        </w:rPr>
        <w:t xml:space="preserve">but </w:t>
      </w:r>
      <w:r w:rsidR="007B331B">
        <w:rPr>
          <w:rFonts w:ascii="Arial" w:hAnsi="Arial" w:cs="Arial"/>
          <w:sz w:val="24"/>
          <w:szCs w:val="24"/>
        </w:rPr>
        <w:t xml:space="preserve">the DAWG concluded it was duplicative and that </w:t>
      </w:r>
      <w:r w:rsidR="000D3C4F">
        <w:rPr>
          <w:rFonts w:ascii="Arial" w:hAnsi="Arial" w:cs="Arial"/>
          <w:sz w:val="24"/>
          <w:szCs w:val="24"/>
        </w:rPr>
        <w:t>M5, M7, M8, M9</w:t>
      </w:r>
      <w:r w:rsidR="000F66AA">
        <w:rPr>
          <w:rFonts w:ascii="Arial" w:hAnsi="Arial" w:cs="Arial"/>
          <w:sz w:val="24"/>
          <w:szCs w:val="24"/>
        </w:rPr>
        <w:t xml:space="preserve"> and M11 adequately dealt with the more detailed scope of authority in the relevant areas. Therefore</w:t>
      </w:r>
      <w:r w:rsidR="00167304">
        <w:rPr>
          <w:rFonts w:ascii="Arial" w:hAnsi="Arial" w:cs="Arial"/>
          <w:sz w:val="24"/>
          <w:szCs w:val="24"/>
        </w:rPr>
        <w:t>,</w:t>
      </w:r>
      <w:r w:rsidR="000F66AA">
        <w:rPr>
          <w:rFonts w:ascii="Arial" w:hAnsi="Arial" w:cs="Arial"/>
          <w:sz w:val="24"/>
          <w:szCs w:val="24"/>
        </w:rPr>
        <w:t xml:space="preserve"> the module has been repurposed </w:t>
      </w:r>
      <w:r w:rsidR="00462517">
        <w:rPr>
          <w:rFonts w:ascii="Arial" w:hAnsi="Arial" w:cs="Arial"/>
          <w:sz w:val="24"/>
          <w:szCs w:val="24"/>
        </w:rPr>
        <w:t xml:space="preserve">to </w:t>
      </w:r>
      <w:r w:rsidR="000F66AA">
        <w:rPr>
          <w:rFonts w:ascii="Arial" w:hAnsi="Arial" w:cs="Arial"/>
          <w:sz w:val="24"/>
          <w:szCs w:val="24"/>
        </w:rPr>
        <w:t xml:space="preserve">deal with </w:t>
      </w:r>
      <w:r w:rsidR="00462517">
        <w:rPr>
          <w:rFonts w:ascii="Arial" w:hAnsi="Arial" w:cs="Arial"/>
          <w:sz w:val="24"/>
          <w:szCs w:val="24"/>
        </w:rPr>
        <w:t>Amendments to t</w:t>
      </w:r>
      <w:r w:rsidR="000F66AA">
        <w:rPr>
          <w:rFonts w:ascii="Arial" w:hAnsi="Arial" w:cs="Arial"/>
          <w:sz w:val="24"/>
          <w:szCs w:val="24"/>
        </w:rPr>
        <w:t>he</w:t>
      </w:r>
      <w:r w:rsidR="00462517">
        <w:rPr>
          <w:rFonts w:ascii="Arial" w:hAnsi="Arial" w:cs="Arial"/>
          <w:sz w:val="24"/>
          <w:szCs w:val="24"/>
        </w:rPr>
        <w:t xml:space="preserve"> Agreement.</w:t>
      </w:r>
    </w:p>
    <w:p w14:paraId="399F8B77" w14:textId="7B7D5C01" w:rsidR="005A07D4" w:rsidRDefault="00F120C4" w:rsidP="2639CB7A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ability to amend the Lead Insurer or Coveholder Legal Entity </w:t>
      </w:r>
      <w:r w:rsidR="00CB1194">
        <w:rPr>
          <w:rFonts w:ascii="Arial" w:hAnsi="Arial" w:cs="Arial"/>
          <w:sz w:val="24"/>
          <w:szCs w:val="24"/>
        </w:rPr>
        <w:t xml:space="preserve">as changes of this nature would constitute a new </w:t>
      </w:r>
      <w:r w:rsidR="00C42100">
        <w:rPr>
          <w:rFonts w:ascii="Arial" w:hAnsi="Arial" w:cs="Arial"/>
          <w:sz w:val="24"/>
          <w:szCs w:val="24"/>
        </w:rPr>
        <w:t>A</w:t>
      </w:r>
      <w:r w:rsidR="00CB1194">
        <w:rPr>
          <w:rFonts w:ascii="Arial" w:hAnsi="Arial" w:cs="Arial"/>
          <w:sz w:val="24"/>
          <w:szCs w:val="24"/>
        </w:rPr>
        <w:t>greement.</w:t>
      </w:r>
    </w:p>
    <w:p w14:paraId="45FB7493" w14:textId="74181876" w:rsidR="00CB1194" w:rsidRDefault="00C42100" w:rsidP="2639CB7A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amendment to the Agreement will result in a new version of the Ag</w:t>
      </w:r>
      <w:r w:rsidR="003C44CF">
        <w:rPr>
          <w:rFonts w:ascii="Arial" w:hAnsi="Arial" w:cs="Arial"/>
          <w:sz w:val="24"/>
          <w:szCs w:val="24"/>
        </w:rPr>
        <w:t xml:space="preserve">reement, with previous versions being archived but a full audit trail of amendments being available in the </w:t>
      </w:r>
      <w:r w:rsidR="00CF02C0">
        <w:rPr>
          <w:rFonts w:ascii="Arial" w:hAnsi="Arial" w:cs="Arial"/>
          <w:sz w:val="24"/>
          <w:szCs w:val="24"/>
        </w:rPr>
        <w:t>‘Agreement Amendments Summary’.</w:t>
      </w:r>
    </w:p>
    <w:p w14:paraId="00B9F951" w14:textId="77777777" w:rsidR="00C61C86" w:rsidRDefault="00C61C86" w:rsidP="00C61C86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‘Insurer Agreement Amendments Roles’ have been introduced to simplify the electronic agreement process and follows can pick the most appropriate role for them:</w:t>
      </w:r>
    </w:p>
    <w:p w14:paraId="799E503F" w14:textId="77777777" w:rsidR="00C61C86" w:rsidRDefault="00C61C86" w:rsidP="00C61C86">
      <w:pPr>
        <w:pStyle w:val="ListParagraph"/>
        <w:numPr>
          <w:ilvl w:val="0"/>
          <w:numId w:val="10"/>
        </w:numPr>
        <w:spacing w:after="3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Agreement Amendments</w:t>
      </w:r>
    </w:p>
    <w:p w14:paraId="49796717" w14:textId="77777777" w:rsidR="00C61C86" w:rsidRDefault="00C61C86" w:rsidP="00C61C86">
      <w:pPr>
        <w:pStyle w:val="ListParagraph"/>
        <w:numPr>
          <w:ilvl w:val="0"/>
          <w:numId w:val="10"/>
        </w:numPr>
        <w:spacing w:after="3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Agreement Amendments Only</w:t>
      </w:r>
    </w:p>
    <w:p w14:paraId="2EAC5FD2" w14:textId="653118BF" w:rsidR="00C61C86" w:rsidRPr="00C61C86" w:rsidRDefault="00C61C86" w:rsidP="00C61C86">
      <w:pPr>
        <w:pStyle w:val="ListParagraph"/>
        <w:numPr>
          <w:ilvl w:val="0"/>
          <w:numId w:val="10"/>
        </w:numPr>
        <w:spacing w:after="3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Capacity Follow – No Agreement Amendments</w:t>
      </w:r>
    </w:p>
    <w:p w14:paraId="3F76A0AB" w14:textId="54E738AF" w:rsidR="00C61C86" w:rsidRDefault="003F0251" w:rsidP="2639CB7A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Material Amendments </w:t>
      </w:r>
      <w:r w:rsidR="001355E4">
        <w:rPr>
          <w:rFonts w:ascii="Arial" w:hAnsi="Arial" w:cs="Arial"/>
          <w:sz w:val="24"/>
          <w:szCs w:val="24"/>
        </w:rPr>
        <w:t xml:space="preserve">are defined in the Agreement and any ‘digital object’ </w:t>
      </w:r>
      <w:r w:rsidR="00C57B2A">
        <w:rPr>
          <w:rFonts w:ascii="Arial" w:hAnsi="Arial" w:cs="Arial"/>
          <w:sz w:val="24"/>
          <w:szCs w:val="24"/>
        </w:rPr>
        <w:t>defined as material will be flagged as such so that the applicable Insurers are included in the</w:t>
      </w:r>
      <w:r w:rsidR="00C61C86">
        <w:rPr>
          <w:rFonts w:ascii="Arial" w:hAnsi="Arial" w:cs="Arial"/>
          <w:sz w:val="24"/>
          <w:szCs w:val="24"/>
        </w:rPr>
        <w:t xml:space="preserve"> electronic</w:t>
      </w:r>
      <w:r w:rsidR="00C57B2A">
        <w:rPr>
          <w:rFonts w:ascii="Arial" w:hAnsi="Arial" w:cs="Arial"/>
          <w:sz w:val="24"/>
          <w:szCs w:val="24"/>
        </w:rPr>
        <w:t xml:space="preserve"> </w:t>
      </w:r>
      <w:r w:rsidR="00C61C86">
        <w:rPr>
          <w:rFonts w:ascii="Arial" w:hAnsi="Arial" w:cs="Arial"/>
          <w:sz w:val="24"/>
          <w:szCs w:val="24"/>
        </w:rPr>
        <w:t>A</w:t>
      </w:r>
      <w:r w:rsidR="00C57B2A">
        <w:rPr>
          <w:rFonts w:ascii="Arial" w:hAnsi="Arial" w:cs="Arial"/>
          <w:sz w:val="24"/>
          <w:szCs w:val="24"/>
        </w:rPr>
        <w:t xml:space="preserve">greement </w:t>
      </w:r>
      <w:r w:rsidR="00C61C86">
        <w:rPr>
          <w:rFonts w:ascii="Arial" w:hAnsi="Arial" w:cs="Arial"/>
          <w:sz w:val="24"/>
          <w:szCs w:val="24"/>
        </w:rPr>
        <w:t>amendment</w:t>
      </w:r>
      <w:r w:rsidR="00133D25">
        <w:rPr>
          <w:rFonts w:ascii="Arial" w:hAnsi="Arial" w:cs="Arial"/>
          <w:sz w:val="24"/>
          <w:szCs w:val="24"/>
        </w:rPr>
        <w:t>s</w:t>
      </w:r>
      <w:r w:rsidR="00C61C86">
        <w:rPr>
          <w:rFonts w:ascii="Arial" w:hAnsi="Arial" w:cs="Arial"/>
          <w:sz w:val="24"/>
          <w:szCs w:val="24"/>
        </w:rPr>
        <w:t xml:space="preserve"> process</w:t>
      </w:r>
      <w:r w:rsidR="00D80EEE">
        <w:rPr>
          <w:rFonts w:ascii="Arial" w:hAnsi="Arial" w:cs="Arial"/>
          <w:sz w:val="24"/>
          <w:szCs w:val="24"/>
        </w:rPr>
        <w:t xml:space="preserve"> if those objects are ever amended.</w:t>
      </w:r>
    </w:p>
    <w:p w14:paraId="036927A9" w14:textId="3483134F" w:rsidR="003F0251" w:rsidRDefault="009518ED" w:rsidP="2639CB7A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Acceptance of any</w:t>
      </w:r>
      <w:r w:rsidR="00E9721D">
        <w:rPr>
          <w:rFonts w:ascii="Arial" w:hAnsi="Arial" w:cs="Arial"/>
          <w:sz w:val="24"/>
          <w:szCs w:val="24"/>
        </w:rPr>
        <w:t xml:space="preserve"> amended terms/a new Agreement version is recorded in M2 Agreement Status.</w:t>
      </w:r>
    </w:p>
    <w:p w14:paraId="7EB2F24C" w14:textId="77777777" w:rsidR="00167304" w:rsidRDefault="00A213F4" w:rsidP="2639CB7A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provisions for ‘Exceptional Amendments’ which</w:t>
      </w:r>
      <w:r w:rsidR="00D93FBD">
        <w:rPr>
          <w:rFonts w:ascii="Arial" w:hAnsi="Arial" w:cs="Arial"/>
          <w:sz w:val="24"/>
          <w:szCs w:val="24"/>
        </w:rPr>
        <w:t xml:space="preserve"> due to unforeseen circumstances prevent the regular amendment process from operating.</w:t>
      </w:r>
    </w:p>
    <w:p w14:paraId="5288BF0A" w14:textId="2184CCD6" w:rsidR="00A213F4" w:rsidRDefault="00A213F4" w:rsidP="00167304">
      <w:pPr>
        <w:pStyle w:val="ListParagraph"/>
        <w:spacing w:after="320"/>
        <w:ind w:left="71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0E410C5" w14:textId="5481435F" w:rsidR="005A07D4" w:rsidRDefault="005A07D4" w:rsidP="005A07D4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Improvements we know are needed but have not yet been addressed:</w:t>
      </w:r>
    </w:p>
    <w:p w14:paraId="2270F73B" w14:textId="6E962970" w:rsidR="002C69FF" w:rsidRDefault="00B745AB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34A01CB0">
        <w:rPr>
          <w:rFonts w:ascii="Arial" w:hAnsi="Arial" w:cs="Arial"/>
          <w:sz w:val="24"/>
          <w:szCs w:val="24"/>
        </w:rPr>
        <w:t>The module is 9</w:t>
      </w:r>
      <w:r w:rsidR="061C6E35" w:rsidRPr="34A01CB0">
        <w:rPr>
          <w:rFonts w:ascii="Arial" w:hAnsi="Arial" w:cs="Arial"/>
          <w:sz w:val="24"/>
          <w:szCs w:val="24"/>
        </w:rPr>
        <w:t>5</w:t>
      </w:r>
      <w:r w:rsidRPr="34A01CB0">
        <w:rPr>
          <w:rFonts w:ascii="Arial" w:hAnsi="Arial" w:cs="Arial"/>
          <w:sz w:val="24"/>
          <w:szCs w:val="24"/>
        </w:rPr>
        <w:t>% complete, there are a few things our legal counsel needs to check in terms of the particular wording of a couple of clauses</w:t>
      </w:r>
      <w:r w:rsidR="00C1051E" w:rsidRPr="34A01CB0">
        <w:rPr>
          <w:rFonts w:ascii="Arial" w:hAnsi="Arial" w:cs="Arial"/>
          <w:sz w:val="24"/>
          <w:szCs w:val="24"/>
        </w:rPr>
        <w:t>.</w:t>
      </w:r>
    </w:p>
    <w:p w14:paraId="4152C5D4" w14:textId="77777777" w:rsidR="00D9068E" w:rsidRDefault="00D9068E" w:rsidP="007B7719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14:paraId="4391B316" w14:textId="2A6AB0F3" w:rsidR="00C7558B" w:rsidRPr="00AA7EDC" w:rsidRDefault="2DF9C61E" w:rsidP="00AA7EDC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1C9919BC">
        <w:rPr>
          <w:rFonts w:ascii="Arial" w:hAnsi="Arial" w:cs="Arial"/>
          <w:sz w:val="24"/>
          <w:szCs w:val="24"/>
        </w:rPr>
        <w:t>There is also the caveat that some changes may be needed once we review the whole agreement end-to-end</w:t>
      </w:r>
      <w:r w:rsidR="56F4C0F8" w:rsidRPr="1C9919BC">
        <w:rPr>
          <w:rFonts w:ascii="Arial" w:hAnsi="Arial" w:cs="Arial"/>
          <w:sz w:val="24"/>
          <w:szCs w:val="24"/>
        </w:rPr>
        <w:t xml:space="preserve"> in Q</w:t>
      </w:r>
      <w:r w:rsidR="2626E258" w:rsidRPr="1C9919BC">
        <w:rPr>
          <w:rFonts w:ascii="Arial" w:hAnsi="Arial" w:cs="Arial"/>
          <w:sz w:val="24"/>
          <w:szCs w:val="24"/>
        </w:rPr>
        <w:t>2</w:t>
      </w:r>
      <w:r w:rsidR="56F4C0F8" w:rsidRPr="1C9919BC">
        <w:rPr>
          <w:rFonts w:ascii="Arial" w:hAnsi="Arial" w:cs="Arial"/>
          <w:sz w:val="24"/>
          <w:szCs w:val="24"/>
        </w:rPr>
        <w:t xml:space="preserve"> 2026.</w:t>
      </w:r>
    </w:p>
    <w:p w14:paraId="30FBB669" w14:textId="77777777" w:rsidR="00C7558B" w:rsidRDefault="00C7558B" w:rsidP="00097042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14:paraId="0C97AF8E" w14:textId="70E58A68" w:rsidR="4D0672D4" w:rsidRDefault="4D0672D4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34A01CB0">
        <w:rPr>
          <w:rFonts w:ascii="Arial" w:hAnsi="Arial" w:cs="Arial"/>
          <w:sz w:val="24"/>
          <w:szCs w:val="24"/>
        </w:rPr>
        <w:t>Definitions and guidance need to be finalised.</w:t>
      </w:r>
    </w:p>
    <w:sectPr w:rsidR="4D0672D4" w:rsidSect="00F13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365"/>
    <w:multiLevelType w:val="hybridMultilevel"/>
    <w:tmpl w:val="923232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124EA"/>
    <w:multiLevelType w:val="hybridMultilevel"/>
    <w:tmpl w:val="C8ECA7CA"/>
    <w:lvl w:ilvl="0" w:tplc="5F165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03"/>
    <w:multiLevelType w:val="hybridMultilevel"/>
    <w:tmpl w:val="0B4E0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A5676"/>
    <w:multiLevelType w:val="hybridMultilevel"/>
    <w:tmpl w:val="51965074"/>
    <w:lvl w:ilvl="0" w:tplc="FDF07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E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47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21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EF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8D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CF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F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6D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A731F"/>
    <w:multiLevelType w:val="hybridMultilevel"/>
    <w:tmpl w:val="8004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385F"/>
    <w:multiLevelType w:val="hybridMultilevel"/>
    <w:tmpl w:val="A2CAADD2"/>
    <w:lvl w:ilvl="0" w:tplc="F3300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82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CF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AA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66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AB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0D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A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373AA7"/>
    <w:multiLevelType w:val="hybridMultilevel"/>
    <w:tmpl w:val="C322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C041C"/>
    <w:multiLevelType w:val="hybridMultilevel"/>
    <w:tmpl w:val="73A4C21C"/>
    <w:lvl w:ilvl="0" w:tplc="E6C01422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0E7786"/>
    <w:multiLevelType w:val="hybridMultilevel"/>
    <w:tmpl w:val="8D02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364EA"/>
    <w:multiLevelType w:val="hybridMultilevel"/>
    <w:tmpl w:val="3F506748"/>
    <w:lvl w:ilvl="0" w:tplc="B50C2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AC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60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0F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A3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29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62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4E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4060752">
    <w:abstractNumId w:val="6"/>
  </w:num>
  <w:num w:numId="2" w16cid:durableId="1477723945">
    <w:abstractNumId w:val="5"/>
  </w:num>
  <w:num w:numId="3" w16cid:durableId="1702053607">
    <w:abstractNumId w:val="8"/>
  </w:num>
  <w:num w:numId="4" w16cid:durableId="1768161787">
    <w:abstractNumId w:val="4"/>
  </w:num>
  <w:num w:numId="5" w16cid:durableId="1997680786">
    <w:abstractNumId w:val="9"/>
  </w:num>
  <w:num w:numId="6" w16cid:durableId="710418343">
    <w:abstractNumId w:val="2"/>
  </w:num>
  <w:num w:numId="7" w16cid:durableId="795756825">
    <w:abstractNumId w:val="0"/>
  </w:num>
  <w:num w:numId="8" w16cid:durableId="832377381">
    <w:abstractNumId w:val="3"/>
  </w:num>
  <w:num w:numId="9" w16cid:durableId="844826458">
    <w:abstractNumId w:val="1"/>
  </w:num>
  <w:num w:numId="10" w16cid:durableId="343438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49"/>
    <w:rsid w:val="0000121D"/>
    <w:rsid w:val="00006A89"/>
    <w:rsid w:val="000207D6"/>
    <w:rsid w:val="00037241"/>
    <w:rsid w:val="00042B41"/>
    <w:rsid w:val="000654E4"/>
    <w:rsid w:val="0007554B"/>
    <w:rsid w:val="00084C0F"/>
    <w:rsid w:val="00096FB8"/>
    <w:rsid w:val="00097042"/>
    <w:rsid w:val="000A0C14"/>
    <w:rsid w:val="000C6505"/>
    <w:rsid w:val="000D3C4F"/>
    <w:rsid w:val="000F66AA"/>
    <w:rsid w:val="00133D25"/>
    <w:rsid w:val="00135525"/>
    <w:rsid w:val="001355E4"/>
    <w:rsid w:val="00140C96"/>
    <w:rsid w:val="00146949"/>
    <w:rsid w:val="00167304"/>
    <w:rsid w:val="00171D91"/>
    <w:rsid w:val="00183BA3"/>
    <w:rsid w:val="00191C54"/>
    <w:rsid w:val="001A6665"/>
    <w:rsid w:val="001B058C"/>
    <w:rsid w:val="001B5301"/>
    <w:rsid w:val="001C46BB"/>
    <w:rsid w:val="001E31BC"/>
    <w:rsid w:val="00217314"/>
    <w:rsid w:val="00265F98"/>
    <w:rsid w:val="00267DA1"/>
    <w:rsid w:val="002C2AAD"/>
    <w:rsid w:val="002C69FF"/>
    <w:rsid w:val="002E65D1"/>
    <w:rsid w:val="00346F59"/>
    <w:rsid w:val="003575DA"/>
    <w:rsid w:val="00394EB4"/>
    <w:rsid w:val="003A142C"/>
    <w:rsid w:val="003B2436"/>
    <w:rsid w:val="003B5EA8"/>
    <w:rsid w:val="003C44CF"/>
    <w:rsid w:val="003D7903"/>
    <w:rsid w:val="003F0150"/>
    <w:rsid w:val="003F0251"/>
    <w:rsid w:val="0040315E"/>
    <w:rsid w:val="00462517"/>
    <w:rsid w:val="00477DC6"/>
    <w:rsid w:val="004978F6"/>
    <w:rsid w:val="004A1C61"/>
    <w:rsid w:val="004B1BE1"/>
    <w:rsid w:val="004F13B0"/>
    <w:rsid w:val="004F6354"/>
    <w:rsid w:val="004F6C6C"/>
    <w:rsid w:val="00534588"/>
    <w:rsid w:val="00562E9D"/>
    <w:rsid w:val="00585D6A"/>
    <w:rsid w:val="005A07D4"/>
    <w:rsid w:val="005B7A0E"/>
    <w:rsid w:val="005D695C"/>
    <w:rsid w:val="005F0528"/>
    <w:rsid w:val="00615631"/>
    <w:rsid w:val="0063593B"/>
    <w:rsid w:val="006650EF"/>
    <w:rsid w:val="00675245"/>
    <w:rsid w:val="006953E9"/>
    <w:rsid w:val="006A1308"/>
    <w:rsid w:val="006B1A63"/>
    <w:rsid w:val="006C4466"/>
    <w:rsid w:val="006D5CA6"/>
    <w:rsid w:val="0071581B"/>
    <w:rsid w:val="00731CA7"/>
    <w:rsid w:val="0074117E"/>
    <w:rsid w:val="00760DCA"/>
    <w:rsid w:val="0078457A"/>
    <w:rsid w:val="007B331B"/>
    <w:rsid w:val="007B7719"/>
    <w:rsid w:val="007D6BD5"/>
    <w:rsid w:val="007D75AE"/>
    <w:rsid w:val="007E0C6D"/>
    <w:rsid w:val="007F190C"/>
    <w:rsid w:val="008176E7"/>
    <w:rsid w:val="00872289"/>
    <w:rsid w:val="008C3BDB"/>
    <w:rsid w:val="008E2263"/>
    <w:rsid w:val="008E637B"/>
    <w:rsid w:val="008E7B33"/>
    <w:rsid w:val="008F62B1"/>
    <w:rsid w:val="00906DA6"/>
    <w:rsid w:val="00914D50"/>
    <w:rsid w:val="009351D5"/>
    <w:rsid w:val="00936260"/>
    <w:rsid w:val="009518ED"/>
    <w:rsid w:val="00993DA7"/>
    <w:rsid w:val="0099790A"/>
    <w:rsid w:val="00997ABA"/>
    <w:rsid w:val="009C742C"/>
    <w:rsid w:val="009D7C8F"/>
    <w:rsid w:val="009E0D63"/>
    <w:rsid w:val="009E280A"/>
    <w:rsid w:val="009E2C10"/>
    <w:rsid w:val="009E3496"/>
    <w:rsid w:val="009F479B"/>
    <w:rsid w:val="00A213F4"/>
    <w:rsid w:val="00A40D39"/>
    <w:rsid w:val="00A47B54"/>
    <w:rsid w:val="00A524D4"/>
    <w:rsid w:val="00A545C3"/>
    <w:rsid w:val="00A5537D"/>
    <w:rsid w:val="00A74D65"/>
    <w:rsid w:val="00A91198"/>
    <w:rsid w:val="00AA7EDC"/>
    <w:rsid w:val="00AB2B85"/>
    <w:rsid w:val="00AD05F3"/>
    <w:rsid w:val="00B04016"/>
    <w:rsid w:val="00B1581F"/>
    <w:rsid w:val="00B71CC0"/>
    <w:rsid w:val="00B72C28"/>
    <w:rsid w:val="00B744AC"/>
    <w:rsid w:val="00B745AB"/>
    <w:rsid w:val="00BC3BB7"/>
    <w:rsid w:val="00BF5C21"/>
    <w:rsid w:val="00C1051E"/>
    <w:rsid w:val="00C31D5A"/>
    <w:rsid w:val="00C42100"/>
    <w:rsid w:val="00C57B2A"/>
    <w:rsid w:val="00C61C86"/>
    <w:rsid w:val="00C7558B"/>
    <w:rsid w:val="00C97548"/>
    <w:rsid w:val="00CA5C37"/>
    <w:rsid w:val="00CB1194"/>
    <w:rsid w:val="00CB4C56"/>
    <w:rsid w:val="00CD3F6B"/>
    <w:rsid w:val="00CF02C0"/>
    <w:rsid w:val="00CF7511"/>
    <w:rsid w:val="00D07867"/>
    <w:rsid w:val="00D260C8"/>
    <w:rsid w:val="00D444D5"/>
    <w:rsid w:val="00D80EEE"/>
    <w:rsid w:val="00D9068E"/>
    <w:rsid w:val="00D91594"/>
    <w:rsid w:val="00D93FBD"/>
    <w:rsid w:val="00DA673B"/>
    <w:rsid w:val="00DB268F"/>
    <w:rsid w:val="00DE269C"/>
    <w:rsid w:val="00DE7B8D"/>
    <w:rsid w:val="00E13ABA"/>
    <w:rsid w:val="00E40207"/>
    <w:rsid w:val="00E5655A"/>
    <w:rsid w:val="00E9721D"/>
    <w:rsid w:val="00F02FF8"/>
    <w:rsid w:val="00F120C4"/>
    <w:rsid w:val="00F13403"/>
    <w:rsid w:val="00F167C0"/>
    <w:rsid w:val="00F177EF"/>
    <w:rsid w:val="00F979A4"/>
    <w:rsid w:val="00FB64FD"/>
    <w:rsid w:val="02CCE6AC"/>
    <w:rsid w:val="03126EC5"/>
    <w:rsid w:val="05327698"/>
    <w:rsid w:val="061C6E35"/>
    <w:rsid w:val="0D1F4635"/>
    <w:rsid w:val="12B964BB"/>
    <w:rsid w:val="15574A7B"/>
    <w:rsid w:val="1A6A23F2"/>
    <w:rsid w:val="1AA6D9AA"/>
    <w:rsid w:val="1C9919BC"/>
    <w:rsid w:val="1D128B00"/>
    <w:rsid w:val="2013FD1E"/>
    <w:rsid w:val="20765D2E"/>
    <w:rsid w:val="23B138D3"/>
    <w:rsid w:val="24A570F5"/>
    <w:rsid w:val="2626E258"/>
    <w:rsid w:val="2639CB7A"/>
    <w:rsid w:val="2A465F01"/>
    <w:rsid w:val="2AD4F02C"/>
    <w:rsid w:val="2DF9C61E"/>
    <w:rsid w:val="32A10AA6"/>
    <w:rsid w:val="32D9FED9"/>
    <w:rsid w:val="34A01CB0"/>
    <w:rsid w:val="34E4E6D8"/>
    <w:rsid w:val="36A3DE6C"/>
    <w:rsid w:val="3801F91E"/>
    <w:rsid w:val="385110FF"/>
    <w:rsid w:val="3B72A3C7"/>
    <w:rsid w:val="3B832787"/>
    <w:rsid w:val="3C03C52B"/>
    <w:rsid w:val="3D50B6AC"/>
    <w:rsid w:val="41702869"/>
    <w:rsid w:val="42F75699"/>
    <w:rsid w:val="45A9D729"/>
    <w:rsid w:val="462F22A5"/>
    <w:rsid w:val="47E5FE6D"/>
    <w:rsid w:val="48C710EB"/>
    <w:rsid w:val="4D0672D4"/>
    <w:rsid w:val="5109BB0C"/>
    <w:rsid w:val="51FC6B9D"/>
    <w:rsid w:val="56F4C0F8"/>
    <w:rsid w:val="58A991A3"/>
    <w:rsid w:val="5A692F9D"/>
    <w:rsid w:val="5BE52C41"/>
    <w:rsid w:val="5FBA1101"/>
    <w:rsid w:val="60C6EBDF"/>
    <w:rsid w:val="6232A194"/>
    <w:rsid w:val="666DA7F1"/>
    <w:rsid w:val="6B5E47A3"/>
    <w:rsid w:val="6D2A5DE8"/>
    <w:rsid w:val="6D50CD30"/>
    <w:rsid w:val="725BF181"/>
    <w:rsid w:val="74D787C5"/>
    <w:rsid w:val="76ECBAB2"/>
    <w:rsid w:val="7ACBF190"/>
    <w:rsid w:val="7C9E1226"/>
    <w:rsid w:val="7CE619E6"/>
    <w:rsid w:val="7DF77C1B"/>
    <w:rsid w:val="7EA3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A07D"/>
  <w15:chartTrackingRefBased/>
  <w15:docId w15:val="{E4DB0393-B2C5-4E7D-9DA1-1403F5B8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AE1591518474992CCABE93F3E12DA" ma:contentTypeVersion="16" ma:contentTypeDescription="Create a new document." ma:contentTypeScope="" ma:versionID="1b0828a1d159eb1060547100834e28db">
  <xsd:schema xmlns:xsd="http://www.w3.org/2001/XMLSchema" xmlns:xs="http://www.w3.org/2001/XMLSchema" xmlns:p="http://schemas.microsoft.com/office/2006/metadata/properties" xmlns:ns2="a5e57fd1-0c0a-472d-8327-db4812840e88" xmlns:ns3="b78bf32b-46fd-4ea8-a798-be7c09e45cbe" targetNamespace="http://schemas.microsoft.com/office/2006/metadata/properties" ma:root="true" ma:fieldsID="9521c6a1860668a0c42fb84f73091ee8" ns2:_="" ns3:_="">
    <xsd:import namespace="a5e57fd1-0c0a-472d-8327-db4812840e88"/>
    <xsd:import namespace="b78bf32b-46fd-4ea8-a798-be7c09e45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7fd1-0c0a-472d-8327-db481284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f32b-46fd-4ea8-a798-be7c09e45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d1d199-3bdd-404d-9b02-5a81725503fa}" ma:internalName="TaxCatchAll" ma:showField="CatchAllData" ma:web="b78bf32b-46fd-4ea8-a798-be7c09e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57fd1-0c0a-472d-8327-db4812840e88">
      <Terms xmlns="http://schemas.microsoft.com/office/infopath/2007/PartnerControls"/>
    </lcf76f155ced4ddcb4097134ff3c332f>
    <TaxCatchAll xmlns="b78bf32b-46fd-4ea8-a798-be7c09e45c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482F2-90AA-4AA4-BDF1-5491722A1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7fd1-0c0a-472d-8327-db4812840e88"/>
    <ds:schemaRef ds:uri="b78bf32b-46fd-4ea8-a798-be7c09e45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7E785-9639-41BB-9F89-D5F7613F2EEC}">
  <ds:schemaRefs>
    <ds:schemaRef ds:uri="http://schemas.microsoft.com/office/2006/metadata/properties"/>
    <ds:schemaRef ds:uri="http://schemas.microsoft.com/office/infopath/2007/PartnerControls"/>
    <ds:schemaRef ds:uri="a5e57fd1-0c0a-472d-8327-db4812840e88"/>
    <ds:schemaRef ds:uri="b78bf32b-46fd-4ea8-a798-be7c09e45cbe"/>
  </ds:schemaRefs>
</ds:datastoreItem>
</file>

<file path=customXml/itemProps3.xml><?xml version="1.0" encoding="utf-8"?>
<ds:datastoreItem xmlns:ds="http://schemas.openxmlformats.org/officeDocument/2006/customXml" ds:itemID="{9F4CFD26-A398-45CC-A8C7-088831578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1635</Characters>
  <Application>Microsoft Office Word</Application>
  <DocSecurity>0</DocSecurity>
  <Lines>47</Lines>
  <Paragraphs>17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Wise</dc:creator>
  <cp:keywords/>
  <dc:description/>
  <cp:lastModifiedBy>Matthew Logue</cp:lastModifiedBy>
  <cp:revision>121</cp:revision>
  <dcterms:created xsi:type="dcterms:W3CDTF">2024-08-12T11:04:00Z</dcterms:created>
  <dcterms:modified xsi:type="dcterms:W3CDTF">2026-06-03T15:21:00Z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0x010100377AE1591518474992CCABE93F3E12DA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