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Plus Jakarta Sans" w:cs="Plus Jakarta Sans" w:eastAsia="Plus Jakarta Sans" w:hAnsi="Plus Jakarta Sans"/>
          <w:b w:val="1"/>
          <w:bCs w:val="1"/>
        </w:rPr>
      </w:pPr>
      <w:bookmarkStart w:colFirst="0" w:colLast="0" w:name="_qx9bgrh4imp9" w:id="0"/>
      <w:bookmarkEnd w:id="0"/>
      <w:r w:rsidDel="00000000" w:rsidR="00000000" w:rsidRPr="00000000">
        <w:rPr>
          <w:rFonts w:ascii="Plus Jakarta Sans" w:cs="Plus Jakarta Sans" w:eastAsia="Plus Jakarta Sans" w:hAnsi="Plus Jakarta Sans"/>
          <w:b w:val="1"/>
          <w:bCs w:val="1"/>
          <w:rtl w:val="0"/>
        </w:rPr>
        <w:t xml:space="preserve">Court Form Modernization Checklist</w:t>
      </w:r>
    </w:p>
    <w:p w:rsidR="00000000" w:rsidDel="00000000" w:rsidP="00000000" w:rsidRDefault="00000000" w:rsidRPr="00000000" w14:paraId="00000002">
      <w:pPr>
        <w:pStyle w:val="Subtitle"/>
        <w:rPr>
          <w:rFonts w:ascii="Plus Jakarta Sans" w:cs="Plus Jakarta Sans" w:eastAsia="Plus Jakarta Sans" w:hAnsi="Plus Jakarta Sans"/>
          <w:color w:val="434343"/>
          <w:sz w:val="28"/>
          <w:szCs w:val="28"/>
        </w:rPr>
      </w:pPr>
      <w:bookmarkStart w:colFirst="0" w:colLast="0" w:name="_tt8h7fpizpig" w:id="1"/>
      <w:bookmarkEnd w:id="1"/>
      <w:r w:rsidDel="00000000" w:rsidR="00000000" w:rsidRPr="00000000">
        <w:rPr>
          <w:rFonts w:ascii="Plus Jakarta Sans" w:cs="Plus Jakarta Sans" w:eastAsia="Plus Jakarta Sans" w:hAnsi="Plus Jakarta Sans"/>
          <w:color w:val="434343"/>
          <w:sz w:val="28"/>
          <w:szCs w:val="28"/>
          <w:rtl w:val="0"/>
        </w:rPr>
        <w:t xml:space="preserve">This checklist is designed to support courts at different starting points as they work to make court forms easier to use for self-represented litigants and people who use assistive technologies, including screen readers.Not every court will complete every step.The goal is not perfection, rather, intentional progress.</w:t>
      </w:r>
    </w:p>
    <w:p w:rsidR="00000000" w:rsidDel="00000000" w:rsidP="00000000" w:rsidRDefault="00000000" w:rsidRPr="00000000" w14:paraId="00000003">
      <w:pPr>
        <w:pStyle w:val="Heading1"/>
        <w:rPr>
          <w:rFonts w:ascii="Plus Jakarta Sans" w:cs="Plus Jakarta Sans" w:eastAsia="Plus Jakarta Sans" w:hAnsi="Plus Jakarta Sans"/>
        </w:rPr>
      </w:pPr>
      <w:bookmarkStart w:colFirst="0" w:colLast="0" w:name="_21gbiuqz2afz" w:id="2"/>
      <w:bookmarkEnd w:id="2"/>
      <w:r w:rsidDel="00000000" w:rsidR="00000000" w:rsidRPr="00000000">
        <w:rPr>
          <w:rFonts w:ascii="Plus Jakarta Sans" w:cs="Plus Jakarta Sans" w:eastAsia="Plus Jakarta Sans" w:hAnsi="Plus Jakarta Sans"/>
          <w:rtl w:val="0"/>
        </w:rPr>
        <w:t xml:space="preserve">Phase 1: Ground the Work Before Making Changes</w:t>
      </w:r>
    </w:p>
    <w:p w:rsidR="00000000" w:rsidDel="00000000" w:rsidP="00000000" w:rsidRDefault="00000000" w:rsidRPr="00000000" w14:paraId="00000004">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Before redesigning or remediating any form, courts need shared clarity about what their forms are meant to do and how success will be defined. Many modernization efforts struggle because they begin with layout or wording changes before addressing more fundamental questions.A form that looks familiar but is consistently misunderstood, rejected,or inaccessible is not functioning well, regardless of how long it has been in use. This phase asks courts to slow down and make a small set of foundational decisions that will shape all later work.These decisions should be made once, documented, and revisited as needed. Skipping this phase often leads to redesign work that looks better but does not meaningfully improve outcomes for users or staff.</w:t>
      </w:r>
    </w:p>
    <w:p w:rsidR="00000000" w:rsidDel="00000000" w:rsidP="00000000" w:rsidRDefault="00000000" w:rsidRPr="00000000" w14:paraId="00000005">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06">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identified the primary purpose of each form (information intake, information delivery, or procedural compliance).</w:t>
      </w:r>
    </w:p>
    <w:p w:rsidR="00000000" w:rsidDel="00000000" w:rsidP="00000000" w:rsidRDefault="00000000" w:rsidRPr="00000000" w14:paraId="00000007">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08">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identified who uses each form,including self-represented litigants, attorneys, court staff, and external agencies.</w:t>
      </w:r>
    </w:p>
    <w:p w:rsidR="00000000" w:rsidDel="00000000" w:rsidP="00000000" w:rsidRDefault="00000000" w:rsidRPr="00000000" w14:paraId="00000009">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0A">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agreed on how success will be measured for each form (accuracy of completion, ease of use, system compatibility,and accessibility).</w:t>
      </w:r>
    </w:p>
    <w:p w:rsidR="00000000" w:rsidDel="00000000" w:rsidP="00000000" w:rsidRDefault="00000000" w:rsidRPr="00000000" w14:paraId="0000000B">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0C">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explicitly decided for each form whether it should be redesigned, remediated, or replaced.</w:t>
      </w:r>
    </w:p>
    <w:p w:rsidR="00000000" w:rsidDel="00000000" w:rsidP="00000000" w:rsidRDefault="00000000" w:rsidRPr="00000000" w14:paraId="0000000D">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0E">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documented the reason for that decision.</w:t>
      </w:r>
    </w:p>
    <w:p w:rsidR="00000000" w:rsidDel="00000000" w:rsidP="00000000" w:rsidRDefault="00000000" w:rsidRPr="00000000" w14:paraId="0000000F">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10">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identified known constraints, including funding, staff capacity, approval requirements, system limitations, and accessibility obligations.</w:t>
      </w:r>
    </w:p>
    <w:p w:rsidR="00000000" w:rsidDel="00000000" w:rsidP="00000000" w:rsidRDefault="00000000" w:rsidRPr="00000000" w14:paraId="00000011">
      <w:pPr>
        <w:pStyle w:val="Heading1"/>
        <w:rPr>
          <w:rFonts w:ascii="Plus Jakarta Sans" w:cs="Plus Jakarta Sans" w:eastAsia="Plus Jakarta Sans" w:hAnsi="Plus Jakarta Sans"/>
        </w:rPr>
      </w:pPr>
      <w:bookmarkStart w:colFirst="0" w:colLast="0" w:name="_u5jtgrr1t19" w:id="3"/>
      <w:bookmarkEnd w:id="3"/>
      <w:r w:rsidDel="00000000" w:rsidR="00000000" w:rsidRPr="00000000">
        <w:rPr>
          <w:rFonts w:ascii="Plus Jakarta Sans" w:cs="Plus Jakarta Sans" w:eastAsia="Plus Jakarta Sans" w:hAnsi="Plus Jakarta Sans"/>
          <w:rtl w:val="0"/>
        </w:rPr>
        <w:t xml:space="preserve">Phase 2: Organizational Readiness and Governance</w:t>
      </w:r>
    </w:p>
    <w:p w:rsidR="00000000" w:rsidDel="00000000" w:rsidP="00000000" w:rsidRDefault="00000000" w:rsidRPr="00000000" w14:paraId="00000012">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13">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Form modernization is as much an organizational effort as a design one. Courts differ in how authority is distributed, but lack of clarity about ownership and approvals consistently slows progress.This phase focuses on establishing who is responsible for moving the work forward and how decisions will be made. Without clear answers to these questions, teams often spend time revisiting the same issues or waiting for approvals that were never clearly defined. Governance decisions made early help protect staff time, reduce rework, and prevent redesign efforts from stalling midway through implementation.</w:t>
      </w:r>
    </w:p>
    <w:p w:rsidR="00000000" w:rsidDel="00000000" w:rsidP="00000000" w:rsidRDefault="00000000" w:rsidRPr="00000000" w14:paraId="00000014">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15">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identified a project lead responsible for coordination and decision-making.</w:t>
      </w:r>
    </w:p>
    <w:p w:rsidR="00000000" w:rsidDel="00000000" w:rsidP="00000000" w:rsidRDefault="00000000" w:rsidRPr="00000000" w14:paraId="00000016">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17">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confirmed the project lead's authority level.</w:t>
      </w:r>
    </w:p>
    <w:p w:rsidR="00000000" w:rsidDel="00000000" w:rsidP="00000000" w:rsidRDefault="00000000" w:rsidRPr="00000000" w14:paraId="00000018">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19">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identified who provides input versus who makes final decisions.</w:t>
      </w:r>
    </w:p>
    <w:p w:rsidR="00000000" w:rsidDel="00000000" w:rsidP="00000000" w:rsidRDefault="00000000" w:rsidRPr="00000000" w14:paraId="0000001A">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1B">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documented the approval process for content changes.</w:t>
      </w:r>
    </w:p>
    <w:p w:rsidR="00000000" w:rsidDel="00000000" w:rsidP="00000000" w:rsidRDefault="00000000" w:rsidRPr="00000000" w14:paraId="0000001C">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1D">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documented the approval process for layout or design changes.</w:t>
      </w:r>
    </w:p>
    <w:p w:rsidR="00000000" w:rsidDel="00000000" w:rsidP="00000000" w:rsidRDefault="00000000" w:rsidRPr="00000000" w14:paraId="0000001E">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1F">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documented the approval process for accessibility remediation.</w:t>
      </w:r>
    </w:p>
    <w:p w:rsidR="00000000" w:rsidDel="00000000" w:rsidP="00000000" w:rsidRDefault="00000000" w:rsidRPr="00000000" w14:paraId="00000020">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 </w:t>
      </w:r>
    </w:p>
    <w:p w:rsidR="00000000" w:rsidDel="00000000" w:rsidP="00000000" w:rsidRDefault="00000000" w:rsidRPr="00000000" w14:paraId="00000021">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22">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23">
      <w:pPr>
        <w:rPr>
          <w:rFonts w:ascii="Plus Jakarta Sans" w:cs="Plus Jakarta Sans" w:eastAsia="Plus Jakarta Sans" w:hAnsi="Plus Jakarta Sans"/>
        </w:rPr>
      </w:pPr>
      <w:r w:rsidDel="00000000" w:rsidR="00000000" w:rsidRPr="00000000">
        <w:br w:type="page"/>
      </w:r>
      <w:r w:rsidDel="00000000" w:rsidR="00000000" w:rsidRPr="00000000">
        <w:rPr>
          <w:rtl w:val="0"/>
        </w:rPr>
      </w:r>
    </w:p>
    <w:p w:rsidR="00000000" w:rsidDel="00000000" w:rsidP="00000000" w:rsidRDefault="00000000" w:rsidRPr="00000000" w14:paraId="00000024">
      <w:pPr>
        <w:pStyle w:val="Heading1"/>
        <w:rPr>
          <w:rFonts w:ascii="Plus Jakarta Sans" w:cs="Plus Jakarta Sans" w:eastAsia="Plus Jakarta Sans" w:hAnsi="Plus Jakarta Sans"/>
        </w:rPr>
      </w:pPr>
      <w:bookmarkStart w:colFirst="0" w:colLast="0" w:name="_5hhwzfj33x14" w:id="4"/>
      <w:bookmarkEnd w:id="4"/>
      <w:r w:rsidDel="00000000" w:rsidR="00000000" w:rsidRPr="00000000">
        <w:rPr>
          <w:rFonts w:ascii="Plus Jakarta Sans" w:cs="Plus Jakarta Sans" w:eastAsia="Plus Jakarta Sans" w:hAnsi="Plus Jakarta Sans"/>
          <w:rtl w:val="0"/>
        </w:rPr>
        <w:t xml:space="preserve">Phase 3: Form Selection and Prioritization</w:t>
      </w:r>
    </w:p>
    <w:p w:rsidR="00000000" w:rsidDel="00000000" w:rsidP="00000000" w:rsidRDefault="00000000" w:rsidRPr="00000000" w14:paraId="00000025">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26">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Most courts manage dozens or hundreds of forms and cannot update all of them at once. Prioritization helps ensure effort is focused where it will have the greatest impact. Some courts have access to detailed usage or rejection data.Others rely primarily on staff experience and anecdotal feedback. Both can be valid inputs when decisions are documented and applied consistently. The goal of this phase is not perfect ranking. It is a shared agreement about why certain forms are addressed first and others later.</w:t>
      </w:r>
    </w:p>
    <w:p w:rsidR="00000000" w:rsidDel="00000000" w:rsidP="00000000" w:rsidRDefault="00000000" w:rsidRPr="00000000" w14:paraId="00000027">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28">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established a consistent method for prioritizing forms.</w:t>
      </w:r>
    </w:p>
    <w:p w:rsidR="00000000" w:rsidDel="00000000" w:rsidP="00000000" w:rsidRDefault="00000000" w:rsidRPr="00000000" w14:paraId="00000029">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2A">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Our prioritization method considers at least one user-focused factor (ex: frequency of use, complexity, impact on self-represented litigants).</w:t>
      </w:r>
    </w:p>
    <w:p w:rsidR="00000000" w:rsidDel="00000000" w:rsidP="00000000" w:rsidRDefault="00000000" w:rsidRPr="00000000" w14:paraId="0000002B">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2C">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Our prioritization method considers at least one operational factor (ex: staff burden, rejection rates, technical feasibility)</w:t>
      </w:r>
    </w:p>
    <w:p w:rsidR="00000000" w:rsidDel="00000000" w:rsidP="00000000" w:rsidRDefault="00000000" w:rsidRPr="00000000" w14:paraId="0000002D">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2E">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identified a manageable initial set of forms to address.</w:t>
      </w:r>
    </w:p>
    <w:p w:rsidR="00000000" w:rsidDel="00000000" w:rsidP="00000000" w:rsidRDefault="00000000" w:rsidRPr="00000000" w14:paraId="0000002F">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 </w:t>
      </w:r>
    </w:p>
    <w:p w:rsidR="00000000" w:rsidDel="00000000" w:rsidP="00000000" w:rsidRDefault="00000000" w:rsidRPr="00000000" w14:paraId="00000030">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31">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32">
      <w:pPr>
        <w:rPr>
          <w:rFonts w:ascii="Plus Jakarta Sans" w:cs="Plus Jakarta Sans" w:eastAsia="Plus Jakarta Sans" w:hAnsi="Plus Jakarta Sans"/>
        </w:rPr>
      </w:pPr>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1"/>
        <w:rPr>
          <w:rFonts w:ascii="Plus Jakarta Sans" w:cs="Plus Jakarta Sans" w:eastAsia="Plus Jakarta Sans" w:hAnsi="Plus Jakarta Sans"/>
        </w:rPr>
      </w:pPr>
      <w:bookmarkStart w:colFirst="0" w:colLast="0" w:name="_5qfp0x96yp9t" w:id="5"/>
      <w:bookmarkEnd w:id="5"/>
      <w:r w:rsidDel="00000000" w:rsidR="00000000" w:rsidRPr="00000000">
        <w:rPr>
          <w:rFonts w:ascii="Plus Jakarta Sans" w:cs="Plus Jakarta Sans" w:eastAsia="Plus Jakarta Sans" w:hAnsi="Plus Jakarta Sans"/>
          <w:rtl w:val="0"/>
        </w:rPr>
        <w:t xml:space="preserve">Phase 4: Design and System Compatibility</w:t>
      </w:r>
    </w:p>
    <w:p w:rsidR="00000000" w:rsidDel="00000000" w:rsidP="00000000" w:rsidRDefault="00000000" w:rsidRPr="00000000" w14:paraId="00000034">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35">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Design decisions must work within the realities of court technology. Case management systems, PDF workflows, and accessibility tools all impose constraints that shape what is feasible.Courts often discover system limitations late in the process, resulting in rework or abandoned designs. Testing layouts early helps teams identify which approaches are viable and which will create downstream problems.This phase emphasizes selecting designs that can be supported overtime, even if they are not the most visually ambitious option.</w:t>
      </w:r>
    </w:p>
    <w:p w:rsidR="00000000" w:rsidDel="00000000" w:rsidP="00000000" w:rsidRDefault="00000000" w:rsidRPr="00000000" w14:paraId="00000036">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37">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confirmed which systems each form must work within.</w:t>
      </w:r>
    </w:p>
    <w:p w:rsidR="00000000" w:rsidDel="00000000" w:rsidP="00000000" w:rsidRDefault="00000000" w:rsidRPr="00000000" w14:paraId="00000038">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39">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tested at least one proposed layout against system constraints before finalizing design decisions.</w:t>
      </w:r>
    </w:p>
    <w:p w:rsidR="00000000" w:rsidDel="00000000" w:rsidP="00000000" w:rsidRDefault="00000000" w:rsidRPr="00000000" w14:paraId="0000003A">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3B">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documented any layout limitations imposed by any necessary applications or case management systems.</w:t>
      </w:r>
    </w:p>
    <w:p w:rsidR="00000000" w:rsidDel="00000000" w:rsidP="00000000" w:rsidRDefault="00000000" w:rsidRPr="00000000" w14:paraId="0000003C">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3D">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selected the most compatible layout for each form based on testing results.</w:t>
      </w:r>
    </w:p>
    <w:p w:rsidR="00000000" w:rsidDel="00000000" w:rsidP="00000000" w:rsidRDefault="00000000" w:rsidRPr="00000000" w14:paraId="0000003E">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 </w:t>
      </w:r>
    </w:p>
    <w:p w:rsidR="00000000" w:rsidDel="00000000" w:rsidP="00000000" w:rsidRDefault="00000000" w:rsidRPr="00000000" w14:paraId="0000003F">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40">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41">
      <w:pPr>
        <w:rPr>
          <w:rFonts w:ascii="Plus Jakarta Sans" w:cs="Plus Jakarta Sans" w:eastAsia="Plus Jakarta Sans" w:hAnsi="Plus Jakarta Sans"/>
        </w:rPr>
      </w:pPr>
      <w:r w:rsidDel="00000000" w:rsidR="00000000" w:rsidRPr="00000000">
        <w:br w:type="page"/>
      </w:r>
      <w:r w:rsidDel="00000000" w:rsidR="00000000" w:rsidRPr="00000000">
        <w:rPr>
          <w:rtl w:val="0"/>
        </w:rPr>
      </w:r>
    </w:p>
    <w:p w:rsidR="00000000" w:rsidDel="00000000" w:rsidP="00000000" w:rsidRDefault="00000000" w:rsidRPr="00000000" w14:paraId="00000042">
      <w:pPr>
        <w:pStyle w:val="Heading1"/>
        <w:rPr>
          <w:rFonts w:ascii="Plus Jakarta Sans" w:cs="Plus Jakarta Sans" w:eastAsia="Plus Jakarta Sans" w:hAnsi="Plus Jakarta Sans"/>
        </w:rPr>
      </w:pPr>
      <w:bookmarkStart w:colFirst="0" w:colLast="0" w:name="_5806wa24pomu" w:id="6"/>
      <w:bookmarkEnd w:id="6"/>
      <w:r w:rsidDel="00000000" w:rsidR="00000000" w:rsidRPr="00000000">
        <w:rPr>
          <w:rFonts w:ascii="Plus Jakarta Sans" w:cs="Plus Jakarta Sans" w:eastAsia="Plus Jakarta Sans" w:hAnsi="Plus Jakarta Sans"/>
          <w:rtl w:val="0"/>
        </w:rPr>
        <w:t xml:space="preserve">Phase 5: Accessibility as a Core Requirement</w:t>
      </w:r>
    </w:p>
    <w:p w:rsidR="00000000" w:rsidDel="00000000" w:rsidP="00000000" w:rsidRDefault="00000000" w:rsidRPr="00000000" w14:paraId="00000043">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Accessibility is not only about technical compliance. Many of the most meaningful accessibility improvements come from decisions about structure, content, and clarity. Clear headings, logical progression, and instructions placed at the moment they are needed support screen reader users and also reduce confusion for people unfamiliar with legal processes. This phase encourages courts to treat accessibility as a guiding principle throughout the design process,not a final remediation step.</w:t>
      </w:r>
    </w:p>
    <w:p w:rsidR="00000000" w:rsidDel="00000000" w:rsidP="00000000" w:rsidRDefault="00000000" w:rsidRPr="00000000" w14:paraId="00000044">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45">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reviewed heading structure for clarity and consistency.</w:t>
      </w:r>
    </w:p>
    <w:p w:rsidR="00000000" w:rsidDel="00000000" w:rsidP="00000000" w:rsidRDefault="00000000" w:rsidRPr="00000000" w14:paraId="00000046">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47">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confirmed that instructions appear directly next to the questions they explain.</w:t>
      </w:r>
    </w:p>
    <w:p w:rsidR="00000000" w:rsidDel="00000000" w:rsidP="00000000" w:rsidRDefault="00000000" w:rsidRPr="00000000" w14:paraId="00000048">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49">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reviewed each form for logical progression from start to finish.</w:t>
      </w:r>
    </w:p>
    <w:p w:rsidR="00000000" w:rsidDel="00000000" w:rsidP="00000000" w:rsidRDefault="00000000" w:rsidRPr="00000000" w14:paraId="0000004A">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4B">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ensured accessibility considerations informed layout decisions, not only final remediation.</w:t>
      </w:r>
    </w:p>
    <w:p w:rsidR="00000000" w:rsidDel="00000000" w:rsidP="00000000" w:rsidRDefault="00000000" w:rsidRPr="00000000" w14:paraId="0000004C">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4D">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identified which accessibility tools or methods are used for remediation.</w:t>
      </w:r>
    </w:p>
    <w:p w:rsidR="00000000" w:rsidDel="00000000" w:rsidP="00000000" w:rsidRDefault="00000000" w:rsidRPr="00000000" w14:paraId="0000004E">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4F">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confirmed that content structure issues are addressed before technical tagging.</w:t>
      </w:r>
    </w:p>
    <w:p w:rsidR="00000000" w:rsidDel="00000000" w:rsidP="00000000" w:rsidRDefault="00000000" w:rsidRPr="00000000" w14:paraId="00000050">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 </w:t>
      </w:r>
    </w:p>
    <w:p w:rsidR="00000000" w:rsidDel="00000000" w:rsidP="00000000" w:rsidRDefault="00000000" w:rsidRPr="00000000" w14:paraId="00000051">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52">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53">
      <w:pPr>
        <w:pStyle w:val="Heading1"/>
        <w:rPr>
          <w:rFonts w:ascii="Plus Jakarta Sans" w:cs="Plus Jakarta Sans" w:eastAsia="Plus Jakarta Sans" w:hAnsi="Plus Jakarta Sans"/>
        </w:rPr>
      </w:pPr>
      <w:bookmarkStart w:colFirst="0" w:colLast="0" w:name="_p5awtf3xjotn" w:id="7"/>
      <w:bookmarkEnd w:id="7"/>
      <w:r w:rsidDel="00000000" w:rsidR="00000000" w:rsidRPr="00000000">
        <w:br w:type="page"/>
      </w:r>
      <w:r w:rsidDel="00000000" w:rsidR="00000000" w:rsidRPr="00000000">
        <w:rPr>
          <w:rtl w:val="0"/>
        </w:rPr>
      </w:r>
    </w:p>
    <w:p w:rsidR="00000000" w:rsidDel="00000000" w:rsidP="00000000" w:rsidRDefault="00000000" w:rsidRPr="00000000" w14:paraId="00000054">
      <w:pPr>
        <w:pStyle w:val="Heading1"/>
        <w:rPr>
          <w:rFonts w:ascii="Plus Jakarta Sans" w:cs="Plus Jakarta Sans" w:eastAsia="Plus Jakarta Sans" w:hAnsi="Plus Jakarta Sans"/>
        </w:rPr>
      </w:pPr>
      <w:bookmarkStart w:colFirst="0" w:colLast="0" w:name="_otjsb56ia2ti" w:id="8"/>
      <w:bookmarkEnd w:id="8"/>
      <w:r w:rsidDel="00000000" w:rsidR="00000000" w:rsidRPr="00000000">
        <w:rPr>
          <w:rFonts w:ascii="Plus Jakarta Sans" w:cs="Plus Jakarta Sans" w:eastAsia="Plus Jakarta Sans" w:hAnsi="Plus Jakarta Sans"/>
          <w:rtl w:val="0"/>
        </w:rPr>
        <w:t xml:space="preserve">Phase 6: User Testing and Feedback</w:t>
      </w:r>
    </w:p>
    <w:p w:rsidR="00000000" w:rsidDel="00000000" w:rsidP="00000000" w:rsidRDefault="00000000" w:rsidRPr="00000000" w14:paraId="00000055">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56">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Courts might underestimate how differently forms are experienced by people outside the legal system. Even limited testing can reveal points of confusion that internal teams do not see. User testing does not need to be large or complex to be valuable. Conversations with a small number  of users, staff observations, or short surveys can meaningfully inform improvements. This phase focuses on listening to real users and using that feedback to make concrete changes.</w:t>
      </w:r>
    </w:p>
    <w:p w:rsidR="00000000" w:rsidDel="00000000" w:rsidP="00000000" w:rsidRDefault="00000000" w:rsidRPr="00000000" w14:paraId="00000057">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58">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gathered feedback from at least one group of people who use court forms.</w:t>
      </w:r>
    </w:p>
    <w:p w:rsidR="00000000" w:rsidDel="00000000" w:rsidP="00000000" w:rsidRDefault="00000000" w:rsidRPr="00000000" w14:paraId="00000059">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5A">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included feedback from people without legal training when possible.</w:t>
      </w:r>
    </w:p>
    <w:p w:rsidR="00000000" w:rsidDel="00000000" w:rsidP="00000000" w:rsidRDefault="00000000" w:rsidRPr="00000000" w14:paraId="0000005B">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5C">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documented usability issues identified through testing or feedback.</w:t>
      </w:r>
    </w:p>
    <w:p w:rsidR="00000000" w:rsidDel="00000000" w:rsidP="00000000" w:rsidRDefault="00000000" w:rsidRPr="00000000" w14:paraId="0000005D">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5E">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made at least one change based on user feedback.</w:t>
      </w:r>
    </w:p>
    <w:p w:rsidR="00000000" w:rsidDel="00000000" w:rsidP="00000000" w:rsidRDefault="00000000" w:rsidRPr="00000000" w14:paraId="0000005F">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60">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identified how feedback will continue to be collected after this phase.</w:t>
      </w:r>
    </w:p>
    <w:p w:rsidR="00000000" w:rsidDel="00000000" w:rsidP="00000000" w:rsidRDefault="00000000" w:rsidRPr="00000000" w14:paraId="00000061">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 </w:t>
      </w:r>
    </w:p>
    <w:p w:rsidR="00000000" w:rsidDel="00000000" w:rsidP="00000000" w:rsidRDefault="00000000" w:rsidRPr="00000000" w14:paraId="00000062">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63">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64">
      <w:pPr>
        <w:rPr>
          <w:rFonts w:ascii="Plus Jakarta Sans" w:cs="Plus Jakarta Sans" w:eastAsia="Plus Jakarta Sans" w:hAnsi="Plus Jakarta Sans"/>
        </w:rPr>
      </w:pPr>
      <w:r w:rsidDel="00000000" w:rsidR="00000000" w:rsidRPr="00000000">
        <w:br w:type="page"/>
      </w:r>
      <w:r w:rsidDel="00000000" w:rsidR="00000000" w:rsidRPr="00000000">
        <w:rPr>
          <w:rtl w:val="0"/>
        </w:rPr>
      </w:r>
    </w:p>
    <w:p w:rsidR="00000000" w:rsidDel="00000000" w:rsidP="00000000" w:rsidRDefault="00000000" w:rsidRPr="00000000" w14:paraId="00000065">
      <w:pPr>
        <w:pStyle w:val="Heading1"/>
        <w:rPr>
          <w:rFonts w:ascii="Plus Jakarta Sans" w:cs="Plus Jakarta Sans" w:eastAsia="Plus Jakarta Sans" w:hAnsi="Plus Jakarta Sans"/>
        </w:rPr>
      </w:pPr>
      <w:bookmarkStart w:colFirst="0" w:colLast="0" w:name="_250uvd1vycy5" w:id="9"/>
      <w:bookmarkEnd w:id="9"/>
      <w:r w:rsidDel="00000000" w:rsidR="00000000" w:rsidRPr="00000000">
        <w:rPr>
          <w:rFonts w:ascii="Plus Jakarta Sans" w:cs="Plus Jakarta Sans" w:eastAsia="Plus Jakarta Sans" w:hAnsi="Plus Jakarta Sans"/>
          <w:rtl w:val="0"/>
        </w:rPr>
        <w:t xml:space="preserve">Phase 7: Sustainability and Future Work</w:t>
      </w:r>
    </w:p>
    <w:p w:rsidR="00000000" w:rsidDel="00000000" w:rsidP="00000000" w:rsidRDefault="00000000" w:rsidRPr="00000000" w14:paraId="00000066">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Form modernization is ongoing work. Laws change, systems evolve, and user needs shift over time. Courts that plan for sustainability are better positioned to maintain progress without restarting from scratch.This phase focuses on building internal capacity, documenting decisions, and creating lightweight processes for future updates.</w:t>
      </w:r>
    </w:p>
    <w:p w:rsidR="00000000" w:rsidDel="00000000" w:rsidP="00000000" w:rsidRDefault="00000000" w:rsidRPr="00000000" w14:paraId="00000067">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68">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trained more than one person on form update and maintenance processes.</w:t>
      </w:r>
    </w:p>
    <w:p w:rsidR="00000000" w:rsidDel="00000000" w:rsidP="00000000" w:rsidRDefault="00000000" w:rsidRPr="00000000" w14:paraId="00000069">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6A">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documented design standards or conventions for future use.</w:t>
      </w:r>
    </w:p>
    <w:p w:rsidR="00000000" w:rsidDel="00000000" w:rsidP="00000000" w:rsidRDefault="00000000" w:rsidRPr="00000000" w14:paraId="0000006B">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6C">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identified how future forms will be prioritized for updates.</w:t>
      </w:r>
    </w:p>
    <w:p w:rsidR="00000000" w:rsidDel="00000000" w:rsidP="00000000" w:rsidRDefault="00000000" w:rsidRPr="00000000" w14:paraId="0000006D">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6E">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established a review cycle or trigger for future revisions.</w:t>
      </w:r>
    </w:p>
    <w:p w:rsidR="00000000" w:rsidDel="00000000" w:rsidP="00000000" w:rsidRDefault="00000000" w:rsidRPr="00000000" w14:paraId="0000006F">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70">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have allocated staff time for ongoing maintenance and improvement</w:t>
      </w:r>
    </w:p>
    <w:p w:rsidR="00000000" w:rsidDel="00000000" w:rsidP="00000000" w:rsidRDefault="00000000" w:rsidRPr="00000000" w14:paraId="00000071">
      <w:pPr>
        <w:pStyle w:val="Heading2"/>
        <w:rPr>
          <w:rFonts w:ascii="Plus Jakarta Sans" w:cs="Plus Jakarta Sans" w:eastAsia="Plus Jakarta Sans" w:hAnsi="Plus Jakarta Sans"/>
        </w:rPr>
      </w:pPr>
      <w:bookmarkStart w:colFirst="0" w:colLast="0" w:name="_mtiwuegfuz48" w:id="10"/>
      <w:bookmarkEnd w:id="10"/>
      <w:r w:rsidDel="00000000" w:rsidR="00000000" w:rsidRPr="00000000">
        <w:rPr>
          <w:rFonts w:ascii="Plus Jakarta Sans" w:cs="Plus Jakarta Sans" w:eastAsia="Plus Jakarta Sans" w:hAnsi="Plus Jakarta Sans"/>
          <w:rtl w:val="0"/>
        </w:rPr>
        <w:t xml:space="preserve">Final Check</w:t>
      </w:r>
    </w:p>
    <w:p w:rsidR="00000000" w:rsidDel="00000000" w:rsidP="00000000" w:rsidRDefault="00000000" w:rsidRPr="00000000" w14:paraId="00000072">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can clearly explain why each form looks the way it does.</w:t>
      </w:r>
    </w:p>
    <w:p w:rsidR="00000000" w:rsidDel="00000000" w:rsidP="00000000" w:rsidRDefault="00000000" w:rsidRPr="00000000" w14:paraId="00000073">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74">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can explain how accessibility was addressed beyond technical compliance.</w:t>
      </w:r>
    </w:p>
    <w:p w:rsidR="00000000" w:rsidDel="00000000" w:rsidP="00000000" w:rsidRDefault="00000000" w:rsidRPr="00000000" w14:paraId="00000075">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76">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We can identify the next form to address when this work is complete.</w:t>
      </w:r>
    </w:p>
    <w:p w:rsidR="00000000" w:rsidDel="00000000" w:rsidP="00000000" w:rsidRDefault="00000000" w:rsidRPr="00000000" w14:paraId="00000077">
      <w:pPr>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78">
      <w:pPr>
        <w:pStyle w:val="Heading2"/>
        <w:spacing w:after="200" w:before="0" w:line="276.0005454545455" w:lineRule="auto"/>
        <w:rPr>
          <w:rFonts w:ascii="Plus Jakarta Sans" w:cs="Plus Jakarta Sans" w:eastAsia="Plus Jakarta Sans" w:hAnsi="Plus Jakarta Sans"/>
          <w:b w:val="1"/>
          <w:bCs w:val="1"/>
          <w:sz w:val="22"/>
          <w:szCs w:val="22"/>
        </w:rPr>
      </w:pPr>
      <w:bookmarkStart w:colFirst="0" w:colLast="0" w:name="_cx2j23kjw5of" w:id="11"/>
      <w:bookmarkEnd w:id="11"/>
      <w:r w:rsidDel="00000000" w:rsidR="00000000" w:rsidRPr="00000000">
        <w:rPr>
          <w:rFonts w:ascii="Plus Jakarta Sans" w:cs="Plus Jakarta Sans" w:eastAsia="Plus Jakarta Sans" w:hAnsi="Plus Jakarta Sans"/>
          <w:b w:val="1"/>
          <w:bCs w:val="1"/>
          <w:sz w:val="22"/>
          <w:szCs w:val="22"/>
          <w:rtl w:val="0"/>
        </w:rPr>
        <w:t xml:space="preserve">A2J Tech</w:t>
      </w:r>
    </w:p>
    <w:p w:rsidR="00000000" w:rsidDel="00000000" w:rsidP="00000000" w:rsidRDefault="00000000" w:rsidRPr="00000000" w14:paraId="00000079">
      <w:pPr>
        <w:pStyle w:val="Heading2"/>
        <w:spacing w:after="200" w:before="0" w:line="276.0005454545455" w:lineRule="auto"/>
        <w:rPr>
          <w:rFonts w:ascii="Plus Jakarta Sans" w:cs="Plus Jakarta Sans" w:eastAsia="Plus Jakarta Sans" w:hAnsi="Plus Jakarta Sans"/>
          <w:sz w:val="22"/>
          <w:szCs w:val="22"/>
        </w:rPr>
      </w:pPr>
      <w:bookmarkStart w:colFirst="0" w:colLast="0" w:name="_csjbmw9rswy3" w:id="12"/>
      <w:bookmarkEnd w:id="12"/>
      <w:r w:rsidDel="00000000" w:rsidR="00000000" w:rsidRPr="00000000">
        <w:rPr>
          <w:rFonts w:ascii="Plus Jakarta Sans" w:cs="Plus Jakarta Sans" w:eastAsia="Plus Jakarta Sans" w:hAnsi="Plus Jakarta Sans"/>
          <w:sz w:val="22"/>
          <w:szCs w:val="22"/>
          <w:rtl w:val="0"/>
        </w:rPr>
        <w:t xml:space="preserve">14292 Double Dutch Cir</w:t>
        <w:br w:type="textWrapping"/>
        <w:t xml:space="preserve">Parker, Colorado 80134720-277-9755</w:t>
        <w:br w:type="textWrapping"/>
        <w:t xml:space="preserve">info@ goa2jtech.com</w:t>
      </w:r>
    </w:p>
    <w:p w:rsidR="00000000" w:rsidDel="00000000" w:rsidP="00000000" w:rsidRDefault="00000000" w:rsidRPr="00000000" w14:paraId="0000007A">
      <w:pPr>
        <w:pStyle w:val="Heading2"/>
        <w:rPr>
          <w:rFonts w:ascii="Plus Jakarta Sans" w:cs="Plus Jakarta Sans" w:eastAsia="Plus Jakarta Sans" w:hAnsi="Plus Jakarta Sans"/>
        </w:rPr>
      </w:pPr>
      <w:bookmarkStart w:colFirst="0" w:colLast="0" w:name="_cx2j23kjw5of" w:id="11"/>
      <w:bookmarkEnd w:id="11"/>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us Jakart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usJakartaSans-regular.ttf"/><Relationship Id="rId2" Type="http://schemas.openxmlformats.org/officeDocument/2006/relationships/font" Target="fonts/PlusJakartaSans-bold.ttf"/><Relationship Id="rId3" Type="http://schemas.openxmlformats.org/officeDocument/2006/relationships/font" Target="fonts/PlusJakartaSans-italic.ttf"/><Relationship Id="rId4" Type="http://schemas.openxmlformats.org/officeDocument/2006/relationships/font" Target="fonts/PlusJakarta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