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Property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Property Manager is responsible for the day-to-day management of a portfolio of residential and commercial properties, ensuring they are well maintained, compliant and meeting the needs of tenants and landlords alike. You will oversee all aspects of property management including leasing, maintenance, financial performance and tenant relationships.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Manage all aspects of an assigned property portfolio, acting as the primary point of contact for tenants and landlords.</w:t>
      </w:r>
    </w:p>
    <w:p>
      <w:pPr>
        <w:pStyle w:val="ListParagraph"/>
        <w:numPr>
          <w:ilvl w:val="0"/>
          <w:numId w:val="2"/>
        </w:numPr>
        <w:spacing w:after="60" w:before="60"/>
      </w:pPr>
      <w:r>
        <w:rPr>
          <w:rFonts w:ascii="Arial" w:cs="Arial" w:eastAsia="Arial" w:hAnsi="Arial"/>
          <w:sz w:val="22"/>
          <w:szCs w:val="22"/>
        </w:rPr>
        <w:t xml:space="preserve">Set, collect and manage rent and other charges, and handle the day-to-day management of operating expenses.</w:t>
      </w:r>
    </w:p>
    <w:p>
      <w:pPr>
        <w:pStyle w:val="ListParagraph"/>
        <w:numPr>
          <w:ilvl w:val="0"/>
          <w:numId w:val="2"/>
        </w:numPr>
        <w:spacing w:after="60" w:before="60"/>
      </w:pPr>
      <w:r>
        <w:rPr>
          <w:rFonts w:ascii="Arial" w:cs="Arial" w:eastAsia="Arial" w:hAnsi="Arial"/>
          <w:sz w:val="22"/>
          <w:szCs w:val="22"/>
        </w:rPr>
        <w:t xml:space="preserve">Advertise and market vacant properties, conduct viewings and manage the letting process end to end.</w:t>
      </w:r>
    </w:p>
    <w:p>
      <w:pPr>
        <w:pStyle w:val="ListParagraph"/>
        <w:numPr>
          <w:ilvl w:val="0"/>
          <w:numId w:val="2"/>
        </w:numPr>
        <w:spacing w:after="60" w:before="60"/>
      </w:pPr>
      <w:r>
        <w:rPr>
          <w:rFonts w:ascii="Arial" w:cs="Arial" w:eastAsia="Arial" w:hAnsi="Arial"/>
          <w:sz w:val="22"/>
          <w:szCs w:val="22"/>
        </w:rPr>
        <w:t xml:space="preserve">Carry out tenant screenings and manage tenancy agreements, renewals and where necessary, the evictions process.</w:t>
      </w:r>
    </w:p>
    <w:p>
      <w:pPr>
        <w:pStyle w:val="ListParagraph"/>
        <w:numPr>
          <w:ilvl w:val="0"/>
          <w:numId w:val="2"/>
        </w:numPr>
        <w:spacing w:after="60" w:before="60"/>
      </w:pPr>
      <w:r>
        <w:rPr>
          <w:rFonts w:ascii="Arial" w:cs="Arial" w:eastAsia="Arial" w:hAnsi="Arial"/>
          <w:sz w:val="22"/>
          <w:szCs w:val="22"/>
        </w:rPr>
        <w:t xml:space="preserve">Inspect properties regularly and arrange maintenance and repairs to the required standard.</w:t>
      </w:r>
    </w:p>
    <w:p>
      <w:pPr>
        <w:pStyle w:val="ListParagraph"/>
        <w:numPr>
          <w:ilvl w:val="0"/>
          <w:numId w:val="2"/>
        </w:numPr>
        <w:spacing w:after="60" w:before="60"/>
      </w:pPr>
      <w:r>
        <w:rPr>
          <w:rFonts w:ascii="Arial" w:cs="Arial" w:eastAsia="Arial" w:hAnsi="Arial"/>
          <w:sz w:val="22"/>
          <w:szCs w:val="22"/>
        </w:rPr>
        <w:t xml:space="preserve">Hire, supervise and assess any staff employed on the property.</w:t>
      </w:r>
    </w:p>
    <w:p>
      <w:pPr>
        <w:pStyle w:val="ListParagraph"/>
        <w:numPr>
          <w:ilvl w:val="0"/>
          <w:numId w:val="2"/>
        </w:numPr>
        <w:spacing w:after="60" w:before="60"/>
      </w:pPr>
      <w:r>
        <w:rPr>
          <w:rFonts w:ascii="Arial" w:cs="Arial" w:eastAsia="Arial" w:hAnsi="Arial"/>
          <w:sz w:val="22"/>
          <w:szCs w:val="22"/>
        </w:rPr>
        <w:t xml:space="preserve">Develop and manage annual property budgets, monitor financial performance and report to relevant stakeholders.</w:t>
      </w:r>
    </w:p>
    <w:p>
      <w:pPr>
        <w:pStyle w:val="ListParagraph"/>
        <w:numPr>
          <w:ilvl w:val="0"/>
          <w:numId w:val="2"/>
        </w:numPr>
        <w:spacing w:after="60" w:before="60"/>
      </w:pPr>
      <w:r>
        <w:rPr>
          <w:rFonts w:ascii="Arial" w:cs="Arial" w:eastAsia="Arial" w:hAnsi="Arial"/>
          <w:sz w:val="22"/>
          <w:szCs w:val="22"/>
        </w:rPr>
        <w:t xml:space="preserve">Carry out property valuations as required.</w:t>
      </w:r>
    </w:p>
    <w:p>
      <w:pPr>
        <w:pStyle w:val="ListParagraph"/>
        <w:numPr>
          <w:ilvl w:val="0"/>
          <w:numId w:val="2"/>
        </w:numPr>
        <w:spacing w:after="60" w:before="60"/>
      </w:pPr>
      <w:r>
        <w:rPr>
          <w:rFonts w:ascii="Arial" w:cs="Arial" w:eastAsia="Arial" w:hAnsi="Arial"/>
          <w:sz w:val="22"/>
          <w:szCs w:val="22"/>
        </w:rPr>
        <w:t xml:space="preserve">Ensure properties comply with all relevant legislation, safety standards and occupancy rules.</w:t>
      </w:r>
    </w:p>
    <w:p>
      <w:pPr>
        <w:pStyle w:val="ListParagraph"/>
        <w:numPr>
          <w:ilvl w:val="0"/>
          <w:numId w:val="2"/>
        </w:numPr>
        <w:spacing w:after="60" w:before="60"/>
      </w:pPr>
      <w:r>
        <w:rPr>
          <w:rFonts w:ascii="Arial" w:cs="Arial" w:eastAsia="Arial" w:hAnsi="Arial"/>
          <w:sz w:val="22"/>
          <w:szCs w:val="22"/>
        </w:rPr>
        <w:t xml:space="preserve">Negotiate leases and contracts with contractors, ensuring value for money and reliability.</w:t>
      </w:r>
    </w:p>
    <w:p>
      <w:pPr>
        <w:pStyle w:val="ListParagraph"/>
        <w:numPr>
          <w:ilvl w:val="0"/>
          <w:numId w:val="2"/>
        </w:numPr>
        <w:spacing w:after="60" w:before="60"/>
      </w:pPr>
      <w:r>
        <w:rPr>
          <w:rFonts w:ascii="Arial" w:cs="Arial" w:eastAsia="Arial" w:hAnsi="Arial"/>
          <w:sz w:val="22"/>
          <w:szCs w:val="22"/>
        </w:rPr>
        <w:t xml:space="preserve">Source and build relationships with prospective clients to support business development.</w:t>
      </w:r>
    </w:p>
    <w:p>
      <w:pPr>
        <w:pStyle w:val="ListParagraph"/>
        <w:numPr>
          <w:ilvl w:val="0"/>
          <w:numId w:val="2"/>
        </w:numPr>
        <w:spacing w:after="60" w:before="60"/>
      </w:pPr>
      <w:r>
        <w:rPr>
          <w:rFonts w:ascii="Arial" w:cs="Arial" w:eastAsia="Arial" w:hAnsi="Arial"/>
          <w:sz w:val="22"/>
          <w:szCs w:val="22"/>
        </w:rPr>
        <w:t xml:space="preserve">Keep up to date with the property market and relevant legislative changes.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 degree in Property Management or a related field is preferred.</w:t>
      </w:r>
    </w:p>
    <w:p>
      <w:pPr>
        <w:pStyle w:val="ListParagraph"/>
        <w:numPr>
          <w:ilvl w:val="0"/>
          <w:numId w:val="2"/>
        </w:numPr>
        <w:spacing w:after="60" w:before="60"/>
      </w:pPr>
      <w:r>
        <w:rPr>
          <w:rFonts w:ascii="Arial" w:cs="Arial" w:eastAsia="Arial" w:hAnsi="Arial"/>
          <w:sz w:val="22"/>
          <w:szCs w:val="22"/>
        </w:rPr>
        <w:t xml:space="preserve">Valid real estate agent or broker licence where required.</w:t>
      </w:r>
    </w:p>
    <w:p>
      <w:pPr>
        <w:pStyle w:val="ListParagraph"/>
        <w:numPr>
          <w:ilvl w:val="0"/>
          <w:numId w:val="2"/>
        </w:numPr>
        <w:spacing w:after="60" w:before="60"/>
      </w:pPr>
      <w:r>
        <w:rPr>
          <w:rFonts w:ascii="Arial" w:cs="Arial" w:eastAsia="Arial" w:hAnsi="Arial"/>
          <w:sz w:val="22"/>
          <w:szCs w:val="22"/>
        </w:rPr>
        <w:t xml:space="preserve">Proven experience in a property management role with a track record of managing a varied portfolio.</w:t>
      </w:r>
    </w:p>
    <w:p>
      <w:pPr>
        <w:pStyle w:val="ListParagraph"/>
        <w:numPr>
          <w:ilvl w:val="0"/>
          <w:numId w:val="2"/>
        </w:numPr>
        <w:spacing w:after="60" w:before="60"/>
      </w:pPr>
      <w:r>
        <w:rPr>
          <w:rFonts w:ascii="Arial" w:cs="Arial" w:eastAsia="Arial" w:hAnsi="Arial"/>
          <w:sz w:val="22"/>
          <w:szCs w:val="22"/>
        </w:rPr>
        <w:t xml:space="preserve">Sound knowledge of property law, tenancy legislation and financial principles.</w:t>
      </w:r>
    </w:p>
    <w:p>
      <w:pPr>
        <w:pStyle w:val="ListParagraph"/>
        <w:numPr>
          <w:ilvl w:val="0"/>
          <w:numId w:val="2"/>
        </w:numPr>
        <w:spacing w:after="60" w:before="60"/>
      </w:pPr>
      <w:r>
        <w:rPr>
          <w:rFonts w:ascii="Arial" w:cs="Arial" w:eastAsia="Arial" w:hAnsi="Arial"/>
          <w:sz w:val="22"/>
          <w:szCs w:val="22"/>
        </w:rPr>
        <w:t xml:space="preserve">Proficient in Microsoft Office and relevant property management software.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Strong customer focus with excellent communication and relationship management skills.</w:t>
      </w:r>
    </w:p>
    <w:p>
      <w:pPr>
        <w:pStyle w:val="ListParagraph"/>
        <w:numPr>
          <w:ilvl w:val="0"/>
          <w:numId w:val="2"/>
        </w:numPr>
        <w:spacing w:after="60" w:before="60"/>
      </w:pPr>
      <w:r>
        <w:rPr>
          <w:rFonts w:ascii="Arial" w:cs="Arial" w:eastAsia="Arial" w:hAnsi="Arial"/>
          <w:sz w:val="22"/>
          <w:szCs w:val="22"/>
        </w:rPr>
        <w:t xml:space="preserve">Commercially minded with a solid understanding of financial performance and budget management.</w:t>
      </w:r>
    </w:p>
    <w:p>
      <w:pPr>
        <w:pStyle w:val="ListParagraph"/>
        <w:numPr>
          <w:ilvl w:val="0"/>
          <w:numId w:val="2"/>
        </w:numPr>
        <w:spacing w:after="60" w:before="60"/>
      </w:pPr>
      <w:r>
        <w:rPr>
          <w:rFonts w:ascii="Arial" w:cs="Arial" w:eastAsia="Arial" w:hAnsi="Arial"/>
          <w:sz w:val="22"/>
          <w:szCs w:val="22"/>
        </w:rPr>
        <w:t xml:space="preserve">Well organised with excellent time management and the ability to prioritise a varied workload.</w:t>
      </w:r>
    </w:p>
    <w:p>
      <w:pPr>
        <w:pStyle w:val="ListParagraph"/>
        <w:numPr>
          <w:ilvl w:val="0"/>
          <w:numId w:val="2"/>
        </w:numPr>
        <w:spacing w:after="60" w:before="60"/>
      </w:pPr>
      <w:r>
        <w:rPr>
          <w:rFonts w:ascii="Arial" w:cs="Arial" w:eastAsia="Arial" w:hAnsi="Arial"/>
          <w:sz w:val="22"/>
          <w:szCs w:val="22"/>
        </w:rPr>
        <w:t xml:space="preserve">Confident negotiator with the ability to achieve good outcomes for both landlords and tenants.</w:t>
      </w:r>
    </w:p>
    <w:p>
      <w:pPr>
        <w:pStyle w:val="ListParagraph"/>
        <w:numPr>
          <w:ilvl w:val="0"/>
          <w:numId w:val="2"/>
        </w:numPr>
        <w:spacing w:after="60" w:before="60"/>
      </w:pPr>
      <w:r>
        <w:rPr>
          <w:rFonts w:ascii="Arial" w:cs="Arial" w:eastAsia="Arial" w:hAnsi="Arial"/>
          <w:sz w:val="22"/>
          <w:szCs w:val="22"/>
        </w:rPr>
        <w:t xml:space="preserve">Able to work independently as well as part of a wider team.</w:t>
      </w:r>
    </w:p>
    <w:p>
      <w:pPr>
        <w:pStyle w:val="ListParagraph"/>
        <w:numPr>
          <w:ilvl w:val="0"/>
          <w:numId w:val="2"/>
        </w:numPr>
        <w:spacing w:after="60" w:before="60"/>
      </w:pPr>
      <w:r>
        <w:rPr>
          <w:rFonts w:ascii="Arial" w:cs="Arial" w:eastAsia="Arial" w:hAnsi="Arial"/>
          <w:sz w:val="22"/>
          <w:szCs w:val="22"/>
        </w:rPr>
        <w:t xml:space="preserve">Up to date with the property and real estate market and committed to maintaining that knowledge.</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2026-05-26T13:21:03.586Z</dcterms:created>
  <dcterms:modified xsi:type="dcterms:W3CDTF">2026-05-26T13:21:03.586Z</dcterms:modified>
</cp:coreProperties>
</file>

<file path=docProps/custom.xml><?xml version="1.0" encoding="utf-8"?>
<Properties xmlns="http://schemas.openxmlformats.org/officeDocument/2006/custom-properties" xmlns:vt="http://schemas.openxmlformats.org/officeDocument/2006/docPropsVTypes"/>
</file>