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rPr>
          <w:rFonts w:ascii="Arial" w:cs="Arial" w:eastAsia="Arial" w:hAnsi="Arial"/>
          <w:b/>
          <w:bCs/>
          <w:color w:val="1E5631"/>
          <w:sz w:val="52"/>
          <w:szCs w:val="52"/>
        </w:rPr>
        <w:t xml:space="preserve">Engineering Manager</w:t>
      </w:r>
    </w:p>
    <w:p>
      <w:pPr>
        <w:pBdr>
          <w:bottom w:val="single" w:color="1E5631" w:sz="12" w:space="6"/>
        </w:pBdr>
        <w:spacing w:after="300" w:before="0"/>
      </w:pPr>
      <w:r>
        <w:rPr>
          <w:rFonts w:ascii="Arial" w:cs="Arial" w:eastAsia="Arial" w:hAnsi="Arial"/>
          <w:color w:val="777777"/>
          <w:sz w:val="26"/>
          <w:szCs w:val="26"/>
        </w:rPr>
        <w:t xml:space="preserve">Job Description Template</w:t>
      </w:r>
    </w:p>
    <w:p>
      <w:pPr>
        <w:spacing w:after="0" w:before="200"/>
      </w:pPr>
      <w:r>
        <w:t xml:space="preserve"/>
      </w:r>
    </w:p>
    <w:tbl>
      <w:tblPr>
        <w:tblW w:type="dxa" w:w="9026"/>
        <w:tblBorders>
          <w:top w:val="none" w:color="FFFFFF" w:sz="0"/>
          <w:left w:val="none" w:color="FFFFFF" w:sz="0"/>
          <w:bottom w:val="none" w:color="FFFFFF" w:sz="0"/>
          <w:right w:val="none" w:color="FFFFFF" w:sz="0"/>
          <w:insideH w:val="single" w:color="auto" w:sz="4"/>
          <w:insideV w:val="single" w:color="auto" w:sz="4"/>
        </w:tblBorders>
      </w:tblPr>
      <w:tblGrid>
        <w:gridCol w:w="2200"/>
        <w:gridCol w:w="6826"/>
      </w:tblGrid>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Job Title</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Salary</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Location</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Department</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r>
        <w:tc>
          <w:tcPr>
            <w:tcW w:type="dxa" w:w="2200"/>
            <w:tcBorders>
              <w:top w:val="none" w:color="FFFFFF" w:sz="0"/>
              <w:left w:val="none" w:color="FFFFFF" w:sz="0"/>
              <w:bottom w:val="none" w:color="FFFFFF" w:sz="0"/>
              <w:right w:val="none" w:color="FFFFFF" w:sz="0"/>
            </w:tcBorders>
            <w:tcMar>
              <w:top w:type="dxa" w:w="60"/>
              <w:left w:type="dxa" w:w="0"/>
              <w:bottom w:type="dxa" w:w="60"/>
              <w:right w:type="dxa" w:w="120"/>
            </w:tcMar>
          </w:tcPr>
          <w:p>
            <w:r>
              <w:rPr>
                <w:rFonts w:ascii="Arial" w:cs="Arial" w:eastAsia="Arial" w:hAnsi="Arial"/>
                <w:b/>
                <w:bCs/>
                <w:color w:val="444444"/>
                <w:sz w:val="22"/>
                <w:szCs w:val="22"/>
              </w:rPr>
              <w:t xml:space="preserve">Reports To</w:t>
            </w:r>
          </w:p>
        </w:tc>
        <w:tc>
          <w:tcPr>
            <w:tcW w:type="dxa" w:w="6826"/>
            <w:tcBorders>
              <w:top w:val="none" w:color="FFFFFF" w:sz="0"/>
              <w:left w:val="none" w:color="FFFFFF" w:sz="0"/>
              <w:bottom w:val="none" w:color="FFFFFF" w:sz="0"/>
              <w:right w:val="none" w:color="FFFFFF" w:sz="0"/>
            </w:tcBorders>
            <w:shd w:fill="E8F4EB" w:val="clear"/>
            <w:tcMar>
              <w:top w:type="dxa" w:w="60"/>
              <w:left w:type="dxa" w:w="120"/>
              <w:bottom w:type="dxa" w:w="60"/>
              <w:right w:type="dxa" w:w="120"/>
            </w:tcMar>
          </w:tcPr>
          <w:p>
            <w:r>
              <w:rPr>
                <w:rFonts w:ascii="Arial" w:cs="Arial" w:eastAsia="Arial" w:hAnsi="Arial"/>
                <w:b/>
                <w:bCs/>
                <w:color w:val="CC0000"/>
                <w:sz w:val="22"/>
                <w:szCs w:val="22"/>
              </w:rPr>
              <w:t xml:space="preserve">(X)</w:t>
            </w:r>
          </w:p>
        </w:tc>
      </w:tr>
    </w:tbl>
    <w:p>
      <w:pPr>
        <w:spacing w:after="0" w:before="300"/>
      </w:pPr>
      <w:r>
        <w:t xml:space="preserve"/>
      </w:r>
    </w:p>
    <w:p>
      <w:pPr>
        <w:pBdr>
          <w:bottom w:val="single" w:color="1E5631" w:sz="8" w:space="4"/>
        </w:pBdr>
        <w:spacing w:after="80" w:before="320"/>
      </w:pPr>
      <w:r>
        <w:rPr>
          <w:rFonts w:ascii="Arial" w:cs="Arial" w:eastAsia="Arial" w:hAnsi="Arial"/>
          <w:b/>
          <w:bCs/>
          <w:color w:val="1E5631"/>
          <w:sz w:val="26"/>
          <w:szCs w:val="26"/>
        </w:rPr>
        <w:t xml:space="preserve">Job Summary</w:t>
      </w:r>
    </w:p>
    <w:p>
      <w:pPr>
        <w:spacing w:after="0" w:before="100"/>
      </w:pPr>
      <w:r>
        <w:t xml:space="preserve"/>
      </w:r>
    </w:p>
    <w:p>
      <w:pPr>
        <w:spacing w:after="80" w:before="80"/>
      </w:pPr>
      <w:r>
        <w:rPr>
          <w:rFonts w:ascii="Arial" w:cs="Arial" w:eastAsia="Arial" w:hAnsi="Arial"/>
          <w:sz w:val="22"/>
          <w:szCs w:val="22"/>
        </w:rPr>
        <w:t>The Engineering Manager is responsible for the safe, compliant and efficient operation of all building engineering services across the site or portfolio. You will lead the engineering team and specialist contractors, manage planned and reactive maintenance of mechanical and electrical plant, and make sure the building performs reliably for its occupants. This is a senior technical leadership role requiring strong people management, commercial awareness and a high level of building services expertise.</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Key Responsibilities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Propose, develop and manage the engineering budget, including planned maintenance, reactive works and lifecycle replacement, ensuring cost control and value for money.</w:t>
      </w:r>
    </w:p>
    <w:p>
      <w:pPr>
        <w:pStyle w:val="ListParagraph"/>
        <w:numPr>
          <w:ilvl w:val="0"/>
          <w:numId w:val="2"/>
        </w:numPr>
        <w:spacing w:after="60" w:before="60"/>
      </w:pPr>
      <w:r>
        <w:rPr>
          <w:rFonts w:ascii="Arial" w:cs="Arial" w:eastAsia="Arial" w:hAnsi="Arial"/>
          <w:sz w:val="22"/>
          <w:szCs w:val="22"/>
        </w:rPr>
        <w:t>Lead the planned preventive maintenance programme for all M&amp;E plant and building systems, using SFG20 or an equivalent standard, and keep the asset register accurate.</w:t>
      </w:r>
    </w:p>
    <w:p>
      <w:pPr>
        <w:pStyle w:val="ListParagraph"/>
        <w:numPr>
          <w:ilvl w:val="0"/>
          <w:numId w:val="2"/>
        </w:numPr>
        <w:spacing w:after="60" w:before="60"/>
      </w:pPr>
      <w:r>
        <w:rPr>
          <w:rFonts w:ascii="Arial" w:cs="Arial" w:eastAsia="Arial" w:hAnsi="Arial"/>
          <w:sz w:val="22"/>
          <w:szCs w:val="22"/>
        </w:rPr>
        <w:t>Manage and allocate work to in-house engineers and technicians, ensuring the right skills and resources are in place across shifts and sites.</w:t>
      </w:r>
    </w:p>
    <w:p>
      <w:pPr>
        <w:pStyle w:val="ListParagraph"/>
        <w:numPr>
          <w:ilvl w:val="0"/>
          <w:numId w:val="2"/>
        </w:numPr>
        <w:spacing w:after="60" w:before="60"/>
      </w:pPr>
      <w:r>
        <w:rPr>
          <w:rFonts w:ascii="Arial" w:cs="Arial" w:eastAsia="Arial" w:hAnsi="Arial"/>
          <w:sz w:val="22"/>
          <w:szCs w:val="22"/>
        </w:rPr>
        <w:t>Provide clear technical direction on fault-finding, repairs and improvements, supporting the team to resolve issues quickly and safely.</w:t>
      </w:r>
    </w:p>
    <w:p>
      <w:pPr>
        <w:pStyle w:val="ListParagraph"/>
        <w:numPr>
          <w:ilvl w:val="0"/>
          <w:numId w:val="2"/>
        </w:numPr>
        <w:spacing w:after="60" w:before="60"/>
      </w:pPr>
      <w:r>
        <w:rPr>
          <w:rFonts w:ascii="Arial" w:cs="Arial" w:eastAsia="Arial" w:hAnsi="Arial"/>
          <w:sz w:val="22"/>
          <w:szCs w:val="22"/>
        </w:rPr>
        <w:t>Identify training needs and develop the engineering team's skills, competencies and statutory authorisations.</w:t>
      </w:r>
    </w:p>
    <w:p>
      <w:pPr>
        <w:pStyle w:val="ListParagraph"/>
        <w:numPr>
          <w:ilvl w:val="0"/>
          <w:numId w:val="2"/>
        </w:numPr>
        <w:spacing w:after="60" w:before="60"/>
      </w:pPr>
      <w:r>
        <w:rPr>
          <w:rFonts w:ascii="Arial" w:cs="Arial" w:eastAsia="Arial" w:hAnsi="Arial"/>
          <w:sz w:val="22"/>
          <w:szCs w:val="22"/>
        </w:rPr>
        <w:t>Ensure statutory and compliance testing is planned, completed and recorded, including water hygiene, fire systems, electrical testing, gas safety, lifts and pressure systems.</w:t>
      </w:r>
    </w:p>
    <w:p>
      <w:pPr>
        <w:pStyle w:val="ListParagraph"/>
        <w:numPr>
          <w:ilvl w:val="0"/>
          <w:numId w:val="2"/>
        </w:numPr>
        <w:spacing w:after="60" w:before="60"/>
      </w:pPr>
      <w:r>
        <w:rPr>
          <w:rFonts w:ascii="Arial" w:cs="Arial" w:eastAsia="Arial" w:hAnsi="Arial"/>
          <w:sz w:val="22"/>
          <w:szCs w:val="22"/>
        </w:rPr>
        <w:t>Manage permits to work, risk assessments, method statements and safe systems of work for all engineering activity.</w:t>
      </w:r>
    </w:p>
    <w:p>
      <w:pPr>
        <w:pStyle w:val="ListParagraph"/>
        <w:numPr>
          <w:ilvl w:val="0"/>
          <w:numId w:val="2"/>
        </w:numPr>
        <w:spacing w:after="60" w:before="60"/>
      </w:pPr>
      <w:r>
        <w:rPr>
          <w:rFonts w:ascii="Arial" w:cs="Arial" w:eastAsia="Arial" w:hAnsi="Arial"/>
          <w:sz w:val="22"/>
          <w:szCs w:val="22"/>
        </w:rPr>
        <w:t>Appoint and manage specialist contractors, monitoring performance against agreed service levels and contract terms.</w:t>
      </w:r>
    </w:p>
    <w:p>
      <w:pPr>
        <w:pStyle w:val="ListParagraph"/>
        <w:numPr>
          <w:ilvl w:val="0"/>
          <w:numId w:val="2"/>
        </w:numPr>
        <w:spacing w:after="60" w:before="60"/>
      </w:pPr>
      <w:r>
        <w:rPr>
          <w:rFonts w:ascii="Arial" w:cs="Arial" w:eastAsia="Arial" w:hAnsi="Arial"/>
          <w:sz w:val="22"/>
          <w:szCs w:val="22"/>
        </w:rPr>
        <w:t>Plan and deliver lifecycle replacement and small capital projects, preparing business cases and working with project teams and consultants.</w:t>
      </w:r>
    </w:p>
    <w:p>
      <w:pPr>
        <w:pStyle w:val="ListParagraph"/>
        <w:numPr>
          <w:ilvl w:val="0"/>
          <w:numId w:val="2"/>
        </w:numPr>
        <w:spacing w:after="60" w:before="60"/>
      </w:pPr>
      <w:r>
        <w:rPr>
          <w:rFonts w:ascii="Arial" w:cs="Arial" w:eastAsia="Arial" w:hAnsi="Arial"/>
          <w:sz w:val="22"/>
          <w:szCs w:val="22"/>
        </w:rPr>
        <w:t>Drive energy efficiency and support the organisation's sustainability and net zero targets through better plant operation and monitoring.</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Knowledge, Experience and Qualifications</w:t>
      </w:r>
    </w:p>
    <w:p>
      <w:pPr>
        <w:spacing w:after="0" w:before="80"/>
      </w:pPr>
      <w:r>
        <w:t xml:space="preserve"/>
      </w:r>
    </w:p>
    <w:p>
      <w:pPr>
        <w:pStyle w:val="ListParagraph"/>
        <w:numPr>
          <w:ilvl w:val="0"/>
          <w:numId w:val="2"/>
        </w:numPr>
        <w:spacing w:after="60" w:before="60"/>
      </w:pPr>
      <w:r>
        <w:rPr>
          <w:rFonts w:ascii="Arial" w:cs="Arial" w:eastAsia="Arial" w:hAnsi="Arial"/>
          <w:sz w:val="22"/>
          <w:szCs w:val="22"/>
        </w:rPr>
        <w:t>A recognised engineering qualification (HNC, HND or degree) in building services, mechanical or electrical engineering is essential.</w:t>
      </w:r>
    </w:p>
    <w:p>
      <w:pPr>
        <w:pStyle w:val="ListParagraph"/>
        <w:numPr>
          <w:ilvl w:val="0"/>
          <w:numId w:val="2"/>
        </w:numPr>
        <w:spacing w:after="60" w:before="60"/>
      </w:pPr>
      <w:r>
        <w:rPr>
          <w:rFonts w:ascii="Arial" w:cs="Arial" w:eastAsia="Arial" w:hAnsi="Arial"/>
          <w:sz w:val="22"/>
          <w:szCs w:val="22"/>
        </w:rPr>
        <w:t>Proven experience in an Engineering Manager, Chief Engineer or similar senior building services role.</w:t>
      </w:r>
    </w:p>
    <w:p>
      <w:pPr>
        <w:pStyle w:val="ListParagraph"/>
        <w:numPr>
          <w:ilvl w:val="0"/>
          <w:numId w:val="2"/>
        </w:numPr>
        <w:spacing w:after="60" w:before="60"/>
      </w:pPr>
      <w:r>
        <w:rPr>
          <w:rFonts w:ascii="Arial" w:cs="Arial" w:eastAsia="Arial" w:hAnsi="Arial"/>
          <w:sz w:val="22"/>
          <w:szCs w:val="22"/>
        </w:rPr>
        <w:t>Strong knowledge of building services, statutory compliance requirements and planned preventive maintenance standards such as SFG20.</w:t>
      </w:r>
    </w:p>
    <w:p>
      <w:pPr>
        <w:pStyle w:val="ListParagraph"/>
        <w:numPr>
          <w:ilvl w:val="0"/>
          <w:numId w:val="2"/>
        </w:numPr>
        <w:spacing w:after="60" w:before="60"/>
      </w:pPr>
      <w:r>
        <w:rPr>
          <w:rFonts w:ascii="Arial" w:cs="Arial" w:eastAsia="Arial" w:hAnsi="Arial"/>
          <w:sz w:val="22"/>
          <w:szCs w:val="22"/>
        </w:rPr>
        <w:t>Proven people management experience including recruiting, developing and performance managing engineering teams.</w:t>
      </w:r>
    </w:p>
    <w:p>
      <w:pPr>
        <w:pStyle w:val="ListParagraph"/>
        <w:numPr>
          <w:ilvl w:val="0"/>
          <w:numId w:val="2"/>
        </w:numPr>
        <w:spacing w:after="60" w:before="60"/>
      </w:pPr>
      <w:r>
        <w:rPr>
          <w:rFonts w:ascii="Arial" w:cs="Arial" w:eastAsia="Arial" w:hAnsi="Arial"/>
          <w:sz w:val="22"/>
          <w:szCs w:val="22"/>
        </w:rPr>
        <w:t>Experience of managing engineering budgets and contractors. NEBOSH or IOSH and the 18th Edition wiring regulations are desirable.</w:t>
      </w:r>
    </w:p>
    <w:p>
      <w:pPr>
        <w:spacing w:after="0" w:before="160"/>
      </w:pPr>
      <w:r>
        <w:t xml:space="preserve"/>
      </w:r>
    </w:p>
    <w:p>
      <w:pPr>
        <w:pBdr>
          <w:bottom w:val="single" w:color="1E5631" w:sz="8" w:space="4"/>
        </w:pBdr>
        <w:spacing w:after="80" w:before="320"/>
      </w:pPr>
      <w:r>
        <w:rPr>
          <w:rFonts w:ascii="Arial" w:cs="Arial" w:eastAsia="Arial" w:hAnsi="Arial"/>
          <w:b/>
          <w:bCs/>
          <w:color w:val="1E5631"/>
          <w:sz w:val="26"/>
          <w:szCs w:val="26"/>
        </w:rPr>
        <w:t xml:space="preserve">About You</w:t>
      </w:r>
    </w:p>
    <w:p>
      <w:pPr>
        <w:spacing w:after="0" w:before="80"/>
      </w:pPr>
      <w:r>
        <w:t xml:space="preserve"/>
      </w:r>
    </w:p>
    <w:p>
      <w:pPr>
        <w:pStyle w:val="ListParagraph"/>
        <w:numPr>
          <w:ilvl w:val="0"/>
          <w:numId w:val="2"/>
        </w:numPr>
        <w:spacing w:after="60" w:before="60"/>
      </w:pPr>
      <w:r>
        <w:rPr>
          <w:rFonts w:ascii="Arial" w:cs="Arial" w:eastAsia="Arial" w:hAnsi="Arial"/>
          <w:sz w:val="22"/>
          <w:szCs w:val="22"/>
        </w:rPr>
        <w:t xml:space="preserve">Strong leader with the ability to build, motivate and develop high performing engineering teams.</w:t>
      </w:r>
    </w:p>
    <w:p>
      <w:pPr>
        <w:pStyle w:val="ListParagraph"/>
        <w:numPr>
          <w:ilvl w:val="0"/>
          <w:numId w:val="2"/>
        </w:numPr>
        <w:spacing w:after="60" w:before="60"/>
      </w:pPr>
      <w:r>
        <w:rPr>
          <w:rFonts w:ascii="Arial" w:cs="Arial" w:eastAsia="Arial" w:hAnsi="Arial"/>
          <w:sz w:val="22"/>
          <w:szCs w:val="22"/>
        </w:rPr>
        <w:t>Analytical and methodical, with strong fault-finding skills and a rigorous approach to evaluating complex technical information.</w:t>
      </w:r>
    </w:p>
    <w:p>
      <w:pPr>
        <w:pStyle w:val="ListParagraph"/>
        <w:numPr>
          <w:ilvl w:val="0"/>
          <w:numId w:val="2"/>
        </w:numPr>
        <w:spacing w:after="60" w:before="60"/>
      </w:pPr>
      <w:r>
        <w:rPr>
          <w:rFonts w:ascii="Arial" w:cs="Arial" w:eastAsia="Arial" w:hAnsi="Arial"/>
          <w:sz w:val="22"/>
          <w:szCs w:val="22"/>
        </w:rPr>
        <w:t>Able to manage planned works, reactive demands and projects at the same time and keep track of competing priorities.</w:t>
      </w:r>
    </w:p>
    <w:p>
      <w:pPr>
        <w:pStyle w:val="ListParagraph"/>
        <w:numPr>
          <w:ilvl w:val="0"/>
          <w:numId w:val="2"/>
        </w:numPr>
        <w:spacing w:after="60" w:before="60"/>
      </w:pPr>
      <w:r>
        <w:rPr>
          <w:rFonts w:ascii="Arial" w:cs="Arial" w:eastAsia="Arial" w:hAnsi="Arial"/>
          <w:sz w:val="22"/>
          <w:szCs w:val="22"/>
        </w:rPr>
        <w:t xml:space="preserve">Strong communicator with the ability to present complex technical information clearly to non-technical stakeholders at all levels.</w:t>
      </w:r>
    </w:p>
    <w:p>
      <w:pPr>
        <w:pStyle w:val="ListParagraph"/>
        <w:numPr>
          <w:ilvl w:val="0"/>
          <w:numId w:val="2"/>
        </w:numPr>
        <w:spacing w:after="60" w:before="60"/>
      </w:pPr>
      <w:r>
        <w:rPr>
          <w:rFonts w:ascii="Arial" w:cs="Arial" w:eastAsia="Arial" w:hAnsi="Arial"/>
          <w:sz w:val="22"/>
          <w:szCs w:val="22"/>
        </w:rPr>
        <w:t xml:space="preserve">Well organised with excellent attention to detail and a commitment to delivering work to a consistently high standard.</w:t>
      </w:r>
    </w:p>
    <w:p>
      <w:pPr>
        <w:pStyle w:val="ListParagraph"/>
        <w:numPr>
          <w:ilvl w:val="0"/>
          <w:numId w:val="2"/>
        </w:numPr>
        <w:spacing w:after="60" w:before="60"/>
      </w:pPr>
      <w:r>
        <w:rPr>
          <w:rFonts w:ascii="Arial" w:cs="Arial" w:eastAsia="Arial" w:hAnsi="Arial"/>
          <w:sz w:val="22"/>
          <w:szCs w:val="22"/>
        </w:rPr>
        <w:t>Commercially aware, with experience of cost management, using maintenance and energy data, and driving continuous improvement.</w:t>
      </w:r>
    </w:p>
    <w:p>
      <w:pPr>
        <w:pStyle w:val="ListParagraph"/>
        <w:numPr>
          <w:ilvl w:val="0"/>
          <w:numId w:val="2"/>
        </w:numPr>
        <w:spacing w:after="60" w:before="60"/>
      </w:pPr>
      <w:r>
        <w:rPr>
          <w:rFonts w:ascii="Arial" w:cs="Arial" w:eastAsia="Arial" w:hAnsi="Arial"/>
          <w:sz w:val="22"/>
          <w:szCs w:val="22"/>
        </w:rPr>
        <w:t>Collaborative by nature, with strong interpersonal skills and the ability to build effective relationships with contractors, building users and senior stakeholders.</w:t>
      </w:r>
    </w:p>
    <w:p>
      <w:pPr>
        <w:spacing w:after="0" w:before="200"/>
      </w:pPr>
      <w:r>
        <w:t xml:space="preserve"/>
      </w:r>
    </w:p>
    <w:sectPr>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2026-05-26T13:11:23.517Z</dcterms:created>
  <dcterms:modified xsi:type="dcterms:W3CDTF">2026-05-26T13:11:23.517Z</dcterms:modified>
</cp:coreProperties>
</file>

<file path=docProps/custom.xml><?xml version="1.0" encoding="utf-8"?>
<Properties xmlns="http://schemas.openxmlformats.org/officeDocument/2006/custom-properties" xmlns:vt="http://schemas.openxmlformats.org/officeDocument/2006/docPropsVTypes"/>
</file>