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4C" w:rsidRPr="00D4584C" w:rsidRDefault="00D4584C" w:rsidP="00D458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1A1B27"/>
        </w:rPr>
      </w:pPr>
      <w:r w:rsidRPr="00D4584C"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88FBCE2" wp14:editId="0D4DF2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3500" cy="6381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84C">
        <w:rPr>
          <w:b/>
          <w:color w:val="1A1B27"/>
        </w:rPr>
        <w:t>ІНФОРМАЦІЯ ЩОДО ЗАБЕЗПЕЧЕННЯ СТАНДАРТІВ ЯКОСТІ ЕЛЕКТРОПОСТАЧАННЯ  ТА НАДАННЯ КОМПЕНСАЦІЇ СПОЖИВАЧАМ ЗА ЇХ НЕ ДОТРИМАННЯ ТОВ «ПРЕТ СЕРВІС ЕНЕРГОЗМІН»</w:t>
      </w:r>
    </w:p>
    <w:p w:rsidR="00D4584C" w:rsidRDefault="00D4584C" w:rsidP="00584D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</w:p>
    <w:p w:rsidR="00D4584C" w:rsidRDefault="00D4584C" w:rsidP="00584D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</w:p>
    <w:p w:rsidR="00D8725D" w:rsidRDefault="005867BC" w:rsidP="00584D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  <w:r w:rsidRPr="005867BC">
        <w:rPr>
          <w:color w:val="1A1B27"/>
        </w:rPr>
        <w:t xml:space="preserve">ТОВ «ПРЕТ СЕРВІС ЕНЕРГОЗМІН» зобов'язується забезпечувати </w:t>
      </w:r>
      <w:r w:rsidRPr="005867BC">
        <w:rPr>
          <w:bCs/>
          <w:color w:val="1A1B27"/>
        </w:rPr>
        <w:t>високі стандарти якості електропостачання</w:t>
      </w:r>
      <w:r w:rsidR="00D8725D">
        <w:rPr>
          <w:color w:val="1A1B27"/>
        </w:rPr>
        <w:t xml:space="preserve"> під час надання своїх послуг та дотримуватися</w:t>
      </w:r>
      <w:r w:rsidRPr="005867BC">
        <w:rPr>
          <w:color w:val="1A1B27"/>
        </w:rPr>
        <w:t xml:space="preserve"> вимог чинного законодавства України, зокрема </w:t>
      </w:r>
      <w:r w:rsidRPr="005867BC">
        <w:rPr>
          <w:bCs/>
          <w:color w:val="1A1B27"/>
        </w:rPr>
        <w:t>Порядку забезпечення стандартів якості електропостачання та надання компенсацій споживачам за їх недотримання</w:t>
      </w:r>
      <w:r w:rsidRPr="005867BC">
        <w:rPr>
          <w:color w:val="1A1B27"/>
        </w:rPr>
        <w:t>, затвердженого Національною комісією, що здійснює державне регулювання у сферах енергетики та комунальних послуг (НКРЕКП) постановою № 375 від 12.06.2018 р.</w:t>
      </w:r>
      <w:r w:rsidR="00584D8F" w:rsidRPr="00584D8F">
        <w:rPr>
          <w:color w:val="1A1B27"/>
        </w:rPr>
        <w:t xml:space="preserve"> </w:t>
      </w:r>
    </w:p>
    <w:p w:rsidR="005867BC" w:rsidRDefault="005867BC" w:rsidP="005867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B27"/>
        </w:rPr>
      </w:pPr>
    </w:p>
    <w:p w:rsidR="00584D8F" w:rsidRDefault="00312EDF" w:rsidP="00586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  <w:r w:rsidRPr="005867BC">
        <w:rPr>
          <w:color w:val="1A1B27"/>
        </w:rPr>
        <w:t xml:space="preserve">Порядок визначає перелік загальних та гарантованих стандартів якості електропостачання і регулює відносини, пов’язані з електропостачанням відповідно до загальних та гарантованих стандартів якості, захистом прав споживачів та наданням </w:t>
      </w:r>
      <w:proofErr w:type="spellStart"/>
      <w:r w:rsidRPr="005867BC">
        <w:rPr>
          <w:color w:val="1A1B27"/>
        </w:rPr>
        <w:t>електропостачальником</w:t>
      </w:r>
      <w:proofErr w:type="spellEnd"/>
      <w:r w:rsidRPr="005867BC">
        <w:rPr>
          <w:color w:val="1A1B27"/>
        </w:rPr>
        <w:t xml:space="preserve"> або оператором системи розподілу компенсації за недотримання гарантованих стандартів якості електропостачання споживачам або замовникам (у випадку недотримання гарантованих стандартів якості під час приєднання до електричних мереж). </w:t>
      </w:r>
    </w:p>
    <w:p w:rsidR="00584D8F" w:rsidRDefault="00584D8F" w:rsidP="00586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</w:p>
    <w:p w:rsidR="00312EDF" w:rsidRPr="005867BC" w:rsidRDefault="00312EDF" w:rsidP="00586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5867BC">
        <w:rPr>
          <w:bCs/>
          <w:color w:val="1A1B27"/>
          <w:bdr w:val="none" w:sz="0" w:space="0" w:color="auto" w:frame="1"/>
        </w:rPr>
        <w:t>ТОВ «</w:t>
      </w:r>
      <w:r w:rsidR="005867BC" w:rsidRPr="005867BC">
        <w:rPr>
          <w:bCs/>
          <w:color w:val="1A1B27"/>
          <w:bdr w:val="none" w:sz="0" w:space="0" w:color="auto" w:frame="1"/>
        </w:rPr>
        <w:t>ПРЕТ СЕРВІС ЕНЕРГОЗМІН</w:t>
      </w:r>
      <w:r w:rsidRPr="005867BC">
        <w:rPr>
          <w:bCs/>
          <w:color w:val="1A1B27"/>
          <w:bdr w:val="none" w:sz="0" w:space="0" w:color="auto" w:frame="1"/>
        </w:rPr>
        <w:t>» інформує про</w:t>
      </w:r>
      <w:r w:rsidR="005867BC" w:rsidRPr="005867BC">
        <w:rPr>
          <w:color w:val="1A1B27"/>
        </w:rPr>
        <w:t xml:space="preserve"> розмір компенсації  </w:t>
      </w:r>
      <w:r w:rsidRPr="005867BC">
        <w:rPr>
          <w:bCs/>
        </w:rPr>
        <w:t xml:space="preserve">за недотримання гарантованих стандартів якості надання послуг </w:t>
      </w:r>
      <w:proofErr w:type="spellStart"/>
      <w:r w:rsidRPr="005867BC">
        <w:rPr>
          <w:bCs/>
        </w:rPr>
        <w:t>електропостачальника</w:t>
      </w:r>
      <w:proofErr w:type="spellEnd"/>
      <w:r w:rsidR="005867BC">
        <w:rPr>
          <w:bCs/>
        </w:rPr>
        <w:t>.</w:t>
      </w:r>
    </w:p>
    <w:p w:rsidR="005867BC" w:rsidRPr="005867BC" w:rsidRDefault="005867BC" w:rsidP="00586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B27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588"/>
        <w:gridCol w:w="1215"/>
        <w:gridCol w:w="1140"/>
        <w:gridCol w:w="1375"/>
        <w:gridCol w:w="719"/>
        <w:gridCol w:w="1504"/>
      </w:tblGrid>
      <w:tr w:rsidR="005867BC" w:rsidRPr="005867BC" w:rsidTr="001A789E">
        <w:trPr>
          <w:trHeight w:val="555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Підпункт Порядку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Гарантований стандарт</w:t>
            </w:r>
          </w:p>
        </w:tc>
        <w:tc>
          <w:tcPr>
            <w:tcW w:w="3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Розмір компенсації споживачам, грн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Періодичність надання</w:t>
            </w:r>
          </w:p>
        </w:tc>
      </w:tr>
      <w:tr w:rsidR="005867BC" w:rsidRPr="005867BC" w:rsidTr="001A789E">
        <w:trPr>
          <w:trHeight w:val="165"/>
        </w:trPr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товим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непобутовим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BC" w:rsidRPr="005867BC" w:rsidTr="001A789E">
        <w:trPr>
          <w:trHeight w:val="300"/>
        </w:trPr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малим непобутовим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BC" w:rsidRPr="005867BC" w:rsidTr="001A789E">
        <w:trPr>
          <w:trHeight w:val="76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Підпункт 1 пункту 4.3 глави 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Надання даних про споживання електричної енергії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5 роб. днів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tr w:rsidR="005867BC" w:rsidRPr="005867BC" w:rsidTr="001A789E">
        <w:trPr>
          <w:trHeight w:val="90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Підпункт 2 пункту 4.3 глави 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Розгляд звернень/скарг/ претензій споживачів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30 днів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tr w:rsidR="005867BC" w:rsidRPr="005867BC" w:rsidTr="001A789E">
        <w:trPr>
          <w:trHeight w:val="90"/>
        </w:trPr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розгляд звернень/скарг/ претензій споживачів, якщо під час розгляду звернення необхідно здійснити технічну перевірку або провести експертизу засобу комерційного обліку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45 днів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tr w:rsidR="005867BC" w:rsidRPr="005867BC" w:rsidTr="001A789E">
        <w:trPr>
          <w:trHeight w:val="78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 xml:space="preserve">Підпункт 3 пункту </w:t>
            </w:r>
            <w:r w:rsidRPr="005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глави 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Розгляд звернення споживача щодо </w:t>
            </w:r>
            <w:r w:rsidRPr="005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перевірки правильності рахунка за електричну енергію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роб. днів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bookmarkEnd w:id="0"/>
      <w:tr w:rsidR="005867BC" w:rsidRPr="005867BC" w:rsidTr="001A789E">
        <w:trPr>
          <w:trHeight w:val="9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Підпункт 4 пункту 4.3 глави 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Урахування суми відповідної компенсації за недотримання гарантованих стандартів якості надання послуг оператора системи у кінцевому рахунку споживача за електричну енергію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30 днів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</w:t>
            </w:r>
          </w:p>
        </w:tc>
      </w:tr>
      <w:tr w:rsidR="005867BC" w:rsidRPr="005867BC" w:rsidTr="001A789E">
        <w:trPr>
          <w:trHeight w:val="9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Підпункт 5 пункту 4.3 глави 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 xml:space="preserve">Виставлення рахунка </w:t>
            </w:r>
            <w:proofErr w:type="spellStart"/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електропостачальником</w:t>
            </w:r>
            <w:proofErr w:type="spellEnd"/>
            <w:r w:rsidRPr="005867BC">
              <w:rPr>
                <w:rFonts w:ascii="Times New Roman" w:hAnsi="Times New Roman" w:cs="Times New Roman"/>
                <w:sz w:val="24"/>
                <w:szCs w:val="24"/>
              </w:rPr>
              <w:t xml:space="preserve"> (у паперовій або електронній формі)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Строк, визначений договором та/або ПРРЕЕ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 за зверненням споживача</w:t>
            </w:r>
          </w:p>
        </w:tc>
      </w:tr>
      <w:tr w:rsidR="005867BC" w:rsidRPr="005867BC" w:rsidTr="001A789E">
        <w:trPr>
          <w:trHeight w:val="105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D4584C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Підпункт 6 пункту 4.3 глави 4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 xml:space="preserve">Виставлення рахунка </w:t>
            </w:r>
            <w:proofErr w:type="spellStart"/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-постачальником з правильними даними про ціну, вартість та обсяг спожитої електричної енергії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7BC" w:rsidRPr="005867BC" w:rsidRDefault="005867BC" w:rsidP="009F2FC1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BC">
              <w:rPr>
                <w:rFonts w:ascii="Times New Roman" w:hAnsi="Times New Roman" w:cs="Times New Roman"/>
                <w:sz w:val="24"/>
                <w:szCs w:val="24"/>
              </w:rPr>
              <w:t>одноразово за зверненням споживача</w:t>
            </w:r>
          </w:p>
        </w:tc>
      </w:tr>
    </w:tbl>
    <w:p w:rsidR="005867BC" w:rsidRPr="005867BC" w:rsidRDefault="005867BC" w:rsidP="00312EDF">
      <w:pPr>
        <w:rPr>
          <w:rFonts w:ascii="Times New Roman" w:hAnsi="Times New Roman" w:cs="Times New Roman"/>
          <w:sz w:val="24"/>
          <w:szCs w:val="24"/>
        </w:rPr>
      </w:pPr>
    </w:p>
    <w:p w:rsidR="005867BC" w:rsidRDefault="005867BC" w:rsidP="00312EDF"/>
    <w:p w:rsidR="00584D8F" w:rsidRDefault="00584D8F" w:rsidP="00312EDF"/>
    <w:p w:rsidR="005867BC" w:rsidRDefault="005867BC" w:rsidP="00312EDF"/>
    <w:p w:rsidR="00F145DD" w:rsidRPr="00F145DD" w:rsidRDefault="00F145DD" w:rsidP="00F145DD">
      <w:pPr>
        <w:jc w:val="both"/>
      </w:pPr>
      <w:r>
        <w:t>*</w:t>
      </w:r>
      <w:r w:rsidRPr="00F145DD">
        <w:rPr>
          <w:rFonts w:ascii="Times New Roman" w:hAnsi="Times New Roman" w:cs="Times New Roman"/>
          <w:i/>
          <w:sz w:val="24"/>
        </w:rPr>
        <w:t>З положеннями та умовами Порядку кожна можна ознайомитися за посиланням: </w:t>
      </w:r>
      <w:hyperlink r:id="rId5" w:tgtFrame="_blank" w:history="1">
        <w:r w:rsidRPr="00F145DD">
          <w:rPr>
            <w:rStyle w:val="a4"/>
            <w:rFonts w:ascii="Times New Roman" w:hAnsi="Times New Roman" w:cs="Times New Roman"/>
            <w:i/>
            <w:sz w:val="24"/>
          </w:rPr>
          <w:t>Про затвердження Порядку забезпечення стандартів якості електропостачання та надання компенсацій споживачам за їх недотримання</w:t>
        </w:r>
      </w:hyperlink>
      <w:r w:rsidRPr="00F145DD">
        <w:rPr>
          <w:rFonts w:ascii="Times New Roman" w:hAnsi="Times New Roman" w:cs="Times New Roman"/>
          <w:i/>
          <w:sz w:val="24"/>
          <w:u w:val="single"/>
        </w:rPr>
        <w:t>.</w:t>
      </w:r>
    </w:p>
    <w:p w:rsidR="005867BC" w:rsidRDefault="005867BC" w:rsidP="00312EDF"/>
    <w:p w:rsidR="00312EDF" w:rsidRPr="00312EDF" w:rsidRDefault="00F145DD" w:rsidP="005867BC">
      <w:pPr>
        <w:jc w:val="both"/>
      </w:pPr>
      <w:r>
        <w:t>*</w:t>
      </w:r>
      <w:r w:rsidR="00312EDF" w:rsidRPr="00312EDF">
        <w:t xml:space="preserve">* </w:t>
      </w:r>
      <w:r w:rsidR="00312EDF" w:rsidRPr="005867BC">
        <w:rPr>
          <w:rFonts w:ascii="Times New Roman" w:hAnsi="Times New Roman" w:cs="Times New Roman"/>
          <w:i/>
        </w:rPr>
        <w:t>якщо законодавство України, яке р</w:t>
      </w:r>
      <w:r>
        <w:rPr>
          <w:rFonts w:ascii="Times New Roman" w:hAnsi="Times New Roman" w:cs="Times New Roman"/>
          <w:i/>
        </w:rPr>
        <w:t>егулює питання порядку, підстав</w:t>
      </w:r>
      <w:r w:rsidR="00312EDF" w:rsidRPr="005867BC">
        <w:rPr>
          <w:rFonts w:ascii="Times New Roman" w:hAnsi="Times New Roman" w:cs="Times New Roman"/>
          <w:i/>
        </w:rPr>
        <w:t xml:space="preserve"> та розміру виплати компенсації споживачу у випадку не дотримання </w:t>
      </w:r>
      <w:proofErr w:type="spellStart"/>
      <w:r w:rsidR="00312EDF" w:rsidRPr="005867BC">
        <w:rPr>
          <w:rFonts w:ascii="Times New Roman" w:hAnsi="Times New Roman" w:cs="Times New Roman"/>
          <w:i/>
        </w:rPr>
        <w:t>електропостачальником</w:t>
      </w:r>
      <w:proofErr w:type="spellEnd"/>
      <w:r w:rsidR="00312EDF" w:rsidRPr="005867BC">
        <w:rPr>
          <w:rFonts w:ascii="Times New Roman" w:hAnsi="Times New Roman" w:cs="Times New Roman"/>
          <w:i/>
        </w:rPr>
        <w:t xml:space="preserve"> гарантованих стандартів якості надання послуг зазнає змін внаслідок чого інформація, яка розміщена на офіційному сайті ТОВ «</w:t>
      </w:r>
      <w:r w:rsidR="005867BC">
        <w:rPr>
          <w:rFonts w:ascii="Times New Roman" w:hAnsi="Times New Roman" w:cs="Times New Roman"/>
          <w:i/>
        </w:rPr>
        <w:t>ПРЕТ СЕРВІС ЕНЕРГОЗМІН</w:t>
      </w:r>
      <w:r w:rsidR="00312EDF" w:rsidRPr="005867BC">
        <w:rPr>
          <w:rFonts w:ascii="Times New Roman" w:hAnsi="Times New Roman" w:cs="Times New Roman"/>
          <w:i/>
        </w:rPr>
        <w:t xml:space="preserve">», відрізняється від положень чинного законодавства України, до правовідносин Сторін застосовуються чинні положення законодавства України, які регулюють порядок, підстави та розмір виплати компенсації споживачу у випадку не дотримання </w:t>
      </w:r>
      <w:proofErr w:type="spellStart"/>
      <w:r w:rsidR="00312EDF" w:rsidRPr="005867BC">
        <w:rPr>
          <w:rFonts w:ascii="Times New Roman" w:hAnsi="Times New Roman" w:cs="Times New Roman"/>
          <w:i/>
        </w:rPr>
        <w:t>електропостачальником</w:t>
      </w:r>
      <w:proofErr w:type="spellEnd"/>
      <w:r w:rsidR="00312EDF" w:rsidRPr="005867BC">
        <w:rPr>
          <w:rFonts w:ascii="Times New Roman" w:hAnsi="Times New Roman" w:cs="Times New Roman"/>
          <w:i/>
        </w:rPr>
        <w:t xml:space="preserve"> гарантованих стандартів якості надання послуг електропостачання</w:t>
      </w:r>
      <w:r w:rsidR="00312EDF" w:rsidRPr="00312EDF">
        <w:t>.</w:t>
      </w:r>
    </w:p>
    <w:p w:rsidR="00CB7B9B" w:rsidRDefault="00CB7B9B"/>
    <w:sectPr w:rsidR="00CB7B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2"/>
    <w:rsid w:val="001A789E"/>
    <w:rsid w:val="00312EDF"/>
    <w:rsid w:val="00584D8F"/>
    <w:rsid w:val="005867BC"/>
    <w:rsid w:val="006513F2"/>
    <w:rsid w:val="00CB7B9B"/>
    <w:rsid w:val="00D4584C"/>
    <w:rsid w:val="00D8725D"/>
    <w:rsid w:val="00F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8E5D"/>
  <w15:chartTrackingRefBased/>
  <w15:docId w15:val="{8A1DC20B-0DAD-4AFF-AB52-D3EBF5C5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12E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6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75874-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Непийвода Вікторія Василівна</dc:creator>
  <cp:keywords/>
  <dc:description/>
  <cp:lastModifiedBy>Непийвода Вікторія Василівна</cp:lastModifiedBy>
  <cp:revision>5</cp:revision>
  <dcterms:created xsi:type="dcterms:W3CDTF">2025-09-08T08:12:00Z</dcterms:created>
  <dcterms:modified xsi:type="dcterms:W3CDTF">2025-09-08T10:49:00Z</dcterms:modified>
</cp:coreProperties>
</file>