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B1F53" w:rsidRDefault="00CB1F53" w:rsidP="004A71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C2D9AD9" wp14:editId="5C9A57F0">
            <wp:extent cx="3723723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321" cy="113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C5E13" w14:textId="77777777" w:rsidR="00A15407" w:rsidRPr="00CB1F53" w:rsidRDefault="004A71B8" w:rsidP="004A71B8">
      <w:pPr>
        <w:jc w:val="center"/>
        <w:rPr>
          <w:rFonts w:ascii="Arial" w:hAnsi="Arial" w:cs="Arial"/>
          <w:b/>
          <w:sz w:val="24"/>
          <w:szCs w:val="24"/>
        </w:rPr>
      </w:pPr>
      <w:r w:rsidRPr="00CB1F53">
        <w:rPr>
          <w:rFonts w:ascii="Arial" w:hAnsi="Arial" w:cs="Arial"/>
          <w:b/>
          <w:sz w:val="24"/>
          <w:szCs w:val="24"/>
        </w:rPr>
        <w:t>Record of Officer’s Decision</w:t>
      </w:r>
    </w:p>
    <w:p w14:paraId="7F80E304" w14:textId="77777777" w:rsidR="004A71B8" w:rsidRDefault="004A71B8" w:rsidP="003E4572">
      <w:pPr>
        <w:jc w:val="center"/>
        <w:rPr>
          <w:rFonts w:ascii="Arial" w:hAnsi="Arial" w:cs="Arial"/>
        </w:rPr>
      </w:pPr>
      <w:r w:rsidRPr="00CB1F53">
        <w:rPr>
          <w:rFonts w:ascii="Arial" w:hAnsi="Arial" w:cs="Arial"/>
          <w:b/>
          <w:sz w:val="24"/>
          <w:szCs w:val="24"/>
        </w:rPr>
        <w:t xml:space="preserve">The Openness of Local Government Bodies Regulations 2014 </w:t>
      </w:r>
      <w:r w:rsidR="003E4572">
        <w:rPr>
          <w:rFonts w:ascii="Arial" w:hAnsi="Arial" w:cs="Arial"/>
          <w:b/>
          <w:sz w:val="24"/>
          <w:szCs w:val="24"/>
        </w:rPr>
        <w:t>and t</w:t>
      </w:r>
      <w:r w:rsidRPr="00CB1F53">
        <w:rPr>
          <w:rFonts w:ascii="Arial" w:hAnsi="Arial" w:cs="Arial"/>
          <w:b/>
          <w:sz w:val="24"/>
          <w:szCs w:val="24"/>
        </w:rPr>
        <w:t>he Local Authorities (Executive Arrangements) (Meetings and Access to Information) (England) Regulations 2012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5590"/>
      </w:tblGrid>
      <w:tr w:rsidR="00C03613" w14:paraId="61E2B3F9" w14:textId="77777777" w:rsidTr="4276EB60">
        <w:tc>
          <w:tcPr>
            <w:tcW w:w="3227" w:type="dxa"/>
          </w:tcPr>
          <w:p w14:paraId="7F5AD0C0" w14:textId="77777777" w:rsidR="00C03613" w:rsidRPr="00C33677" w:rsidRDefault="00C03613" w:rsidP="0050342B">
            <w:pPr>
              <w:jc w:val="both"/>
              <w:rPr>
                <w:b/>
                <w:sz w:val="24"/>
                <w:szCs w:val="24"/>
              </w:rPr>
            </w:pPr>
            <w:r w:rsidRPr="00C33677">
              <w:rPr>
                <w:b/>
                <w:sz w:val="24"/>
                <w:szCs w:val="24"/>
              </w:rPr>
              <w:t>Date of Decision:</w:t>
            </w:r>
          </w:p>
          <w:p w14:paraId="0A37501D" w14:textId="77777777" w:rsidR="00C03613" w:rsidRPr="00C33677" w:rsidRDefault="00C03613" w:rsidP="0050342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14:paraId="1D323FC9" w14:textId="77777777" w:rsidR="00C03613" w:rsidRPr="00CB4B38" w:rsidRDefault="00CB4B38" w:rsidP="004A71B8">
            <w:pPr>
              <w:rPr>
                <w:rFonts w:ascii="Arial" w:hAnsi="Arial" w:cs="Arial"/>
                <w:sz w:val="24"/>
                <w:szCs w:val="24"/>
              </w:rPr>
            </w:pPr>
            <w:r w:rsidRPr="00CB4B38">
              <w:rPr>
                <w:rFonts w:ascii="Arial" w:hAnsi="Arial" w:cs="Arial"/>
                <w:color w:val="FF0000"/>
                <w:sz w:val="24"/>
                <w:szCs w:val="24"/>
              </w:rPr>
              <w:t>[insert]</w:t>
            </w:r>
          </w:p>
        </w:tc>
      </w:tr>
      <w:tr w:rsidR="00C03613" w14:paraId="24781D8C" w14:textId="77777777" w:rsidTr="4276EB60">
        <w:tc>
          <w:tcPr>
            <w:tcW w:w="3227" w:type="dxa"/>
          </w:tcPr>
          <w:p w14:paraId="2696F967" w14:textId="77777777" w:rsidR="00C03613" w:rsidRPr="00C33677" w:rsidRDefault="00C03613" w:rsidP="0050342B">
            <w:pPr>
              <w:jc w:val="both"/>
              <w:rPr>
                <w:b/>
                <w:sz w:val="24"/>
                <w:szCs w:val="24"/>
              </w:rPr>
            </w:pPr>
            <w:r w:rsidRPr="00C33677">
              <w:rPr>
                <w:b/>
                <w:sz w:val="24"/>
                <w:szCs w:val="24"/>
              </w:rPr>
              <w:t>Decision Maker (Officer):</w:t>
            </w:r>
          </w:p>
          <w:p w14:paraId="5DAB6C7B" w14:textId="77777777" w:rsidR="00C03613" w:rsidRPr="00C33677" w:rsidRDefault="00C03613" w:rsidP="005034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14:paraId="4886522D" w14:textId="77777777" w:rsidR="00C03613" w:rsidRPr="00CB4B38" w:rsidRDefault="00CB4B38" w:rsidP="00635B84">
            <w:pPr>
              <w:rPr>
                <w:rFonts w:ascii="Arial" w:hAnsi="Arial" w:cs="Arial"/>
                <w:sz w:val="24"/>
                <w:szCs w:val="24"/>
              </w:rPr>
            </w:pPr>
            <w:r w:rsidRPr="00CB4B38">
              <w:rPr>
                <w:rFonts w:ascii="Arial" w:hAnsi="Arial" w:cs="Arial"/>
                <w:color w:val="FF0000"/>
                <w:sz w:val="24"/>
                <w:szCs w:val="24"/>
              </w:rPr>
              <w:t>[insert name and title]</w:t>
            </w:r>
          </w:p>
        </w:tc>
      </w:tr>
      <w:tr w:rsidR="00C03613" w14:paraId="038237AA" w14:textId="77777777" w:rsidTr="4276EB60">
        <w:tc>
          <w:tcPr>
            <w:tcW w:w="3227" w:type="dxa"/>
          </w:tcPr>
          <w:p w14:paraId="01A4A8A3" w14:textId="77777777" w:rsidR="00C03613" w:rsidRPr="00C33677" w:rsidRDefault="00C03613" w:rsidP="0050342B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33677">
              <w:rPr>
                <w:rFonts w:cs="Arial"/>
                <w:b/>
                <w:sz w:val="24"/>
                <w:szCs w:val="24"/>
              </w:rPr>
              <w:t>Authority for Delegated Decision (Cabinet</w:t>
            </w:r>
            <w:r w:rsidR="003E4572">
              <w:rPr>
                <w:rFonts w:cs="Arial"/>
                <w:b/>
                <w:sz w:val="24"/>
                <w:szCs w:val="24"/>
              </w:rPr>
              <w:t>/Committee</w:t>
            </w:r>
            <w:r w:rsidRPr="00C33677">
              <w:rPr>
                <w:rFonts w:cs="Arial"/>
                <w:b/>
                <w:sz w:val="24"/>
                <w:szCs w:val="24"/>
              </w:rPr>
              <w:t xml:space="preserve"> Decision or Scheme of Delegation – provide reference):</w:t>
            </w:r>
          </w:p>
          <w:p w14:paraId="02EB378F" w14:textId="77777777" w:rsidR="00C03613" w:rsidRPr="00C33677" w:rsidRDefault="00C03613" w:rsidP="0050342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14:paraId="2D699529" w14:textId="77777777" w:rsidR="00915D35" w:rsidRPr="00635B84" w:rsidRDefault="00D121DF" w:rsidP="004A71B8">
            <w:pPr>
              <w:rPr>
                <w:rFonts w:ascii="Arial" w:hAnsi="Arial" w:cs="Arial"/>
                <w:sz w:val="24"/>
                <w:szCs w:val="24"/>
              </w:rPr>
            </w:pPr>
            <w:r w:rsidRPr="00635B84">
              <w:rPr>
                <w:rFonts w:ascii="Arial" w:hAnsi="Arial" w:cs="Arial"/>
                <w:sz w:val="24"/>
                <w:szCs w:val="24"/>
              </w:rPr>
              <w:t xml:space="preserve">Part 3, Schedule 3 – Responsibility for Executive Functions delegated to Officers paragraph 4.3 (1) – the Corporate Director has delegated authority to discharge executive functions within their respective service areas (Part 3.38).  All delegations are subject to consultation </w:t>
            </w:r>
            <w:proofErr w:type="gramStart"/>
            <w:r w:rsidRPr="00635B84">
              <w:rPr>
                <w:rFonts w:ascii="Arial" w:hAnsi="Arial" w:cs="Arial"/>
                <w:sz w:val="24"/>
                <w:szCs w:val="24"/>
              </w:rPr>
              <w:t>where</w:t>
            </w:r>
            <w:proofErr w:type="gramEnd"/>
            <w:r w:rsidRPr="00635B84">
              <w:rPr>
                <w:rFonts w:ascii="Arial" w:hAnsi="Arial" w:cs="Arial"/>
                <w:sz w:val="24"/>
                <w:szCs w:val="24"/>
              </w:rPr>
              <w:t xml:space="preserve"> considered appropriate in the circumstances (paragraph 4.3 (4(ii) – Part 3.39).  </w:t>
            </w:r>
          </w:p>
          <w:p w14:paraId="6A05A809" w14:textId="77777777" w:rsidR="00635B84" w:rsidRPr="00635B84" w:rsidRDefault="00635B84" w:rsidP="004A71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4DE05" w14:textId="77777777" w:rsidR="00D121DF" w:rsidRPr="00CB4B38" w:rsidRDefault="00915D35" w:rsidP="00CB4B38">
            <w:pPr>
              <w:rPr>
                <w:rFonts w:ascii="Arial" w:hAnsi="Arial" w:cs="Arial"/>
                <w:sz w:val="24"/>
                <w:szCs w:val="24"/>
              </w:rPr>
            </w:pPr>
            <w:r w:rsidRPr="00CB4B38">
              <w:rPr>
                <w:rFonts w:ascii="Arial" w:hAnsi="Arial" w:cs="Arial"/>
                <w:sz w:val="24"/>
                <w:szCs w:val="24"/>
              </w:rPr>
              <w:t>The Corporate Director (</w:t>
            </w:r>
            <w:r w:rsidR="00CB4B38" w:rsidRPr="00CB4B38">
              <w:rPr>
                <w:rFonts w:ascii="Arial" w:hAnsi="Arial" w:cs="Arial"/>
                <w:color w:val="FF0000"/>
                <w:sz w:val="24"/>
                <w:szCs w:val="24"/>
              </w:rPr>
              <w:t>insert</w:t>
            </w:r>
            <w:r w:rsidRPr="00CB4B38">
              <w:rPr>
                <w:rFonts w:ascii="Arial" w:hAnsi="Arial" w:cs="Arial"/>
                <w:sz w:val="24"/>
                <w:szCs w:val="24"/>
              </w:rPr>
              <w:t>) has delegated operational matters relating to the</w:t>
            </w:r>
            <w:r w:rsidR="00CB4B38" w:rsidRPr="00CB4B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B38" w:rsidRPr="00CB4B38">
              <w:rPr>
                <w:rFonts w:ascii="Arial" w:hAnsi="Arial" w:cs="Arial"/>
                <w:color w:val="FF0000"/>
                <w:sz w:val="24"/>
                <w:szCs w:val="24"/>
              </w:rPr>
              <w:t>[insert subject matter]</w:t>
            </w:r>
            <w:r w:rsidRPr="00CB4B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5B84" w:rsidRPr="00CB4B38">
              <w:rPr>
                <w:rFonts w:ascii="Arial" w:hAnsi="Arial" w:cs="Arial"/>
                <w:sz w:val="24"/>
                <w:szCs w:val="24"/>
              </w:rPr>
              <w:t>to the</w:t>
            </w:r>
            <w:r w:rsidR="00CB4B38" w:rsidRPr="00CB4B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B38" w:rsidRPr="00CB4B38">
              <w:rPr>
                <w:rFonts w:ascii="Arial" w:hAnsi="Arial" w:cs="Arial"/>
                <w:color w:val="FF0000"/>
                <w:sz w:val="24"/>
                <w:szCs w:val="24"/>
              </w:rPr>
              <w:t>[insert title]</w:t>
            </w:r>
            <w:r w:rsidR="00635B84" w:rsidRPr="00CB4B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03613" w14:paraId="32EC70E5" w14:textId="77777777" w:rsidTr="4276EB60">
        <w:tc>
          <w:tcPr>
            <w:tcW w:w="3227" w:type="dxa"/>
          </w:tcPr>
          <w:p w14:paraId="194A2056" w14:textId="77777777" w:rsidR="00C03613" w:rsidRPr="00C33677" w:rsidRDefault="00C03613" w:rsidP="0050342B">
            <w:pPr>
              <w:jc w:val="both"/>
              <w:rPr>
                <w:b/>
                <w:sz w:val="24"/>
                <w:szCs w:val="24"/>
              </w:rPr>
            </w:pPr>
            <w:r w:rsidRPr="00C33677">
              <w:rPr>
                <w:b/>
                <w:sz w:val="24"/>
                <w:szCs w:val="24"/>
              </w:rPr>
              <w:t>Identify which Portfolio Holder(s)</w:t>
            </w:r>
            <w:r w:rsidR="003E4572">
              <w:rPr>
                <w:b/>
                <w:sz w:val="24"/>
                <w:szCs w:val="24"/>
              </w:rPr>
              <w:t>/Committee Chairman</w:t>
            </w:r>
            <w:r w:rsidRPr="00C33677">
              <w:rPr>
                <w:b/>
                <w:sz w:val="24"/>
                <w:szCs w:val="24"/>
              </w:rPr>
              <w:t xml:space="preserve"> consulted?</w:t>
            </w:r>
          </w:p>
          <w:p w14:paraId="5A39BBE3" w14:textId="77777777" w:rsidR="00C03613" w:rsidRPr="00C33677" w:rsidRDefault="00C03613" w:rsidP="0050342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14:paraId="4631D189" w14:textId="77777777" w:rsidR="00C03613" w:rsidRPr="00CB4B38" w:rsidRDefault="00CB4B38" w:rsidP="00635B84">
            <w:pPr>
              <w:rPr>
                <w:rFonts w:ascii="Arial" w:hAnsi="Arial" w:cs="Arial"/>
                <w:sz w:val="24"/>
                <w:szCs w:val="24"/>
              </w:rPr>
            </w:pPr>
            <w:r w:rsidRPr="00CB4B38">
              <w:rPr>
                <w:rFonts w:ascii="Arial" w:hAnsi="Arial" w:cs="Arial"/>
                <w:color w:val="FF0000"/>
                <w:sz w:val="24"/>
                <w:szCs w:val="24"/>
              </w:rPr>
              <w:t>[insert]</w:t>
            </w:r>
          </w:p>
        </w:tc>
      </w:tr>
      <w:tr w:rsidR="003E4572" w14:paraId="07F6FA0B" w14:textId="77777777" w:rsidTr="4276EB60">
        <w:tc>
          <w:tcPr>
            <w:tcW w:w="3227" w:type="dxa"/>
          </w:tcPr>
          <w:p w14:paraId="3F2A07E5" w14:textId="77777777" w:rsidR="003E4572" w:rsidRPr="00C33677" w:rsidRDefault="003E4572" w:rsidP="005034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Ward Member(s) consulted?</w:t>
            </w:r>
          </w:p>
        </w:tc>
        <w:tc>
          <w:tcPr>
            <w:tcW w:w="6015" w:type="dxa"/>
            <w:gridSpan w:val="2"/>
          </w:tcPr>
          <w:p w14:paraId="75D7D15C" w14:textId="77777777" w:rsidR="003E4572" w:rsidRPr="00CB4B38" w:rsidRDefault="00CB4B38" w:rsidP="004A71B8">
            <w:pPr>
              <w:rPr>
                <w:rFonts w:ascii="Arial" w:hAnsi="Arial" w:cs="Arial"/>
                <w:sz w:val="24"/>
                <w:szCs w:val="24"/>
              </w:rPr>
            </w:pPr>
            <w:r w:rsidRPr="00CB4B38">
              <w:rPr>
                <w:rFonts w:ascii="Arial" w:hAnsi="Arial" w:cs="Arial"/>
                <w:color w:val="FF0000"/>
                <w:sz w:val="24"/>
                <w:szCs w:val="24"/>
              </w:rPr>
              <w:t>[insert]</w:t>
            </w:r>
          </w:p>
        </w:tc>
      </w:tr>
      <w:tr w:rsidR="00C03613" w14:paraId="6508A793" w14:textId="77777777" w:rsidTr="4276EB60">
        <w:tc>
          <w:tcPr>
            <w:tcW w:w="3227" w:type="dxa"/>
          </w:tcPr>
          <w:p w14:paraId="5F96DFD9" w14:textId="77777777" w:rsidR="00C03613" w:rsidRDefault="00C03613" w:rsidP="0050342B">
            <w:pPr>
              <w:jc w:val="both"/>
              <w:rPr>
                <w:b/>
                <w:sz w:val="24"/>
                <w:szCs w:val="24"/>
              </w:rPr>
            </w:pPr>
            <w:r w:rsidRPr="00C33677">
              <w:rPr>
                <w:b/>
                <w:sz w:val="24"/>
                <w:szCs w:val="24"/>
              </w:rPr>
              <w:t>Is it a Key Decision?</w:t>
            </w:r>
          </w:p>
          <w:p w14:paraId="41C8F396" w14:textId="77777777" w:rsidR="00C33677" w:rsidRPr="00C33677" w:rsidRDefault="00C33677" w:rsidP="005034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14:paraId="40EC6DAF" w14:textId="77777777" w:rsidR="00C03613" w:rsidRDefault="007455A1" w:rsidP="004A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CB4B38">
              <w:rPr>
                <w:rFonts w:ascii="Arial" w:hAnsi="Arial" w:cs="Arial"/>
              </w:rPr>
              <w:t xml:space="preserve"> </w:t>
            </w:r>
            <w:r w:rsidR="00CB4B38" w:rsidRPr="00CB4B38">
              <w:rPr>
                <w:rFonts w:ascii="Arial" w:hAnsi="Arial" w:cs="Arial"/>
                <w:color w:val="FF0000"/>
                <w:sz w:val="24"/>
                <w:szCs w:val="24"/>
              </w:rPr>
              <w:t>[if YES, can only make decision if the subject matter was included within Forward Plan]</w:t>
            </w:r>
          </w:p>
        </w:tc>
      </w:tr>
      <w:tr w:rsidR="003E4572" w14:paraId="54D26733" w14:textId="77777777" w:rsidTr="4276EB60">
        <w:tc>
          <w:tcPr>
            <w:tcW w:w="3227" w:type="dxa"/>
          </w:tcPr>
          <w:p w14:paraId="236BC1C0" w14:textId="77777777" w:rsidR="003E4572" w:rsidRPr="00C33677" w:rsidRDefault="003E4572" w:rsidP="005034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it subject to call-in?</w:t>
            </w:r>
          </w:p>
        </w:tc>
        <w:tc>
          <w:tcPr>
            <w:tcW w:w="6015" w:type="dxa"/>
            <w:gridSpan w:val="2"/>
          </w:tcPr>
          <w:p w14:paraId="184D4BD4" w14:textId="77777777" w:rsidR="003E4572" w:rsidRDefault="007455A1" w:rsidP="004A7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CB4B38">
              <w:rPr>
                <w:rFonts w:ascii="Arial" w:hAnsi="Arial" w:cs="Arial"/>
              </w:rPr>
              <w:t xml:space="preserve"> </w:t>
            </w:r>
            <w:r w:rsidR="00CB4B38" w:rsidRPr="00CB4B38">
              <w:rPr>
                <w:rFonts w:ascii="Arial" w:hAnsi="Arial" w:cs="Arial"/>
                <w:color w:val="FF0000"/>
                <w:sz w:val="24"/>
                <w:szCs w:val="24"/>
              </w:rPr>
              <w:t>[if YES, remember that the decision cannot be implemented until after Call-in period has expired]</w:t>
            </w:r>
          </w:p>
        </w:tc>
      </w:tr>
      <w:tr w:rsidR="00C03613" w14:paraId="63E4DB45" w14:textId="77777777" w:rsidTr="4276EB60">
        <w:tc>
          <w:tcPr>
            <w:tcW w:w="3227" w:type="dxa"/>
          </w:tcPr>
          <w:p w14:paraId="7602ED63" w14:textId="77777777" w:rsidR="00C03613" w:rsidRDefault="00C03613" w:rsidP="0050342B">
            <w:pPr>
              <w:jc w:val="both"/>
              <w:rPr>
                <w:b/>
                <w:sz w:val="24"/>
                <w:szCs w:val="24"/>
              </w:rPr>
            </w:pPr>
            <w:r w:rsidRPr="00C33677">
              <w:rPr>
                <w:b/>
                <w:sz w:val="24"/>
                <w:szCs w:val="24"/>
              </w:rPr>
              <w:t>Decision Made:</w:t>
            </w:r>
          </w:p>
          <w:p w14:paraId="72A3D3EC" w14:textId="77777777" w:rsidR="00E5494C" w:rsidRDefault="00E5494C" w:rsidP="0050342B">
            <w:pPr>
              <w:jc w:val="both"/>
              <w:rPr>
                <w:b/>
                <w:sz w:val="24"/>
                <w:szCs w:val="24"/>
              </w:rPr>
            </w:pPr>
          </w:p>
          <w:p w14:paraId="0D0B940D" w14:textId="77777777" w:rsidR="00E5494C" w:rsidRDefault="00E5494C" w:rsidP="0050342B">
            <w:pPr>
              <w:jc w:val="both"/>
              <w:rPr>
                <w:b/>
                <w:sz w:val="24"/>
                <w:szCs w:val="24"/>
              </w:rPr>
            </w:pPr>
          </w:p>
          <w:p w14:paraId="0E27B00A" w14:textId="77777777" w:rsidR="00E5494C" w:rsidRDefault="00E5494C" w:rsidP="0050342B">
            <w:pPr>
              <w:jc w:val="both"/>
              <w:rPr>
                <w:b/>
                <w:sz w:val="24"/>
                <w:szCs w:val="24"/>
              </w:rPr>
            </w:pPr>
          </w:p>
          <w:p w14:paraId="60061E4C" w14:textId="77777777" w:rsidR="00E5494C" w:rsidRDefault="00E5494C" w:rsidP="0050342B">
            <w:pPr>
              <w:jc w:val="both"/>
              <w:rPr>
                <w:b/>
                <w:sz w:val="24"/>
                <w:szCs w:val="24"/>
              </w:rPr>
            </w:pPr>
          </w:p>
          <w:p w14:paraId="44EAFD9C" w14:textId="77777777" w:rsidR="00E5494C" w:rsidRDefault="00E5494C" w:rsidP="0050342B">
            <w:pPr>
              <w:jc w:val="both"/>
              <w:rPr>
                <w:b/>
                <w:sz w:val="24"/>
                <w:szCs w:val="24"/>
              </w:rPr>
            </w:pPr>
          </w:p>
          <w:p w14:paraId="4B94D5A5" w14:textId="77777777" w:rsidR="00C33677" w:rsidRPr="00C33677" w:rsidRDefault="00C33677" w:rsidP="005034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14:paraId="6CD5707C" w14:textId="77777777" w:rsidR="00C03613" w:rsidRPr="00CB4B38" w:rsidRDefault="00CB4B38" w:rsidP="00CB4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B38">
              <w:rPr>
                <w:rFonts w:ascii="Arial" w:hAnsi="Arial" w:cs="Arial"/>
                <w:color w:val="FF0000"/>
                <w:sz w:val="24"/>
                <w:szCs w:val="24"/>
              </w:rPr>
              <w:t>[insert]</w:t>
            </w:r>
          </w:p>
        </w:tc>
      </w:tr>
      <w:tr w:rsidR="00C03613" w14:paraId="63B66699" w14:textId="77777777" w:rsidTr="4276EB60">
        <w:tc>
          <w:tcPr>
            <w:tcW w:w="3227" w:type="dxa"/>
          </w:tcPr>
          <w:p w14:paraId="72DFA152" w14:textId="77777777" w:rsidR="00C33677" w:rsidRPr="00C33677" w:rsidRDefault="00C4051B" w:rsidP="0050342B">
            <w:pPr>
              <w:jc w:val="both"/>
              <w:rPr>
                <w:b/>
                <w:sz w:val="24"/>
                <w:szCs w:val="24"/>
              </w:rPr>
            </w:pPr>
            <w:r w:rsidRPr="00C33677">
              <w:rPr>
                <w:b/>
                <w:sz w:val="24"/>
                <w:szCs w:val="24"/>
              </w:rPr>
              <w:t>Reason for Decision (if a report was produced to support the Decision, refer to</w:t>
            </w:r>
            <w:r w:rsidR="00CB4B38">
              <w:rPr>
                <w:b/>
                <w:sz w:val="24"/>
                <w:szCs w:val="24"/>
              </w:rPr>
              <w:t xml:space="preserve"> or attach</w:t>
            </w:r>
            <w:r w:rsidRPr="00C33677">
              <w:rPr>
                <w:b/>
                <w:sz w:val="24"/>
                <w:szCs w:val="24"/>
              </w:rPr>
              <w:t xml:space="preserve"> </w:t>
            </w:r>
            <w:r w:rsidR="003E4572">
              <w:rPr>
                <w:b/>
                <w:sz w:val="24"/>
                <w:szCs w:val="24"/>
              </w:rPr>
              <w:t>it</w:t>
            </w:r>
            <w:r w:rsidRPr="00C3367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6015" w:type="dxa"/>
            <w:gridSpan w:val="2"/>
          </w:tcPr>
          <w:p w14:paraId="7D69F851" w14:textId="77777777" w:rsidR="00BF30F8" w:rsidRPr="00CB4B38" w:rsidRDefault="00CB4B38" w:rsidP="004A71B8">
            <w:pPr>
              <w:rPr>
                <w:rFonts w:ascii="Arial" w:hAnsi="Arial" w:cs="Arial"/>
                <w:sz w:val="24"/>
                <w:szCs w:val="24"/>
              </w:rPr>
            </w:pPr>
            <w:r w:rsidRPr="00CB4B38">
              <w:rPr>
                <w:rFonts w:ascii="Arial" w:hAnsi="Arial" w:cs="Arial"/>
                <w:color w:val="FF0000"/>
                <w:sz w:val="24"/>
                <w:szCs w:val="24"/>
              </w:rPr>
              <w:t>[insert]</w:t>
            </w:r>
          </w:p>
        </w:tc>
      </w:tr>
      <w:tr w:rsidR="00C4051B" w14:paraId="7C8EB4D6" w14:textId="77777777" w:rsidTr="4276EB60">
        <w:tc>
          <w:tcPr>
            <w:tcW w:w="3227" w:type="dxa"/>
          </w:tcPr>
          <w:p w14:paraId="4A6F89EB" w14:textId="77777777" w:rsidR="00C4051B" w:rsidRDefault="00C4051B" w:rsidP="0050342B">
            <w:pPr>
              <w:jc w:val="both"/>
              <w:rPr>
                <w:b/>
                <w:sz w:val="24"/>
                <w:szCs w:val="24"/>
              </w:rPr>
            </w:pPr>
            <w:r w:rsidRPr="00C33677">
              <w:rPr>
                <w:b/>
                <w:sz w:val="24"/>
                <w:szCs w:val="24"/>
              </w:rPr>
              <w:lastRenderedPageBreak/>
              <w:t>Highlight any associated risks/finance/legal/equality considerations:</w:t>
            </w:r>
          </w:p>
          <w:p w14:paraId="3DEEC669" w14:textId="77777777" w:rsidR="00C33677" w:rsidRPr="00C33677" w:rsidRDefault="00C33677" w:rsidP="0050342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14:paraId="3E37A2F7" w14:textId="77777777" w:rsidR="00C4051B" w:rsidRPr="00CB4B38" w:rsidRDefault="00CB4B38" w:rsidP="00BF30F8">
            <w:pPr>
              <w:rPr>
                <w:rFonts w:ascii="Arial" w:hAnsi="Arial" w:cs="Arial"/>
                <w:sz w:val="24"/>
                <w:szCs w:val="24"/>
              </w:rPr>
            </w:pPr>
            <w:r w:rsidRPr="00CB4B38">
              <w:rPr>
                <w:rFonts w:ascii="Arial" w:hAnsi="Arial" w:cs="Arial"/>
                <w:color w:val="FF0000"/>
                <w:sz w:val="24"/>
                <w:szCs w:val="24"/>
              </w:rPr>
              <w:t>[insert]</w:t>
            </w:r>
          </w:p>
        </w:tc>
      </w:tr>
      <w:tr w:rsidR="4276EB60" w14:paraId="5A1DBE0F" w14:textId="77777777" w:rsidTr="4276EB60">
        <w:trPr>
          <w:trHeight w:val="300"/>
        </w:trPr>
        <w:tc>
          <w:tcPr>
            <w:tcW w:w="3227" w:type="dxa"/>
          </w:tcPr>
          <w:p w14:paraId="3AA12F65" w14:textId="0359B58C" w:rsidR="345BB75F" w:rsidRDefault="345BB75F" w:rsidP="4276EB60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4276EB60">
              <w:rPr>
                <w:b/>
                <w:bCs/>
                <w:sz w:val="24"/>
                <w:szCs w:val="24"/>
                <w:highlight w:val="yellow"/>
              </w:rPr>
              <w:t>NEW :</w:t>
            </w:r>
            <w:proofErr w:type="gramEnd"/>
            <w:r w:rsidRPr="4276EB60">
              <w:rPr>
                <w:b/>
                <w:bCs/>
                <w:sz w:val="24"/>
                <w:szCs w:val="24"/>
                <w:highlight w:val="yellow"/>
              </w:rPr>
              <w:t xml:space="preserve"> Details of Local Government Reorganisation and/or Devolution considerations</w:t>
            </w:r>
          </w:p>
        </w:tc>
        <w:tc>
          <w:tcPr>
            <w:tcW w:w="6015" w:type="dxa"/>
            <w:gridSpan w:val="2"/>
          </w:tcPr>
          <w:p w14:paraId="7D76CF79" w14:textId="7B7434F6" w:rsidR="4276EB60" w:rsidRDefault="4276EB60" w:rsidP="4276EB6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03613" w14:paraId="13B3D11F" w14:textId="77777777" w:rsidTr="4276EB60">
        <w:tc>
          <w:tcPr>
            <w:tcW w:w="3227" w:type="dxa"/>
          </w:tcPr>
          <w:p w14:paraId="3C454A02" w14:textId="77777777" w:rsidR="00C03613" w:rsidRDefault="00C03613" w:rsidP="0050342B">
            <w:pPr>
              <w:jc w:val="both"/>
              <w:rPr>
                <w:b/>
                <w:sz w:val="24"/>
                <w:szCs w:val="24"/>
              </w:rPr>
            </w:pPr>
            <w:r w:rsidRPr="00C33677">
              <w:rPr>
                <w:b/>
                <w:sz w:val="24"/>
                <w:szCs w:val="24"/>
              </w:rPr>
              <w:t>Details of any Alternative Options Considered and rejected (together with reasons):</w:t>
            </w:r>
          </w:p>
          <w:p w14:paraId="3656B9AB" w14:textId="77777777" w:rsidR="00C33677" w:rsidRPr="00C33677" w:rsidRDefault="00C33677" w:rsidP="0050342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14:paraId="45FB0818" w14:textId="77777777" w:rsidR="00C03613" w:rsidRPr="00CB4B38" w:rsidRDefault="00C03613" w:rsidP="00BF3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613" w14:paraId="0D555510" w14:textId="77777777" w:rsidTr="4276EB60">
        <w:tc>
          <w:tcPr>
            <w:tcW w:w="3227" w:type="dxa"/>
          </w:tcPr>
          <w:p w14:paraId="1F2816B2" w14:textId="77777777" w:rsidR="00C03613" w:rsidRPr="00C33677" w:rsidRDefault="00C03613" w:rsidP="0050342B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33677">
              <w:rPr>
                <w:rFonts w:cs="Arial"/>
                <w:b/>
                <w:sz w:val="24"/>
                <w:szCs w:val="24"/>
              </w:rPr>
              <w:t xml:space="preserve">Details of any declarations of </w:t>
            </w:r>
            <w:proofErr w:type="gramStart"/>
            <w:r w:rsidRPr="00C33677">
              <w:rPr>
                <w:rFonts w:cs="Arial"/>
                <w:b/>
                <w:sz w:val="24"/>
                <w:szCs w:val="24"/>
              </w:rPr>
              <w:t>interest  (</w:t>
            </w:r>
            <w:proofErr w:type="gramEnd"/>
            <w:r w:rsidRPr="00C33677">
              <w:rPr>
                <w:b/>
                <w:sz w:val="24"/>
                <w:szCs w:val="24"/>
              </w:rPr>
              <w:t>by Portfolio Holder</w:t>
            </w:r>
            <w:r w:rsidR="003E4572">
              <w:rPr>
                <w:b/>
                <w:sz w:val="24"/>
                <w:szCs w:val="24"/>
              </w:rPr>
              <w:t>/Committee Chairman</w:t>
            </w:r>
            <w:r w:rsidRPr="00C33677">
              <w:rPr>
                <w:b/>
                <w:sz w:val="24"/>
                <w:szCs w:val="24"/>
              </w:rPr>
              <w:t xml:space="preserve"> who was consulted by the officer, which related to the decision)</w:t>
            </w:r>
          </w:p>
          <w:p w14:paraId="049F31CB" w14:textId="77777777" w:rsidR="00C03613" w:rsidRPr="00C33677" w:rsidRDefault="00C03613" w:rsidP="0050342B">
            <w:pPr>
              <w:jc w:val="both"/>
              <w:rPr>
                <w:b/>
                <w:sz w:val="24"/>
                <w:szCs w:val="24"/>
              </w:rPr>
            </w:pPr>
          </w:p>
          <w:p w14:paraId="1E0EE6F6" w14:textId="77777777" w:rsidR="00C03613" w:rsidRDefault="00C03613" w:rsidP="0050342B">
            <w:pPr>
              <w:jc w:val="both"/>
              <w:rPr>
                <w:b/>
                <w:sz w:val="24"/>
                <w:szCs w:val="24"/>
              </w:rPr>
            </w:pPr>
            <w:r w:rsidRPr="00C33677">
              <w:rPr>
                <w:b/>
                <w:sz w:val="24"/>
                <w:szCs w:val="24"/>
              </w:rPr>
              <w:t>If relevant, a note of the dispensation granted by the Monitoring Officer:</w:t>
            </w:r>
          </w:p>
          <w:p w14:paraId="53128261" w14:textId="77777777" w:rsidR="00C33677" w:rsidRPr="00C33677" w:rsidRDefault="00C33677" w:rsidP="0050342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14:paraId="2FE7A308" w14:textId="77777777" w:rsidR="00C03613" w:rsidRPr="00CB4B38" w:rsidRDefault="00CB4B38" w:rsidP="004A71B8">
            <w:pPr>
              <w:rPr>
                <w:rFonts w:ascii="Arial" w:hAnsi="Arial" w:cs="Arial"/>
                <w:sz w:val="24"/>
                <w:szCs w:val="24"/>
              </w:rPr>
            </w:pPr>
            <w:r w:rsidRPr="00CB4B38">
              <w:rPr>
                <w:rFonts w:ascii="Arial" w:hAnsi="Arial" w:cs="Arial"/>
                <w:color w:val="FF0000"/>
                <w:sz w:val="24"/>
                <w:szCs w:val="24"/>
              </w:rPr>
              <w:t xml:space="preserve">[Normally </w:t>
            </w:r>
            <w:r w:rsidR="007455A1" w:rsidRPr="00CB4B38">
              <w:rPr>
                <w:rFonts w:ascii="Arial" w:hAnsi="Arial" w:cs="Arial"/>
                <w:color w:val="FF0000"/>
                <w:sz w:val="24"/>
                <w:szCs w:val="24"/>
              </w:rPr>
              <w:t>N/A</w:t>
            </w:r>
            <w:r w:rsidRPr="00CB4B38">
              <w:rPr>
                <w:rFonts w:ascii="Arial" w:hAnsi="Arial" w:cs="Arial"/>
                <w:color w:val="FF0000"/>
                <w:sz w:val="24"/>
                <w:szCs w:val="24"/>
              </w:rPr>
              <w:t>]</w:t>
            </w:r>
          </w:p>
        </w:tc>
      </w:tr>
      <w:tr w:rsidR="00CB4B38" w14:paraId="797CC3E8" w14:textId="77777777" w:rsidTr="4276EB60">
        <w:tc>
          <w:tcPr>
            <w:tcW w:w="3227" w:type="dxa"/>
            <w:vMerge w:val="restart"/>
          </w:tcPr>
          <w:p w14:paraId="3DB72803" w14:textId="77777777" w:rsidR="00CB4B38" w:rsidRPr="00C33677" w:rsidRDefault="00CB4B38" w:rsidP="0050342B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33677">
              <w:rPr>
                <w:rFonts w:cs="Arial"/>
                <w:b/>
                <w:sz w:val="24"/>
                <w:szCs w:val="24"/>
              </w:rPr>
              <w:t>Reason Decision</w:t>
            </w:r>
            <w:r>
              <w:rPr>
                <w:rFonts w:cs="Arial"/>
                <w:b/>
                <w:sz w:val="24"/>
                <w:szCs w:val="24"/>
              </w:rPr>
              <w:t>, or supporting Report,</w:t>
            </w:r>
            <w:r w:rsidRPr="00C33677">
              <w:rPr>
                <w:rFonts w:cs="Arial"/>
                <w:b/>
                <w:sz w:val="24"/>
                <w:szCs w:val="24"/>
              </w:rPr>
              <w:t xml:space="preserve"> is not published:</w:t>
            </w:r>
          </w:p>
          <w:p w14:paraId="62486C05" w14:textId="77777777" w:rsidR="00CB4B38" w:rsidRPr="00C33677" w:rsidRDefault="00CB4B38" w:rsidP="005034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58B2C144" w14:textId="77777777" w:rsidR="00CB4B38" w:rsidRPr="00C33677" w:rsidRDefault="00CB4B38" w:rsidP="0050342B">
            <w:pPr>
              <w:jc w:val="both"/>
              <w:rPr>
                <w:rFonts w:cs="Arial"/>
                <w:i/>
                <w:sz w:val="24"/>
                <w:szCs w:val="24"/>
              </w:rPr>
            </w:pPr>
            <w:r w:rsidRPr="00C33677">
              <w:rPr>
                <w:rFonts w:cs="Arial"/>
                <w:i/>
                <w:sz w:val="24"/>
                <w:szCs w:val="24"/>
              </w:rPr>
              <w:t>Tick one or more of the specific exemptions,</w:t>
            </w:r>
          </w:p>
          <w:p w14:paraId="4101652C" w14:textId="77777777" w:rsidR="00CB4B38" w:rsidRPr="00C33677" w:rsidRDefault="00CB4B38" w:rsidP="0050342B">
            <w:pPr>
              <w:jc w:val="both"/>
              <w:rPr>
                <w:rFonts w:cs="Arial"/>
                <w:i/>
                <w:sz w:val="24"/>
                <w:szCs w:val="24"/>
              </w:rPr>
            </w:pPr>
          </w:p>
          <w:p w14:paraId="11690DCF" w14:textId="77777777" w:rsidR="00CB4B38" w:rsidRPr="00C33677" w:rsidRDefault="00CB4B38" w:rsidP="0050342B">
            <w:pPr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C33677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Pr="00C33677">
              <w:rPr>
                <w:rFonts w:cs="Arial"/>
                <w:b/>
                <w:i/>
                <w:sz w:val="24"/>
                <w:szCs w:val="24"/>
                <w:u w:val="single"/>
              </w:rPr>
              <w:t>and</w:t>
            </w:r>
            <w:r w:rsidRPr="00C33677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</w:p>
          <w:p w14:paraId="4B99056E" w14:textId="77777777" w:rsidR="00CB4B38" w:rsidRPr="00C33677" w:rsidRDefault="00CB4B38" w:rsidP="0050342B">
            <w:pPr>
              <w:jc w:val="both"/>
              <w:rPr>
                <w:rFonts w:cs="Arial"/>
                <w:i/>
                <w:sz w:val="24"/>
                <w:szCs w:val="24"/>
              </w:rPr>
            </w:pPr>
          </w:p>
          <w:p w14:paraId="6D862A0E" w14:textId="77777777" w:rsidR="00CB4B38" w:rsidRPr="00C33677" w:rsidRDefault="00CB4B38" w:rsidP="0050342B">
            <w:pPr>
              <w:jc w:val="both"/>
              <w:rPr>
                <w:rFonts w:cs="Arial"/>
                <w:i/>
                <w:sz w:val="24"/>
                <w:szCs w:val="24"/>
              </w:rPr>
            </w:pPr>
            <w:r w:rsidRPr="00C33677">
              <w:rPr>
                <w:rFonts w:cs="Arial"/>
                <w:i/>
                <w:sz w:val="24"/>
                <w:szCs w:val="24"/>
              </w:rPr>
              <w:t>Give more information in the final box with regards to why the exemption applies and outweighs the public interest test (which is in favour of disclosure).</w:t>
            </w:r>
          </w:p>
          <w:p w14:paraId="1299C43A" w14:textId="77777777" w:rsidR="00CB4B38" w:rsidRPr="00C33677" w:rsidRDefault="00CB4B38" w:rsidP="005034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DDBEF00" w14:textId="77777777" w:rsidR="00CB4B38" w:rsidRDefault="00CB4B38" w:rsidP="004A71B8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14:paraId="7760D11B" w14:textId="77777777" w:rsidR="00CB4B38" w:rsidRDefault="00CB4B38" w:rsidP="00503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applicable – Decision [and report] to be published</w:t>
            </w:r>
          </w:p>
        </w:tc>
      </w:tr>
      <w:tr w:rsidR="00CB4B38" w14:paraId="71E09409" w14:textId="77777777" w:rsidTr="4276EB60">
        <w:tc>
          <w:tcPr>
            <w:tcW w:w="3227" w:type="dxa"/>
            <w:vMerge/>
          </w:tcPr>
          <w:p w14:paraId="3461D779" w14:textId="77777777" w:rsidR="00CB4B38" w:rsidRPr="00C33677" w:rsidRDefault="00CB4B38" w:rsidP="0050342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14:paraId="6BC7FBC5" w14:textId="77777777" w:rsidR="00CB4B38" w:rsidRDefault="00CB4B38" w:rsidP="00CB4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B38">
              <w:rPr>
                <w:rFonts w:ascii="Arial" w:hAnsi="Arial" w:cs="Arial"/>
                <w:color w:val="FF0000"/>
                <w:sz w:val="24"/>
                <w:szCs w:val="24"/>
              </w:rPr>
              <w:t>If Report is not to be published – tick one of the following boxes:</w:t>
            </w:r>
          </w:p>
        </w:tc>
      </w:tr>
      <w:tr w:rsidR="00CB4B38" w14:paraId="045395E4" w14:textId="77777777" w:rsidTr="4276EB60">
        <w:tc>
          <w:tcPr>
            <w:tcW w:w="3227" w:type="dxa"/>
            <w:vMerge/>
          </w:tcPr>
          <w:p w14:paraId="3CF2D8B6" w14:textId="77777777" w:rsidR="00CB4B38" w:rsidRPr="00C33677" w:rsidRDefault="00CB4B38" w:rsidP="0050342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FB78278" w14:textId="77777777" w:rsidR="00CB4B38" w:rsidRDefault="00CB4B38" w:rsidP="004A71B8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14:paraId="63FC5E0D" w14:textId="77777777" w:rsidR="00CB4B38" w:rsidRPr="000C0553" w:rsidRDefault="00CB4B38" w:rsidP="00503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report supporting the </w:t>
            </w:r>
            <w:r w:rsidRPr="000C0553">
              <w:rPr>
                <w:rFonts w:ascii="Arial" w:hAnsi="Arial" w:cs="Arial"/>
                <w:sz w:val="24"/>
                <w:szCs w:val="24"/>
              </w:rPr>
              <w:t>Decision contains confidential information</w:t>
            </w:r>
          </w:p>
        </w:tc>
      </w:tr>
      <w:tr w:rsidR="00CB4B38" w14:paraId="406811C4" w14:textId="77777777" w:rsidTr="4276EB60">
        <w:tc>
          <w:tcPr>
            <w:tcW w:w="3227" w:type="dxa"/>
            <w:vMerge/>
          </w:tcPr>
          <w:p w14:paraId="1FC39945" w14:textId="77777777" w:rsidR="00CB4B38" w:rsidRPr="00C03613" w:rsidRDefault="00CB4B38" w:rsidP="00353E3C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62CB0E" w14:textId="77777777" w:rsidR="00CB4B38" w:rsidRDefault="00CB4B38" w:rsidP="004A71B8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14:paraId="5AC3009B" w14:textId="77777777" w:rsidR="00CB4B38" w:rsidRPr="000C0553" w:rsidRDefault="00CB4B38" w:rsidP="00503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Report supporting the </w:t>
            </w:r>
            <w:r w:rsidRPr="000C0553">
              <w:rPr>
                <w:rFonts w:ascii="Arial" w:hAnsi="Arial" w:cs="Arial"/>
                <w:sz w:val="24"/>
                <w:szCs w:val="24"/>
              </w:rPr>
              <w:t>Decision falls within an exemption pursuant to Sch</w:t>
            </w:r>
            <w:r>
              <w:rPr>
                <w:rFonts w:ascii="Arial" w:hAnsi="Arial" w:cs="Arial"/>
                <w:sz w:val="24"/>
                <w:szCs w:val="24"/>
              </w:rPr>
              <w:t>edule</w:t>
            </w:r>
            <w:r w:rsidRPr="000C0553">
              <w:rPr>
                <w:rFonts w:ascii="Arial" w:hAnsi="Arial" w:cs="Arial"/>
                <w:sz w:val="24"/>
                <w:szCs w:val="24"/>
              </w:rPr>
              <w:t xml:space="preserve"> 12A </w:t>
            </w:r>
            <w:r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Pr="000C0553">
              <w:rPr>
                <w:rFonts w:ascii="Arial" w:hAnsi="Arial" w:cs="Arial"/>
                <w:sz w:val="24"/>
                <w:szCs w:val="24"/>
              </w:rPr>
              <w:t>Local Government Act 1972 Information:</w:t>
            </w:r>
          </w:p>
        </w:tc>
      </w:tr>
      <w:tr w:rsidR="00CB4B38" w14:paraId="078A10FF" w14:textId="77777777" w:rsidTr="4276EB60">
        <w:tc>
          <w:tcPr>
            <w:tcW w:w="3227" w:type="dxa"/>
            <w:vMerge/>
          </w:tcPr>
          <w:p w14:paraId="34CE0A41" w14:textId="77777777" w:rsidR="00CB4B38" w:rsidRPr="00C03613" w:rsidRDefault="00CB4B38" w:rsidP="00353E3C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2EBF3C5" w14:textId="77777777" w:rsidR="00CB4B38" w:rsidRDefault="00CB4B38" w:rsidP="004A71B8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14:paraId="51FE9E75" w14:textId="77777777" w:rsidR="00CB4B38" w:rsidRPr="000C0553" w:rsidRDefault="00CB4B38" w:rsidP="0050342B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553">
              <w:rPr>
                <w:rFonts w:ascii="Arial" w:hAnsi="Arial" w:cs="Arial"/>
                <w:sz w:val="24"/>
                <w:szCs w:val="24"/>
              </w:rPr>
              <w:t xml:space="preserve">Relates to an individual </w:t>
            </w:r>
          </w:p>
        </w:tc>
      </w:tr>
      <w:tr w:rsidR="00CB4B38" w14:paraId="7B8202A1" w14:textId="77777777" w:rsidTr="4276EB60">
        <w:tc>
          <w:tcPr>
            <w:tcW w:w="3227" w:type="dxa"/>
            <w:vMerge/>
          </w:tcPr>
          <w:p w14:paraId="6D98A12B" w14:textId="77777777" w:rsidR="00CB4B38" w:rsidRPr="00C03613" w:rsidRDefault="00CB4B38" w:rsidP="00353E3C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946DB82" w14:textId="77777777" w:rsidR="00CB4B38" w:rsidRDefault="00CB4B38" w:rsidP="004A71B8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14:paraId="050CCD2D" w14:textId="77777777" w:rsidR="00CB4B38" w:rsidRPr="000C0553" w:rsidRDefault="00CB4B38" w:rsidP="0050342B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553">
              <w:rPr>
                <w:rFonts w:ascii="Arial" w:hAnsi="Arial" w:cs="Arial"/>
                <w:sz w:val="24"/>
                <w:szCs w:val="24"/>
              </w:rPr>
              <w:t xml:space="preserve">Likely to reveal the identity of an individual </w:t>
            </w:r>
          </w:p>
        </w:tc>
      </w:tr>
      <w:tr w:rsidR="00CB4B38" w14:paraId="6C08B52E" w14:textId="77777777" w:rsidTr="4276EB60">
        <w:tc>
          <w:tcPr>
            <w:tcW w:w="3227" w:type="dxa"/>
            <w:vMerge/>
          </w:tcPr>
          <w:p w14:paraId="5997CC1D" w14:textId="77777777" w:rsidR="00CB4B38" w:rsidRPr="00C03613" w:rsidRDefault="00CB4B38" w:rsidP="00353E3C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0FFD37" w14:textId="77777777" w:rsidR="00CB4B38" w:rsidRDefault="00CB4B38" w:rsidP="004A71B8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14:paraId="59909241" w14:textId="77777777" w:rsidR="00CB4B38" w:rsidRPr="000C0553" w:rsidRDefault="00CB4B38" w:rsidP="0050342B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553">
              <w:rPr>
                <w:rFonts w:ascii="Arial" w:hAnsi="Arial" w:cs="Arial"/>
                <w:sz w:val="24"/>
                <w:szCs w:val="24"/>
              </w:rPr>
              <w:t>Relating to financial or business affairs of a person or organisation</w:t>
            </w:r>
          </w:p>
          <w:p w14:paraId="6B699379" w14:textId="77777777" w:rsidR="00CB4B38" w:rsidRPr="000C0553" w:rsidRDefault="00CB4B38" w:rsidP="00503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B38" w14:paraId="08E6144F" w14:textId="77777777" w:rsidTr="4276EB60">
        <w:tc>
          <w:tcPr>
            <w:tcW w:w="3227" w:type="dxa"/>
            <w:vMerge/>
          </w:tcPr>
          <w:p w14:paraId="3FE9F23F" w14:textId="77777777" w:rsidR="00CB4B38" w:rsidRPr="00C03613" w:rsidRDefault="00CB4B38" w:rsidP="00353E3C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F72F646" w14:textId="77777777" w:rsidR="00CB4B38" w:rsidRDefault="00CB4B38" w:rsidP="004A71B8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14:paraId="73DD1195" w14:textId="77777777" w:rsidR="00CB4B38" w:rsidRPr="000C0553" w:rsidRDefault="00CB4B38" w:rsidP="0050342B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553">
              <w:rPr>
                <w:rFonts w:ascii="Arial" w:hAnsi="Arial" w:cs="Arial"/>
                <w:sz w:val="24"/>
                <w:szCs w:val="24"/>
              </w:rPr>
              <w:t>Relates to a claim for legal professional privilege in legal proceedings</w:t>
            </w:r>
          </w:p>
          <w:p w14:paraId="08CE6F91" w14:textId="77777777" w:rsidR="00CB4B38" w:rsidRPr="000C0553" w:rsidRDefault="00CB4B38" w:rsidP="0050342B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B38" w14:paraId="1D9F7524" w14:textId="77777777" w:rsidTr="4276EB60">
        <w:tc>
          <w:tcPr>
            <w:tcW w:w="3227" w:type="dxa"/>
            <w:vMerge/>
          </w:tcPr>
          <w:p w14:paraId="61CDCEAD" w14:textId="77777777" w:rsidR="00CB4B38" w:rsidRPr="00C03613" w:rsidRDefault="00CB4B38" w:rsidP="00353E3C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BB9E253" w14:textId="77777777" w:rsidR="00CB4B38" w:rsidRDefault="00CB4B38" w:rsidP="004A71B8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14:paraId="0481BC54" w14:textId="77777777" w:rsidR="00CB4B38" w:rsidRPr="000C0553" w:rsidRDefault="00CB4B38" w:rsidP="0050342B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553">
              <w:rPr>
                <w:rFonts w:ascii="Arial" w:hAnsi="Arial" w:cs="Arial"/>
                <w:sz w:val="24"/>
                <w:szCs w:val="24"/>
              </w:rPr>
              <w:t>Reveals that the Council proposes to give under any enactment a notice under or by virtue of which requirements are imposed on a person; or to make an order or direction under any enactment</w:t>
            </w:r>
          </w:p>
          <w:p w14:paraId="23DE523C" w14:textId="77777777" w:rsidR="00CB4B38" w:rsidRPr="000C0553" w:rsidRDefault="00CB4B38" w:rsidP="0050342B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B38" w14:paraId="1A6813DC" w14:textId="77777777" w:rsidTr="4276EB60">
        <w:tc>
          <w:tcPr>
            <w:tcW w:w="3227" w:type="dxa"/>
            <w:vMerge/>
          </w:tcPr>
          <w:p w14:paraId="52E56223" w14:textId="77777777" w:rsidR="00CB4B38" w:rsidRDefault="00CB4B38" w:rsidP="00353E3C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07547A01" w14:textId="77777777" w:rsidR="00CB4B38" w:rsidRDefault="00CB4B38" w:rsidP="004A71B8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14:paraId="6D878425" w14:textId="77777777" w:rsidR="00CB4B38" w:rsidRPr="000C0553" w:rsidRDefault="00CB4B38" w:rsidP="0050342B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553">
              <w:rPr>
                <w:rFonts w:ascii="Arial" w:hAnsi="Arial" w:cs="Arial"/>
                <w:sz w:val="24"/>
                <w:szCs w:val="24"/>
              </w:rPr>
              <w:t>Relating to any action taken or to be taken in connection with the prevention, investigation or prosecution of crime</w:t>
            </w:r>
          </w:p>
          <w:p w14:paraId="5043CB0F" w14:textId="77777777" w:rsidR="00CB4B38" w:rsidRPr="000C0553" w:rsidRDefault="00CB4B38" w:rsidP="00503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B38" w14:paraId="15720D92" w14:textId="77777777" w:rsidTr="4276EB60">
        <w:tc>
          <w:tcPr>
            <w:tcW w:w="3227" w:type="dxa"/>
            <w:vMerge/>
          </w:tcPr>
          <w:p w14:paraId="07459315" w14:textId="77777777" w:rsidR="00CB4B38" w:rsidRPr="00C03613" w:rsidRDefault="00CB4B38" w:rsidP="00353E3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14:paraId="3D3B8B3C" w14:textId="77777777" w:rsidR="00CB4B38" w:rsidRPr="000C0553" w:rsidRDefault="00CB4B38" w:rsidP="00503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553">
              <w:rPr>
                <w:rFonts w:ascii="Arial" w:hAnsi="Arial" w:cs="Arial"/>
                <w:sz w:val="24"/>
                <w:szCs w:val="24"/>
                <w:u w:val="single"/>
              </w:rPr>
              <w:t>And</w:t>
            </w:r>
            <w:r w:rsidRPr="000C0553">
              <w:rPr>
                <w:rFonts w:ascii="Arial" w:hAnsi="Arial" w:cs="Arial"/>
                <w:sz w:val="24"/>
                <w:szCs w:val="24"/>
              </w:rPr>
              <w:t xml:space="preserve"> is exempt if and so long, as in all the circumstances of the case, the public interest in maintaining the exemption outweighs the public interest in disclosing the information</w:t>
            </w:r>
          </w:p>
          <w:p w14:paraId="6537F28F" w14:textId="77777777" w:rsidR="00CB4B38" w:rsidRPr="000C0553" w:rsidRDefault="00CB4B38" w:rsidP="00503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042628" w14:textId="77777777" w:rsidR="00CB4B38" w:rsidRPr="00CB4B38" w:rsidRDefault="00CB4B38" w:rsidP="00503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553">
              <w:rPr>
                <w:rFonts w:ascii="Arial" w:hAnsi="Arial" w:cs="Arial"/>
                <w:sz w:val="24"/>
                <w:szCs w:val="24"/>
              </w:rPr>
              <w:t>Reasons: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4B38">
              <w:rPr>
                <w:rFonts w:ascii="Arial" w:hAnsi="Arial" w:cs="Arial"/>
                <w:color w:val="FF0000"/>
                <w:sz w:val="24"/>
                <w:szCs w:val="24"/>
              </w:rPr>
              <w:t>[insert]</w:t>
            </w:r>
          </w:p>
          <w:p w14:paraId="6DFB9E20" w14:textId="77777777" w:rsidR="00CB4B38" w:rsidRPr="000C0553" w:rsidRDefault="00CB4B38" w:rsidP="00503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DF9E56" w14:textId="77777777" w:rsidR="00CB4B38" w:rsidRPr="000C0553" w:rsidRDefault="00CB4B38" w:rsidP="00503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459DD" w14:textId="77777777" w:rsidR="00E5494C" w:rsidRDefault="00E5494C" w:rsidP="004A71B8">
      <w:pPr>
        <w:rPr>
          <w:rFonts w:ascii="Arial" w:hAnsi="Arial" w:cs="Arial"/>
          <w:b/>
          <w:u w:val="single"/>
        </w:rPr>
      </w:pPr>
      <w:r w:rsidRPr="00E5494C">
        <w:rPr>
          <w:rFonts w:ascii="Arial" w:hAnsi="Arial" w:cs="Arial"/>
          <w:b/>
          <w:u w:val="single"/>
        </w:rPr>
        <w:t>Officers</w:t>
      </w:r>
    </w:p>
    <w:p w14:paraId="3E165A36" w14:textId="77777777" w:rsidR="00E5494C" w:rsidRDefault="00E5494C" w:rsidP="004A71B8">
      <w:pPr>
        <w:rPr>
          <w:rFonts w:ascii="Arial" w:hAnsi="Arial" w:cs="Arial"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Title:</w:t>
      </w:r>
      <w:r w:rsidR="00592019">
        <w:rPr>
          <w:rFonts w:ascii="Arial" w:hAnsi="Arial" w:cs="Arial"/>
        </w:rPr>
        <w:t xml:space="preserve"> </w:t>
      </w:r>
    </w:p>
    <w:p w14:paraId="4E367BF9" w14:textId="77777777" w:rsidR="00E5494C" w:rsidRDefault="00E5494C" w:rsidP="004A71B8">
      <w:pPr>
        <w:rPr>
          <w:rFonts w:ascii="Arial" w:hAnsi="Arial" w:cs="Arial"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Title:</w:t>
      </w:r>
    </w:p>
    <w:p w14:paraId="39F00E1B" w14:textId="77777777" w:rsidR="00E5494C" w:rsidRDefault="00E5494C" w:rsidP="004A71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consultation with:</w:t>
      </w:r>
    </w:p>
    <w:p w14:paraId="5602E837" w14:textId="77777777" w:rsidR="00E5494C" w:rsidRDefault="00E5494C" w:rsidP="004A71B8">
      <w:pPr>
        <w:rPr>
          <w:rFonts w:ascii="Arial" w:hAnsi="Arial" w:cs="Arial"/>
          <w:b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494C">
        <w:rPr>
          <w:rFonts w:ascii="Arial" w:hAnsi="Arial" w:cs="Arial"/>
          <w:b/>
        </w:rPr>
        <w:t xml:space="preserve">Portfolio Holder </w:t>
      </w:r>
      <w:proofErr w:type="gramStart"/>
      <w:r w:rsidRPr="00E5494C">
        <w:rPr>
          <w:rFonts w:ascii="Arial" w:hAnsi="Arial" w:cs="Arial"/>
          <w:b/>
        </w:rPr>
        <w:t>For</w:t>
      </w:r>
      <w:proofErr w:type="gramEnd"/>
      <w:r w:rsidR="00592019">
        <w:rPr>
          <w:rFonts w:ascii="Arial" w:hAnsi="Arial" w:cs="Arial"/>
          <w:b/>
        </w:rPr>
        <w:t xml:space="preserve"> Housing</w:t>
      </w:r>
    </w:p>
    <w:p w14:paraId="7515B931" w14:textId="77777777" w:rsidR="00E5494C" w:rsidRDefault="00E5494C" w:rsidP="004A71B8">
      <w:pPr>
        <w:rPr>
          <w:rFonts w:ascii="Arial" w:hAnsi="Arial" w:cs="Arial"/>
          <w:b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Section 151 Officer (if required)</w:t>
      </w:r>
    </w:p>
    <w:p w14:paraId="7092487D" w14:textId="77777777" w:rsidR="00E5494C" w:rsidRDefault="00E5494C" w:rsidP="004A71B8">
      <w:pPr>
        <w:rPr>
          <w:rFonts w:ascii="Arial" w:hAnsi="Arial" w:cs="Arial"/>
          <w:b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Monitoring Officer (if required)</w:t>
      </w:r>
    </w:p>
    <w:p w14:paraId="532EB8A1" w14:textId="77777777" w:rsidR="00E5494C" w:rsidRPr="00E5494C" w:rsidRDefault="00E5494C" w:rsidP="004A71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Dated:</w:t>
      </w:r>
    </w:p>
    <w:p w14:paraId="44E871BC" w14:textId="77777777" w:rsidR="00CB1F53" w:rsidRDefault="00CB1F53" w:rsidP="004A71B8">
      <w:pPr>
        <w:rPr>
          <w:rFonts w:ascii="Arial" w:hAnsi="Arial" w:cs="Arial"/>
        </w:rPr>
      </w:pPr>
    </w:p>
    <w:p w14:paraId="144A5D23" w14:textId="77777777" w:rsidR="004A71B8" w:rsidRDefault="004A71B8" w:rsidP="004A71B8">
      <w:pPr>
        <w:rPr>
          <w:rFonts w:ascii="Arial" w:hAnsi="Arial" w:cs="Arial"/>
          <w:b/>
        </w:rPr>
      </w:pPr>
    </w:p>
    <w:sectPr w:rsidR="004A71B8" w:rsidSect="00CB1F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610EB" w14:textId="77777777" w:rsidR="00C92357" w:rsidRDefault="00C92357" w:rsidP="003E4572">
      <w:pPr>
        <w:spacing w:after="0" w:line="240" w:lineRule="auto"/>
      </w:pPr>
      <w:r>
        <w:separator/>
      </w:r>
    </w:p>
  </w:endnote>
  <w:endnote w:type="continuationSeparator" w:id="0">
    <w:p w14:paraId="637805D2" w14:textId="77777777" w:rsidR="00C92357" w:rsidRDefault="00C92357" w:rsidP="003E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F29E8" w14:textId="77777777" w:rsidR="00C92357" w:rsidRDefault="00C92357" w:rsidP="003E4572">
      <w:pPr>
        <w:spacing w:after="0" w:line="240" w:lineRule="auto"/>
      </w:pPr>
      <w:r>
        <w:separator/>
      </w:r>
    </w:p>
  </w:footnote>
  <w:footnote w:type="continuationSeparator" w:id="0">
    <w:p w14:paraId="3B7B4B86" w14:textId="77777777" w:rsidR="00C92357" w:rsidRDefault="00C92357" w:rsidP="003E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25F6C"/>
    <w:multiLevelType w:val="hybridMultilevel"/>
    <w:tmpl w:val="BB24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95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B8"/>
    <w:rsid w:val="000C0553"/>
    <w:rsid w:val="000E2510"/>
    <w:rsid w:val="00377ACF"/>
    <w:rsid w:val="003E4572"/>
    <w:rsid w:val="004A71B8"/>
    <w:rsid w:val="004D1AFC"/>
    <w:rsid w:val="0050342B"/>
    <w:rsid w:val="00592019"/>
    <w:rsid w:val="005B0C90"/>
    <w:rsid w:val="00635B84"/>
    <w:rsid w:val="00693CFB"/>
    <w:rsid w:val="0074355F"/>
    <w:rsid w:val="007455A1"/>
    <w:rsid w:val="00915D35"/>
    <w:rsid w:val="00A07136"/>
    <w:rsid w:val="00A14E89"/>
    <w:rsid w:val="00A15407"/>
    <w:rsid w:val="00A47570"/>
    <w:rsid w:val="00B35CD0"/>
    <w:rsid w:val="00BF30F8"/>
    <w:rsid w:val="00C03613"/>
    <w:rsid w:val="00C33677"/>
    <w:rsid w:val="00C4051B"/>
    <w:rsid w:val="00C92357"/>
    <w:rsid w:val="00CB1F53"/>
    <w:rsid w:val="00CB4B38"/>
    <w:rsid w:val="00CF36FC"/>
    <w:rsid w:val="00D0292E"/>
    <w:rsid w:val="00D06358"/>
    <w:rsid w:val="00D121DF"/>
    <w:rsid w:val="00E5494C"/>
    <w:rsid w:val="00FB592E"/>
    <w:rsid w:val="345BB75F"/>
    <w:rsid w:val="38F57F16"/>
    <w:rsid w:val="4276EB60"/>
    <w:rsid w:val="61FB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FEBD61"/>
  <w15:docId w15:val="{99573604-C38C-4F32-9702-F0A8054E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4C"/>
  </w:style>
  <w:style w:type="paragraph" w:styleId="Footer">
    <w:name w:val="footer"/>
    <w:basedOn w:val="Normal"/>
    <w:link w:val="FooterChar"/>
    <w:uiPriority w:val="99"/>
    <w:unhideWhenUsed/>
    <w:rsid w:val="00E5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b36a2e8-5d2d-4312-96da-671669d2c888">
  <element uid="id_classification_nonbusiness" value=""/>
</sisl>
</file>

<file path=customXml/itemProps1.xml><?xml version="1.0" encoding="utf-8"?>
<ds:datastoreItem xmlns:ds="http://schemas.openxmlformats.org/officeDocument/2006/customXml" ds:itemID="{86757EB1-CEF5-46E9-858F-CC0ECA62E1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2921</Characters>
  <Application>Microsoft Office Word</Application>
  <DocSecurity>0</DocSecurity>
  <Lines>24</Lines>
  <Paragraphs>6</Paragraphs>
  <ScaleCrop>false</ScaleCrop>
  <Company>Tendring District Council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Walton</dc:creator>
  <cp:lastModifiedBy>Lisa Hastings</cp:lastModifiedBy>
  <cp:revision>2</cp:revision>
  <dcterms:created xsi:type="dcterms:W3CDTF">2025-07-18T17:36:00Z</dcterms:created>
  <dcterms:modified xsi:type="dcterms:W3CDTF">2025-07-18T17:36:00Z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a329a63d-948b-41a0-96e7-24855974e9d6</vt:lpwstr>
  </property>
  <property fmtid="{D5CDD505-2E9C-101B-9397-08002B2CF9AE}" pid="3" name="bjSaver">
    <vt:lpwstr>5W3RBLx0e8+ljQxDvPJZWeMzWSj/iA28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policy="1b36a2e8-5d2d-4312-96da-671669d2c888" xmlns="http://www.boldonjames.com/2008/01/sie/i</vt:lpwstr>
  </property>
  <property fmtid="{D5CDD505-2E9C-101B-9397-08002B2CF9AE}" pid="5" name="bjDocumentLabelXML-0">
    <vt:lpwstr>nternal/label"&gt;&lt;element uid="id_classification_nonbusiness" value="" /&gt;&lt;/sisl&gt;</vt:lpwstr>
  </property>
  <property fmtid="{D5CDD505-2E9C-101B-9397-08002B2CF9AE}" pid="6" name="bjDocumentSecurityLabel">
    <vt:lpwstr>OFFICIAL</vt:lpwstr>
  </property>
  <property fmtid="{D5CDD505-2E9C-101B-9397-08002B2CF9AE}" pid="7" name="bjDocumentLabelFieldCode">
    <vt:lpwstr>OFFICIAL</vt:lpwstr>
  </property>
  <property fmtid="{D5CDD505-2E9C-101B-9397-08002B2CF9AE}" pid="8" name="MSIP_Label_30ea4b63-05c9-4b69-b149-a7ea1af381a6_Enabled">
    <vt:lpwstr>true</vt:lpwstr>
  </property>
  <property fmtid="{D5CDD505-2E9C-101B-9397-08002B2CF9AE}" pid="9" name="MSIP_Label_30ea4b63-05c9-4b69-b149-a7ea1af381a6_SetDate">
    <vt:lpwstr>2025-07-18T17:36:08Z</vt:lpwstr>
  </property>
  <property fmtid="{D5CDD505-2E9C-101B-9397-08002B2CF9AE}" pid="10" name="MSIP_Label_30ea4b63-05c9-4b69-b149-a7ea1af381a6_Method">
    <vt:lpwstr>Standard</vt:lpwstr>
  </property>
  <property fmtid="{D5CDD505-2E9C-101B-9397-08002B2CF9AE}" pid="11" name="MSIP_Label_30ea4b63-05c9-4b69-b149-a7ea1af381a6_Name">
    <vt:lpwstr>Official</vt:lpwstr>
  </property>
  <property fmtid="{D5CDD505-2E9C-101B-9397-08002B2CF9AE}" pid="12" name="MSIP_Label_30ea4b63-05c9-4b69-b149-a7ea1af381a6_SiteId">
    <vt:lpwstr>85a13c52-693e-4c39-bdfa-85c3a9047d15</vt:lpwstr>
  </property>
  <property fmtid="{D5CDD505-2E9C-101B-9397-08002B2CF9AE}" pid="13" name="MSIP_Label_30ea4b63-05c9-4b69-b149-a7ea1af381a6_ActionId">
    <vt:lpwstr>4f4b8e68-6ee6-4a12-b0ea-9c0e02afcb9f</vt:lpwstr>
  </property>
  <property fmtid="{D5CDD505-2E9C-101B-9397-08002B2CF9AE}" pid="14" name="MSIP_Label_30ea4b63-05c9-4b69-b149-a7ea1af381a6_ContentBits">
    <vt:lpwstr>0</vt:lpwstr>
  </property>
  <property fmtid="{D5CDD505-2E9C-101B-9397-08002B2CF9AE}" pid="15" name="MSIP_Label_30ea4b63-05c9-4b69-b149-a7ea1af381a6_Tag">
    <vt:lpwstr>10, 3, 0, 1</vt:lpwstr>
  </property>
</Properties>
</file>