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Pr>
        <w:drawing>
          <wp:inline distB="0" distT="0" distL="0" distR="0">
            <wp:extent cx="1371600" cy="1371600"/>
            <wp:effectExtent b="0" l="0" r="0" t="0"/>
            <wp:docPr descr="Logo&#10;&#10;Description automatically generated with medium confidence" id="1" name="image2.png"/>
            <a:graphic>
              <a:graphicData uri="http://schemas.openxmlformats.org/drawingml/2006/picture">
                <pic:pic>
                  <pic:nvPicPr>
                    <pic:cNvPr descr="Logo&#10;&#10;Description automatically generated with medium confidence" id="0" name="image2.png"/>
                    <pic:cNvPicPr preferRelativeResize="0"/>
                  </pic:nvPicPr>
                  <pic:blipFill>
                    <a:blip r:embed="rId6"/>
                    <a:srcRect b="0" l="0" r="0" t="0"/>
                    <a:stretch>
                      <a:fillRect/>
                    </a:stretch>
                  </pic:blipFill>
                  <pic:spPr>
                    <a:xfrm>
                      <a:off x="0" y="0"/>
                      <a:ext cx="13716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tl w:val="0"/>
        </w:rPr>
        <w:t xml:space="preserve">earthlawportal.org</w:t>
      </w:r>
    </w:p>
    <w:p w:rsidR="00000000" w:rsidDel="00000000" w:rsidP="00000000" w:rsidRDefault="00000000" w:rsidRPr="00000000" w14:paraId="00000009">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54"/>
          <w:szCs w:val="54"/>
          <w:rtl w:val="0"/>
        </w:rPr>
        <w:t xml:space="preserve">Ordinance</w:t>
      </w:r>
      <w:r w:rsidDel="00000000" w:rsidR="00000000" w:rsidRPr="00000000">
        <w:rPr>
          <w:rFonts w:ascii="Sweet Sans Pro" w:cs="Sweet Sans Pro" w:eastAsia="Sweet Sans Pro" w:hAnsi="Sweet Sans Pro"/>
          <w:sz w:val="54"/>
          <w:szCs w:val="54"/>
          <w:rtl w:val="0"/>
        </w:rPr>
        <w:t xml:space="preserve"> for a Guardianship Body for Nature</w:t>
      </w:r>
      <w:r w:rsidDel="00000000" w:rsidR="00000000" w:rsidRPr="00000000">
        <w:rPr>
          <w:rtl w:val="0"/>
        </w:rPr>
      </w:r>
    </w:p>
    <w:p w:rsidR="00000000" w:rsidDel="00000000" w:rsidP="00000000" w:rsidRDefault="00000000" w:rsidRPr="00000000" w14:paraId="0000000B">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D">
      <w:pPr>
        <w:spacing w:line="240" w:lineRule="auto"/>
        <w:jc w:val="left"/>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F">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2">
      <w:pPr>
        <w:spacing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3">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4">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5">
      <w:pPr>
        <w:spacing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6">
      <w:pPr>
        <w:tabs>
          <w:tab w:val="left" w:leader="none" w:pos="2700"/>
        </w:tabs>
        <w:spacing w:after="80" w:line="240" w:lineRule="auto"/>
        <w:rPr>
          <w:rFonts w:ascii="Sweet Sans Pro" w:cs="Sweet Sans Pro" w:eastAsia="Sweet Sans Pro" w:hAnsi="Sweet Sans Pro"/>
          <w:b w:val="1"/>
          <w:bCs w:val="1"/>
          <w:sz w:val="30"/>
          <w:szCs w:val="30"/>
        </w:rPr>
      </w:pPr>
      <w:r w:rsidDel="00000000" w:rsidR="00000000" w:rsidRPr="00000000">
        <w:rPr>
          <w:rFonts w:ascii="Sweet Sans Pro" w:cs="Sweet Sans Pro" w:eastAsia="Sweet Sans Pro" w:hAnsi="Sweet Sans Pro"/>
          <w:sz w:val="28"/>
          <w:szCs w:val="28"/>
          <w:rtl w:val="0"/>
        </w:rPr>
        <w:tab/>
      </w:r>
      <w:r w:rsidDel="00000000" w:rsidR="00000000" w:rsidRPr="00000000">
        <w:rPr>
          <w:rFonts w:ascii="Sweet Sans Pro" w:cs="Sweet Sans Pro" w:eastAsia="Sweet Sans Pro" w:hAnsi="Sweet Sans Pro"/>
          <w:b w:val="1"/>
          <w:bCs w:val="1"/>
          <w:sz w:val="30"/>
          <w:szCs w:val="30"/>
          <w:rtl w:val="0"/>
        </w:rPr>
        <w:t xml:space="preserve">Provided by:</w:t>
      </w:r>
    </w:p>
    <w:p w:rsidR="00000000" w:rsidDel="00000000" w:rsidP="00000000" w:rsidRDefault="00000000" w:rsidRPr="00000000" w14:paraId="00000017">
      <w:pPr>
        <w:spacing w:line="240" w:lineRule="auto"/>
        <w:jc w:val="center"/>
        <w:rPr>
          <w:rFonts w:ascii="Sweet Sans Pro" w:cs="Sweet Sans Pro" w:eastAsia="Sweet Sans Pro" w:hAnsi="Sweet Sans Pro"/>
          <w:sz w:val="24"/>
          <w:szCs w:val="24"/>
        </w:rPr>
      </w:pPr>
      <w:r w:rsidDel="00000000" w:rsidR="00000000" w:rsidRPr="00000000">
        <w:rPr>
          <w:rFonts w:ascii="Calibri" w:cs="Calibri" w:eastAsia="Calibri" w:hAnsi="Calibri"/>
          <w:sz w:val="24"/>
          <w:szCs w:val="24"/>
        </w:rPr>
        <w:drawing>
          <wp:inline distB="0" distT="0" distL="0" distR="0">
            <wp:extent cx="2743200" cy="88890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43200" cy="88890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tabs>
          <w:tab w:val="left" w:leader="none" w:pos="2430"/>
          <w:tab w:val="left" w:leader="none" w:pos="2790"/>
        </w:tabs>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tl w:val="0"/>
        </w:rPr>
        <w:t xml:space="preserve">earthlawcenter.org</w:t>
        <w:tab/>
      </w:r>
      <w:r w:rsidDel="00000000" w:rsidR="00000000" w:rsidRPr="00000000">
        <w:rPr>
          <w:rFonts w:ascii="Sweet Sans Pro" w:cs="Sweet Sans Pro" w:eastAsia="Sweet Sans Pro" w:hAnsi="Sweet Sans Pro"/>
          <w:color w:val="231f20"/>
          <w:sz w:val="24"/>
          <w:szCs w:val="24"/>
          <w:rtl w:val="0"/>
        </w:rPr>
        <w:t xml:space="preserve">•</w:t>
        <w:tab/>
        <w:t xml:space="preserve">info@earthlaw.org</w:t>
      </w:r>
      <w:r w:rsidDel="00000000" w:rsidR="00000000" w:rsidRPr="00000000">
        <w:rPr>
          <w:rtl w:val="0"/>
        </w:rPr>
      </w:r>
    </w:p>
    <w:p w:rsidR="00000000" w:rsidDel="00000000" w:rsidP="00000000" w:rsidRDefault="00000000" w:rsidRPr="00000000" w14:paraId="00000019">
      <w:pPr>
        <w:spacing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A">
      <w:pPr>
        <w:widowControl w:val="0"/>
        <w:spacing w:line="240" w:lineRule="auto"/>
        <w:jc w:val="both"/>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B">
      <w:pPr>
        <w:widowControl w:val="0"/>
        <w:spacing w:line="240" w:lineRule="auto"/>
        <w:jc w:val="both"/>
        <w:rPr>
          <w:rFonts w:ascii="SweetSansPro-LightItalic" w:cs="SweetSansPro-LightItalic" w:eastAsia="SweetSansPro-LightItalic" w:hAnsi="SweetSansPro-LightItalic"/>
          <w:i w:val="1"/>
          <w:iCs w:val="1"/>
          <w:color w:val="231f20"/>
        </w:rPr>
      </w:pPr>
      <w:r w:rsidDel="00000000" w:rsidR="00000000" w:rsidRPr="00000000">
        <w:rPr>
          <w:rFonts w:ascii="SweetSansPro-LightItalic" w:cs="SweetSansPro-LightItalic" w:eastAsia="SweetSansPro-LightItalic" w:hAnsi="SweetSansPro-LightItalic"/>
          <w:i w:val="1"/>
          <w:iCs w:val="1"/>
          <w:color w:val="231f20"/>
          <w:rtl w:val="0"/>
        </w:rPr>
        <w:t xml:space="preserve">These are open source templates, not universally applicable solutions. We acknowledge that laws and policies should be adapted to differing cultural and political situations. These templates are not legal advice. If you desire legal support, please reach out to a licensed attorney.</w:t>
      </w:r>
    </w:p>
    <w:p w:rsidR="00000000" w:rsidDel="00000000" w:rsidP="00000000" w:rsidRDefault="00000000" w:rsidRPr="00000000" w14:paraId="0000001C">
      <w:pPr>
        <w:widowControl w:val="0"/>
        <w:spacing w:line="240" w:lineRule="auto"/>
        <w:jc w:val="both"/>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D">
      <w:pPr>
        <w:jc w:val="right"/>
        <w:rPr>
          <w:rFonts w:ascii="SweetSansPro-LightItalic" w:cs="SweetSansPro-LightItalic" w:eastAsia="SweetSansPro-LightItalic" w:hAnsi="SweetSansPro-LightItalic"/>
          <w:i w:val="1"/>
          <w:iCs w:val="1"/>
          <w:color w:val="231f20"/>
        </w:rPr>
      </w:pPr>
      <w:r w:rsidDel="00000000" w:rsidR="00000000" w:rsidRPr="00000000">
        <w:rPr>
          <w:rFonts w:ascii="SweetSansPro-LightItalic" w:cs="SweetSansPro-LightItalic" w:eastAsia="SweetSansPro-LightItalic" w:hAnsi="SweetSansPro-LightItalic"/>
          <w:i w:val="1"/>
          <w:iCs w:val="1"/>
          <w:color w:val="231f20"/>
          <w:rtl w:val="0"/>
        </w:rPr>
        <w:t xml:space="preserve">Last updated July 2023</w:t>
      </w:r>
    </w:p>
    <w:p w:rsidR="00000000" w:rsidDel="00000000" w:rsidP="00000000" w:rsidRDefault="00000000" w:rsidRPr="00000000" w14:paraId="0000001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Ordinance for a Guardianship Body for Nature</w:t>
      </w:r>
    </w:p>
    <w:p w:rsidR="00000000" w:rsidDel="00000000" w:rsidP="00000000" w:rsidRDefault="00000000" w:rsidRPr="00000000" w14:paraId="0000002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[This template outlines a proposal and structure for a group of people to act as an Ombudsman or Guardianship Body for Nature. It includes essential requirements for such a body, and can be adapted to be applied in various government levels. Text refers to the “Government” in operative clauses, but this word could be replaced with a more appropriate descriptor.]</w:t>
      </w:r>
    </w:p>
    <w:p w:rsidR="00000000" w:rsidDel="00000000" w:rsidP="00000000" w:rsidRDefault="00000000" w:rsidRPr="00000000" w14:paraId="00000022">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[The introductory clauses establish the significance of a Guardianship Body for Nature and context for introducing one. They also clearly state that the governmental body establishes a Guardianship Body of Nature.]</w:t>
      </w:r>
    </w:p>
    <w:p w:rsidR="00000000" w:rsidDel="00000000" w:rsidP="00000000" w:rsidRDefault="00000000" w:rsidRPr="00000000" w14:paraId="00000024">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RESPONDING</w:t>
      </w:r>
      <w:r w:rsidDel="00000000" w:rsidR="00000000" w:rsidRPr="00000000">
        <w:rPr>
          <w:rFonts w:ascii="Times New Roman" w:cs="Times New Roman" w:eastAsia="Times New Roman" w:hAnsi="Times New Roman"/>
          <w:sz w:val="24"/>
          <w:szCs w:val="24"/>
          <w:rtl w:val="0"/>
        </w:rPr>
        <w:t xml:space="preserve"> to the acute need to protect Nature, governments, businesses, and other organizations have begun to “give Nature a seat at the table” by appointing legal human guardians to protect Nature’s rights and act on Nature’s behalf;</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the importance of Nature and the positive impacts of effectuating this protection through a guardianship position as protector, agent, and advocate;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the global movement to protect the health, safety, welfare, and future of its residents by protecting Nature;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[Governmental Body] (“Government”) establishes an appointed office for the Guardianship Body of Nature (“Guardianship Body”) in order to protect and advocate for nature as a public-facing and fiduciary body, as outlined below.</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[The first section defines key legal terms for clarity. This template refers to a general Guardianship Body for Nature, but if your government seeks to protect the interest of a specific species or location, “Nature” can be replaced with the species or location name. In this case, further definitions to define what is considered part of that species or location should be included in this section.]</w:t>
      </w:r>
    </w:p>
    <w:p w:rsidR="00000000" w:rsidDel="00000000" w:rsidP="00000000" w:rsidRDefault="00000000" w:rsidRPr="00000000" w14:paraId="0000002E">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F">
      <w:pPr>
        <w:numPr>
          <w:ilvl w:val="0"/>
          <w:numId w:val="8"/>
        </w:numPr>
        <w:ind w:left="720" w:hanging="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Definitions</w:t>
      </w:r>
      <w:r w:rsidDel="00000000" w:rsidR="00000000" w:rsidRPr="00000000">
        <w:rPr>
          <w:rtl w:val="0"/>
        </w:rPr>
      </w:r>
    </w:p>
    <w:p w:rsidR="00000000" w:rsidDel="00000000" w:rsidP="00000000" w:rsidRDefault="00000000" w:rsidRPr="00000000" w14:paraId="00000030">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“Guardianship Body for [Nature]” (“Guardianship Body”) is a governmental committee that has the duty to ensure that existing and proposed laws, policies, or reviewable actions protect and promote the long-term best interests of Nature.</w:t>
      </w:r>
    </w:p>
    <w:p w:rsidR="00000000" w:rsidDel="00000000" w:rsidP="00000000" w:rsidRDefault="00000000" w:rsidRPr="00000000" w14:paraId="00000031">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“reviewable action” is an action proposed by a government body or private party that can be reviewed under the government’s laws.</w:t>
      </w:r>
    </w:p>
    <w:p w:rsidR="00000000" w:rsidDel="00000000" w:rsidP="00000000" w:rsidRDefault="00000000" w:rsidRPr="00000000" w14:paraId="00000032">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“Long-term” is defined as within the scope of foreseeable impacts on future generations, especially in regard to laws, policies, or reviewable actions that would impact ecological health, the ability of Nature to regenerate, or other reasonable concerns for future environmental sustainability.</w:t>
      </w:r>
    </w:p>
    <w:p w:rsidR="00000000" w:rsidDel="00000000" w:rsidP="00000000" w:rsidRDefault="00000000" w:rsidRPr="00000000" w14:paraId="00000033">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interests” are recognized as ecologically healthy land, water, and air for the benefit of Nature and humans.</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[The second section outlines proper conduct for the Guardian and the responses of other parties to the Guardian.]</w:t>
      </w:r>
    </w:p>
    <w:p w:rsidR="00000000" w:rsidDel="00000000" w:rsidP="00000000" w:rsidRDefault="00000000" w:rsidRPr="00000000" w14:paraId="00000036">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7">
      <w:pPr>
        <w:numPr>
          <w:ilvl w:val="0"/>
          <w:numId w:val="8"/>
        </w:numPr>
        <w:spacing w:line="240" w:lineRule="auto"/>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Conduct of the Consultation </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Guardianship Body, Government, and other parties should conduct themselves as follows:</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[This subsection defines how to create, appoint, and maintain a Guardianship Body, including how to conduct appointments. The </w:t>
      </w:r>
      <w:r w:rsidDel="00000000" w:rsidR="00000000" w:rsidRPr="00000000">
        <w:rPr>
          <w:rFonts w:ascii="Times New Roman" w:cs="Times New Roman" w:eastAsia="Times New Roman" w:hAnsi="Times New Roman"/>
          <w:color w:val="ff0000"/>
          <w:sz w:val="24"/>
          <w:szCs w:val="24"/>
          <w:rtl w:val="0"/>
        </w:rPr>
        <w:t xml:space="preserve">template describing appointments</w:t>
      </w:r>
      <w:r w:rsidDel="00000000" w:rsidR="00000000" w:rsidRPr="00000000">
        <w:rPr>
          <w:rFonts w:ascii="Times New Roman" w:cs="Times New Roman" w:eastAsia="Times New Roman" w:hAnsi="Times New Roman"/>
          <w:color w:val="ff0000"/>
          <w:sz w:val="24"/>
          <w:szCs w:val="24"/>
          <w:rtl w:val="0"/>
        </w:rPr>
        <w:t xml:space="preserve"> can be modified to best suit the governmental structure.]</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numPr>
          <w:ilvl w:val="0"/>
          <w:numId w:val="5"/>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Government’s Duties in Initiating and Maintaining a Guardianship Body</w:t>
      </w:r>
    </w:p>
    <w:p w:rsidR="00000000" w:rsidDel="00000000" w:rsidP="00000000" w:rsidRDefault="00000000" w:rsidRPr="00000000" w14:paraId="0000003D">
      <w:pPr>
        <w:numPr>
          <w:ilvl w:val="0"/>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hereby establishes a permanent committee for a Guardianship Body to evaluate all proposed and existing laws, policies, and reviewable actions.</w:t>
      </w:r>
    </w:p>
    <w:p w:rsidR="00000000" w:rsidDel="00000000" w:rsidP="00000000" w:rsidRDefault="00000000" w:rsidRPr="00000000" w14:paraId="0000003E">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Guardianship Body shall be composed of [Number] Guardians.</w:t>
      </w:r>
    </w:p>
    <w:p w:rsidR="00000000" w:rsidDel="00000000" w:rsidP="00000000" w:rsidRDefault="00000000" w:rsidRPr="00000000" w14:paraId="0000003F">
      <w:pPr>
        <w:numPr>
          <w:ilvl w:val="0"/>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for a Guardian on the Guardianship Body shall be [time period], with the next Guardian being appointed [amount of time in advance or specific month], and with Guardians being eligible to act as Guardian for a total of [term limit] terms. </w:t>
      </w:r>
    </w:p>
    <w:p w:rsidR="00000000" w:rsidDel="00000000" w:rsidP="00000000" w:rsidRDefault="00000000" w:rsidRPr="00000000" w14:paraId="00000040">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From the date this ordinance goes into effect, the City Council shall have six months to appoint and approve [Number] of Guardians to compose the Guardianship Body.</w:t>
      </w:r>
    </w:p>
    <w:p w:rsidR="00000000" w:rsidDel="00000000" w:rsidP="00000000" w:rsidRDefault="00000000" w:rsidRPr="00000000" w14:paraId="00000041">
      <w:pPr>
        <w:numPr>
          <w:ilvl w:val="1"/>
          <w:numId w:val="6"/>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of the City Council shall propose a qualified candidate, as described in Section II(B)(1).</w:t>
      </w:r>
    </w:p>
    <w:p w:rsidR="00000000" w:rsidDel="00000000" w:rsidP="00000000" w:rsidRDefault="00000000" w:rsidRPr="00000000" w14:paraId="00000042">
      <w:pPr>
        <w:numPr>
          <w:ilvl w:val="1"/>
          <w:numId w:val="6"/>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City Council shall vote on the qualified candidate, requiring a [majority, or other legislative threshold amount] vote in order to accept the candidate as the Guardian.</w:t>
      </w:r>
    </w:p>
    <w:p w:rsidR="00000000" w:rsidDel="00000000" w:rsidP="00000000" w:rsidRDefault="00000000" w:rsidRPr="00000000" w14:paraId="00000043">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Subsequent Guardians shall be appointed by the City Council and confirmed by the Guardianship Body. </w:t>
      </w:r>
    </w:p>
    <w:p w:rsidR="00000000" w:rsidDel="00000000" w:rsidP="00000000" w:rsidRDefault="00000000" w:rsidRPr="00000000" w14:paraId="00000044">
      <w:pPr>
        <w:numPr>
          <w:ilvl w:val="1"/>
          <w:numId w:val="6"/>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of the City Council shall propose a qualified candidate, as described in Section II(B)(1).</w:t>
      </w:r>
    </w:p>
    <w:p w:rsidR="00000000" w:rsidDel="00000000" w:rsidP="00000000" w:rsidRDefault="00000000" w:rsidRPr="00000000" w14:paraId="00000045">
      <w:pPr>
        <w:numPr>
          <w:ilvl w:val="1"/>
          <w:numId w:val="6"/>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Guardianship Body shall vote on the qualified candidate, requiring a [majority, or other legislative threshold amount] vote in order to accept the candidate as the Guardian.</w:t>
      </w:r>
    </w:p>
    <w:p w:rsidR="00000000" w:rsidDel="00000000" w:rsidP="00000000" w:rsidRDefault="00000000" w:rsidRPr="00000000" w14:paraId="00000046">
      <w:pPr>
        <w:numPr>
          <w:ilvl w:val="1"/>
          <w:numId w:val="6"/>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Previous or current Guardians may be re-appointed, provided that the decision follows the term limits described in Section II(A)(3).</w:t>
      </w:r>
    </w:p>
    <w:p w:rsidR="00000000" w:rsidDel="00000000" w:rsidP="00000000" w:rsidRDefault="00000000" w:rsidRPr="00000000" w14:paraId="00000047">
      <w:pPr>
        <w:numPr>
          <w:ilvl w:val="0"/>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vacancy arises, the City Council shall issue a call to appoint a replacement Guardian and shall approve a qualified candidate following the voting procedure outlined in Section II(A)(5).</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[This section outlines the necessary qualifications a candidate must meet to be considered for Guardian appointment, and the duties the candidate must follow if they are appointed as Guardian.]</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5"/>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Guardian’s Qualifications and Duties</w:t>
      </w:r>
    </w:p>
    <w:p w:rsidR="00000000" w:rsidDel="00000000" w:rsidP="00000000" w:rsidRDefault="00000000" w:rsidRPr="00000000" w14:paraId="0000004C">
      <w:pPr>
        <w:numPr>
          <w:ilvl w:val="0"/>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Candidates and appointed Guardians must meet the following qualifications:</w:t>
      </w:r>
    </w:p>
    <w:p w:rsidR="00000000" w:rsidDel="00000000" w:rsidP="00000000" w:rsidRDefault="00000000" w:rsidRPr="00000000" w14:paraId="0000004D">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demonstrate commitment to protecting Nature for its own sake.</w:t>
      </w:r>
    </w:p>
    <w:p w:rsidR="00000000" w:rsidDel="00000000" w:rsidP="00000000" w:rsidRDefault="00000000" w:rsidRPr="00000000" w14:paraId="0000004E">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have appropriate skills, knowledge, and experience to fulfill the purpose and duties of the position, to be evaluated by the City Council and Guardianship Body before appointment. Skills, knowledge, and experience can include, but are not limited to, educational or professional backgrounds in biological, environmental, and/or climate sciences, educational or professional backgrounds in environmental law or policy, and spiritual or cultural backgrounds in Nature.</w:t>
      </w:r>
    </w:p>
    <w:p w:rsidR="00000000" w:rsidDel="00000000" w:rsidP="00000000" w:rsidRDefault="00000000" w:rsidRPr="00000000" w14:paraId="0000004F">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be a resident of the [Government jurisdiction], or a strong connection to local Nature, as determined by the [Appointing Authority] before appointment.</w:t>
      </w:r>
    </w:p>
    <w:p w:rsidR="00000000" w:rsidDel="00000000" w:rsidP="00000000" w:rsidRDefault="00000000" w:rsidRPr="00000000" w14:paraId="00000050">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be 18 years of age or older.</w:t>
      </w:r>
    </w:p>
    <w:p w:rsidR="00000000" w:rsidDel="00000000" w:rsidP="00000000" w:rsidRDefault="00000000" w:rsidRPr="00000000" w14:paraId="00000051">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not be a family member of a member of any member of the City Council or Guardianship Body at the time of appointment.</w:t>
      </w:r>
    </w:p>
    <w:p w:rsidR="00000000" w:rsidDel="00000000" w:rsidP="00000000" w:rsidRDefault="00000000" w:rsidRPr="00000000" w14:paraId="00000052">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swear to faithfully maintain the qualifications and discharge the duties of Section II(B) in order to fulfill their role as Guardian, upon appointment.</w:t>
      </w:r>
    </w:p>
    <w:p w:rsidR="00000000" w:rsidDel="00000000" w:rsidP="00000000" w:rsidRDefault="00000000" w:rsidRPr="00000000" w14:paraId="00000053">
      <w:pPr>
        <w:numPr>
          <w:ilvl w:val="0"/>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duties of the appointed Guardian are as follows: </w:t>
      </w:r>
    </w:p>
    <w:p w:rsidR="00000000" w:rsidDel="00000000" w:rsidP="00000000" w:rsidRDefault="00000000" w:rsidRPr="00000000" w14:paraId="00000054">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Seek all relevant information to determine the best interests of Nature, and use this information to advocate actively for the best interests of Nature in any peaceful way the Guardianship Body sees fit, including providing written reports, providing written and oral arguments, hosting public hearings, litigation, and mediation. </w:t>
      </w:r>
    </w:p>
    <w:p w:rsidR="00000000" w:rsidDel="00000000" w:rsidP="00000000" w:rsidRDefault="00000000" w:rsidRPr="00000000" w14:paraId="00000055">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proposed and existing laws, policies, and reviewable actions in the form of a Report on the Effects on Nature. The Report on the Effects on Nature shall evaluate potential impacts on the ecological health of the land, water, air, and climate and any potential effects these impacts may have on future generations of the community. The Report shall: </w:t>
      </w:r>
    </w:p>
    <w:p w:rsidR="00000000" w:rsidDel="00000000" w:rsidP="00000000" w:rsidRDefault="00000000" w:rsidRPr="00000000" w14:paraId="00000056">
      <w:pPr>
        <w:numPr>
          <w:ilvl w:val="2"/>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these impacts and effects in terms of ecological health, and should not rely on discounting; </w:t>
      </w:r>
    </w:p>
    <w:p w:rsidR="00000000" w:rsidDel="00000000" w:rsidP="00000000" w:rsidRDefault="00000000" w:rsidRPr="00000000" w14:paraId="00000057">
      <w:pPr>
        <w:numPr>
          <w:ilvl w:val="2"/>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these impacts and effects in the context of all anticipated cumulative impacts on the ecological health of the land, water, air, and climate; </w:t>
      </w:r>
    </w:p>
    <w:p w:rsidR="00000000" w:rsidDel="00000000" w:rsidP="00000000" w:rsidRDefault="00000000" w:rsidRPr="00000000" w14:paraId="00000058">
      <w:pPr>
        <w:numPr>
          <w:ilvl w:val="2"/>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violations of any legal obligations toward future generations that the proposed law, policy, or reviewable action may cause; and </w:t>
      </w:r>
    </w:p>
    <w:p w:rsidR="00000000" w:rsidDel="00000000" w:rsidP="00000000" w:rsidRDefault="00000000" w:rsidRPr="00000000" w14:paraId="00000059">
      <w:pPr>
        <w:numPr>
          <w:ilvl w:val="2"/>
          <w:numId w:val="1"/>
        </w:numPr>
        <w:spacing w:after="0" w:after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 alternatives to the proposed law, policy, or reviewable action, including modifications to it that could reduce or eliminate any potential adverse effects on future generations. </w:t>
      </w:r>
    </w:p>
    <w:p w:rsidR="00000000" w:rsidDel="00000000" w:rsidP="00000000" w:rsidRDefault="00000000" w:rsidRPr="00000000" w14:paraId="0000005A">
      <w:pPr>
        <w:numPr>
          <w:ilvl w:val="1"/>
          <w:numId w:val="1"/>
        </w:numPr>
        <w:spacing w:after="0" w:afterAutospacing="0" w:before="0" w:beforeAutospacing="0" w:line="240" w:lineRule="auto"/>
        <w:ind w:left="216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c1d"/>
          <w:sz w:val="24"/>
          <w:szCs w:val="24"/>
          <w:rtl w:val="0"/>
        </w:rPr>
        <w:t xml:space="preserve">Submit recommendations for protection of Nature and the betterment of existing and proposed laws, policies, and reviewable actions in the form of a Report on the Effects on Nature. </w:t>
      </w:r>
    </w:p>
    <w:p w:rsidR="00000000" w:rsidDel="00000000" w:rsidP="00000000" w:rsidRDefault="00000000" w:rsidRPr="00000000" w14:paraId="0000005B">
      <w:pPr>
        <w:numPr>
          <w:ilvl w:val="2"/>
          <w:numId w:val="1"/>
        </w:numPr>
        <w:spacing w:line="240" w:lineRule="auto"/>
        <w:ind w:left="2880" w:hanging="360"/>
        <w:rPr>
          <w:rFonts w:ascii="Times New Roman" w:cs="Times New Roman" w:eastAsia="Times New Roman" w:hAnsi="Times New Roman"/>
          <w:color w:val="1d1c1d"/>
          <w:sz w:val="24"/>
          <w:szCs w:val="24"/>
        </w:rPr>
      </w:pPr>
      <w:r w:rsidDel="00000000" w:rsidR="00000000" w:rsidRPr="00000000">
        <w:rPr>
          <w:rFonts w:ascii="Times New Roman" w:cs="Times New Roman" w:eastAsia="Times New Roman" w:hAnsi="Times New Roman"/>
          <w:sz w:val="24"/>
          <w:szCs w:val="24"/>
          <w:rtl w:val="0"/>
        </w:rPr>
        <w:t xml:space="preserve">The Guardianship Body may request that a public hearing be held specifically devoted to the Report.</w:t>
      </w:r>
    </w:p>
    <w:p w:rsidR="00000000" w:rsidDel="00000000" w:rsidP="00000000" w:rsidRDefault="00000000" w:rsidRPr="00000000" w14:paraId="0000005C">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in  meetings, hearings, and other fora with government bodies to discuss the proposed law, policy, or reviewable action. </w:t>
      </w:r>
    </w:p>
    <w:p w:rsidR="00000000" w:rsidDel="00000000" w:rsidP="00000000" w:rsidRDefault="00000000" w:rsidRPr="00000000" w14:paraId="0000005D">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information from the public and from local and general studies regarding the wellbeing of Nature and its relationship with existing and proposed laws, policies, and reviewable actions.</w:t>
      </w:r>
    </w:p>
    <w:p w:rsidR="00000000" w:rsidDel="00000000" w:rsidP="00000000" w:rsidRDefault="00000000" w:rsidRPr="00000000" w14:paraId="0000005E">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 the local Nature for meaningful changes, especially noting any potential relationship between the changes and relevant laws, policies, and reviewable actions.</w:t>
      </w:r>
    </w:p>
    <w:p w:rsidR="00000000" w:rsidDel="00000000" w:rsidP="00000000" w:rsidRDefault="00000000" w:rsidRPr="00000000" w14:paraId="0000005F">
      <w:pPr>
        <w:numPr>
          <w:ilvl w:val="1"/>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public report [annually, or other time frame as stated in Section II(C)(5) to serve as a public resource on the wellbeing of local Nature.</w:t>
      </w:r>
    </w:p>
    <w:p w:rsidR="00000000" w:rsidDel="00000000" w:rsidP="00000000" w:rsidRDefault="00000000" w:rsidRPr="00000000" w14:paraId="00000060">
      <w:pPr>
        <w:numPr>
          <w:ilvl w:val="1"/>
          <w:numId w:val="1"/>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 a public hearing at least [once annually] to review the public report and to </w:t>
      </w:r>
      <w:r w:rsidDel="00000000" w:rsidR="00000000" w:rsidRPr="00000000">
        <w:rPr>
          <w:rFonts w:ascii="Times New Roman" w:cs="Times New Roman" w:eastAsia="Times New Roman" w:hAnsi="Times New Roman"/>
          <w:color w:val="1d1c1d"/>
          <w:sz w:val="24"/>
          <w:szCs w:val="24"/>
          <w:rtl w:val="0"/>
        </w:rPr>
        <w:t xml:space="preserve">review the effectuation of the protection of Nature.</w:t>
      </w:r>
    </w:p>
    <w:p w:rsidR="00000000" w:rsidDel="00000000" w:rsidP="00000000" w:rsidRDefault="00000000" w:rsidRPr="00000000" w14:paraId="00000061">
      <w:pPr>
        <w:numPr>
          <w:ilvl w:val="1"/>
          <w:numId w:val="1"/>
        </w:numPr>
        <w:spacing w:after="180" w:before="0" w:beforeAutospacing="0" w:line="240" w:lineRule="auto"/>
        <w:ind w:left="2160" w:right="180" w:hanging="360"/>
        <w:jc w:val="both"/>
        <w:rPr>
          <w:rFonts w:ascii="Times New Roman" w:cs="Times New Roman" w:eastAsia="Times New Roman" w:hAnsi="Times New Roman"/>
          <w:color w:val="1d1c1d"/>
          <w:sz w:val="24"/>
          <w:szCs w:val="24"/>
        </w:rPr>
      </w:pPr>
      <w:r w:rsidDel="00000000" w:rsidR="00000000" w:rsidRPr="00000000">
        <w:rPr>
          <w:rFonts w:ascii="Times New Roman" w:cs="Times New Roman" w:eastAsia="Times New Roman" w:hAnsi="Times New Roman"/>
          <w:color w:val="1d1c1d"/>
          <w:sz w:val="24"/>
          <w:szCs w:val="24"/>
          <w:rtl w:val="0"/>
        </w:rPr>
        <w:t xml:space="preserve">Take other actions reasonably necessary to fulfill Guardianship Body duties outlined in Section II(B)(2).</w:t>
      </w:r>
      <w:r w:rsidDel="00000000" w:rsidR="00000000" w:rsidRPr="00000000">
        <w:rPr>
          <w:rtl w:val="0"/>
        </w:rPr>
      </w:r>
    </w:p>
    <w:p w:rsidR="00000000" w:rsidDel="00000000" w:rsidP="00000000" w:rsidRDefault="00000000" w:rsidRPr="00000000" w14:paraId="00000062">
      <w:pPr>
        <w:spacing w:after="180" w:before="180" w:line="240" w:lineRule="auto"/>
        <w:ind w:right="18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[This section outlines what the Government must do to support the Guardian in carrying out the duties listed in the previous section.]</w:t>
      </w:r>
    </w:p>
    <w:p w:rsidR="00000000" w:rsidDel="00000000" w:rsidP="00000000" w:rsidRDefault="00000000" w:rsidRPr="00000000" w14:paraId="00000063">
      <w:pPr>
        <w:numPr>
          <w:ilvl w:val="0"/>
          <w:numId w:val="5"/>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Government’s Duties in Supporting the Guardianship Body </w:t>
      </w:r>
    </w:p>
    <w:p w:rsidR="00000000" w:rsidDel="00000000" w:rsidP="00000000" w:rsidRDefault="00000000" w:rsidRPr="00000000" w14:paraId="00000064">
      <w:pPr>
        <w:numPr>
          <w:ilvl w:val="0"/>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shall engage the assistance of the Guardianship Body at the outset of the process of evaluating a proposed action, which may include negotiations between or among parties. </w:t>
      </w:r>
    </w:p>
    <w:p w:rsidR="00000000" w:rsidDel="00000000" w:rsidP="00000000" w:rsidRDefault="00000000" w:rsidRPr="00000000" w14:paraId="00000065">
      <w:pPr>
        <w:numPr>
          <w:ilvl w:val="0"/>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shall identify and fully describe the proposed or existing law, policy, or reviewable action and provide access to information that is necessary, relevant, or helpful to the Guardianship Body’s evaluation, upon request by the Guardianship Body.</w:t>
      </w:r>
    </w:p>
    <w:p w:rsidR="00000000" w:rsidDel="00000000" w:rsidP="00000000" w:rsidRDefault="00000000" w:rsidRPr="00000000" w14:paraId="00000066">
      <w:pPr>
        <w:numPr>
          <w:ilvl w:val="0"/>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shall provide access to meetings, hearings, or relevant forums that discuss the proposed or existing law, policy, or reviewable action, upon request by the Guardianship Body.</w:t>
      </w:r>
    </w:p>
    <w:p w:rsidR="00000000" w:rsidDel="00000000" w:rsidP="00000000" w:rsidRDefault="00000000" w:rsidRPr="00000000" w14:paraId="00000067">
      <w:pPr>
        <w:numPr>
          <w:ilvl w:val="0"/>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c1d"/>
          <w:sz w:val="24"/>
          <w:szCs w:val="24"/>
          <w:rtl w:val="0"/>
        </w:rPr>
        <w:t xml:space="preserve">The Government may adopt rules and procedures necessary to fulfill the duties specified by this Ordinance.</w:t>
      </w:r>
    </w:p>
    <w:p w:rsidR="00000000" w:rsidDel="00000000" w:rsidP="00000000" w:rsidRDefault="00000000" w:rsidRPr="00000000" w14:paraId="00000068">
      <w:pPr>
        <w:numPr>
          <w:ilvl w:val="0"/>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c1d"/>
          <w:sz w:val="24"/>
          <w:szCs w:val="24"/>
          <w:rtl w:val="0"/>
        </w:rPr>
        <w:t xml:space="preserve">At least once every [time period, once annually recommended], the Government will solicit and incorporate input from the Guardianship Body for a concise written report on the health of Nature within the jurisdiction. The report shall include recommendations for the continued and improved welfare of Nature. The report shall be delivered to the Government, which shall hold a public hearing on the report.</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[This section explains how the Government and other parties should respond to the Guardian’s conclusions; it ensures the Guardian’s conclusions will be considered.]</w:t>
      </w:r>
    </w:p>
    <w:p w:rsidR="00000000" w:rsidDel="00000000" w:rsidP="00000000" w:rsidRDefault="00000000" w:rsidRPr="00000000" w14:paraId="0000006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numPr>
          <w:ilvl w:val="0"/>
          <w:numId w:val="5"/>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Duties of All Parties after an Guardianship Body’s Evaluation </w:t>
      </w:r>
    </w:p>
    <w:p w:rsidR="00000000" w:rsidDel="00000000" w:rsidP="00000000" w:rsidRDefault="00000000" w:rsidRPr="00000000" w14:paraId="0000006D">
      <w:pPr>
        <w:numPr>
          <w:ilvl w:val="0"/>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body shall consider the Guardianship Body’s Report on the Effects on Nature when it evaluates the proposed law, policy, or reviewable action. </w:t>
      </w:r>
    </w:p>
    <w:p w:rsidR="00000000" w:rsidDel="00000000" w:rsidP="00000000" w:rsidRDefault="00000000" w:rsidRPr="00000000" w14:paraId="0000006E">
      <w:pPr>
        <w:numPr>
          <w:ilvl w:val="0"/>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Government decides to approve the law, policy, or reviewable action, either as proposed or as modified, against the legal interests of Nature as advocated by the Guardianship Body, it shall prepare a written Response to the Guardianship Body’s Report on the Effects on Nature. The Response: </w:t>
      </w:r>
    </w:p>
    <w:p w:rsidR="00000000" w:rsidDel="00000000" w:rsidP="00000000" w:rsidRDefault="00000000" w:rsidRPr="00000000" w14:paraId="0000006F">
      <w:pPr>
        <w:numPr>
          <w:ilvl w:val="1"/>
          <w:numId w:val="4"/>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shall establish that any approved law, policy, or reviewable action meets all legal obligations to future generations; and </w:t>
      </w:r>
      <w:r w:rsidDel="00000000" w:rsidR="00000000" w:rsidRPr="00000000">
        <w:rPr>
          <w:rtl w:val="0"/>
        </w:rPr>
      </w:r>
    </w:p>
    <w:p w:rsidR="00000000" w:rsidDel="00000000" w:rsidP="00000000" w:rsidRDefault="00000000" w:rsidRPr="00000000" w14:paraId="00000070">
      <w:pPr>
        <w:numPr>
          <w:ilvl w:val="1"/>
          <w:numId w:val="4"/>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approved law, policy, or reviewable action may cause any adverse effects on the interests of Nature, shall establish that those effects are permitted by law and set forth the government body’s reasons for allowing such adverse effects to occur.</w:t>
      </w:r>
      <w:r w:rsidDel="00000000" w:rsidR="00000000" w:rsidRPr="00000000">
        <w:rPr>
          <w:rtl w:val="0"/>
        </w:rPr>
      </w:r>
    </w:p>
    <w:p w:rsidR="00000000" w:rsidDel="00000000" w:rsidP="00000000" w:rsidRDefault="00000000" w:rsidRPr="00000000" w14:paraId="00000071">
      <w:pPr>
        <w:numPr>
          <w:ilvl w:val="0"/>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Guardianship Body shall have a reasonable opportunity to prepare a reply to the government.</w:t>
      </w:r>
    </w:p>
    <w:p w:rsidR="00000000" w:rsidDel="00000000" w:rsidP="00000000" w:rsidRDefault="00000000" w:rsidRPr="00000000" w14:paraId="00000072">
      <w:pPr>
        <w:numPr>
          <w:ilvl w:val="0"/>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The Guardianship Body shall have standing to sue the government body for violating any of its duties, laid out in this document, to protect Nature.</w:t>
      </w:r>
    </w:p>
    <w:p w:rsidR="00000000" w:rsidDel="00000000" w:rsidP="00000000" w:rsidRDefault="00000000" w:rsidRPr="00000000" w14:paraId="00000073">
      <w:pPr>
        <w:numPr>
          <w:ilvl w:val="0"/>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The Guardianship Body shall have standing to sue private parties for violating the legal interests of Nature.</w:t>
      </w:r>
    </w:p>
    <w:p w:rsidR="00000000" w:rsidDel="00000000" w:rsidP="00000000" w:rsidRDefault="00000000" w:rsidRPr="00000000" w14:paraId="00000074">
      <w:pPr>
        <w:numPr>
          <w:ilvl w:val="0"/>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The Guardianship Body may also seek authorization to join ongoing litigation.</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[This section is necessary to ensure the content of this Ordinance, the general position of the Guardianship Body, recommendations of the Guardianship Body, and any resulting changes to laws, policies, and reviewable actions are in accordance with other legal rights, including Indigenous Peoples’ rights.]</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numPr>
          <w:ilvl w:val="0"/>
          <w:numId w:val="8"/>
        </w:numPr>
        <w:spacing w:after="0" w:afterAutospacing="0" w:line="240" w:lineRule="auto"/>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Limitations </w:t>
      </w:r>
      <w:r w:rsidDel="00000000" w:rsidR="00000000" w:rsidRPr="00000000">
        <w:rPr>
          <w:rFonts w:ascii="Times New Roman" w:cs="Times New Roman" w:eastAsia="Times New Roman" w:hAnsi="Times New Roman"/>
          <w:b w:val="1"/>
          <w:bCs w:val="1"/>
          <w:color w:val="1d1c1d"/>
          <w:sz w:val="28"/>
          <w:szCs w:val="28"/>
          <w:rtl w:val="0"/>
        </w:rPr>
        <w:t xml:space="preserve">and Harmony with Other Laws</w:t>
      </w:r>
    </w:p>
    <w:p w:rsidR="00000000" w:rsidDel="00000000" w:rsidP="00000000" w:rsidRDefault="00000000" w:rsidRPr="00000000" w14:paraId="00000079">
      <w:pPr>
        <w:numPr>
          <w:ilvl w:val="0"/>
          <w:numId w:val="7"/>
        </w:numPr>
        <w:spacing w:after="0" w:afterAutospacing="0" w:before="0" w:beforeAutospacing="0" w:line="240" w:lineRule="auto"/>
        <w:ind w:left="720" w:right="180" w:hanging="360"/>
        <w:jc w:val="both"/>
        <w:rPr>
          <w:rFonts w:ascii="Times New Roman" w:cs="Times New Roman" w:eastAsia="Times New Roman" w:hAnsi="Times New Roman"/>
          <w:b w:val="1"/>
          <w:bCs w:val="1"/>
          <w:color w:val="1d1c1d"/>
          <w:sz w:val="24"/>
          <w:szCs w:val="24"/>
        </w:rPr>
      </w:pPr>
      <w:r w:rsidDel="00000000" w:rsidR="00000000" w:rsidRPr="00000000">
        <w:rPr>
          <w:rFonts w:ascii="Times New Roman" w:cs="Times New Roman" w:eastAsia="Times New Roman" w:hAnsi="Times New Roman"/>
          <w:b w:val="1"/>
          <w:bCs w:val="1"/>
          <w:color w:val="1d1c1d"/>
          <w:sz w:val="24"/>
          <w:szCs w:val="24"/>
          <w:rtl w:val="0"/>
        </w:rPr>
        <w:t xml:space="preserve">Conflicting Rights</w:t>
      </w:r>
    </w:p>
    <w:p w:rsidR="00000000" w:rsidDel="00000000" w:rsidP="00000000" w:rsidRDefault="00000000" w:rsidRPr="00000000" w14:paraId="0000007A">
      <w:pPr>
        <w:numPr>
          <w:ilvl w:val="1"/>
          <w:numId w:val="7"/>
        </w:numPr>
        <w:spacing w:after="0" w:afterAutospacing="0" w:before="0" w:beforeAutospacing="0" w:line="240" w:lineRule="auto"/>
        <w:ind w:left="1440" w:right="180" w:hanging="360"/>
        <w:jc w:val="both"/>
        <w:rPr>
          <w:rFonts w:ascii="Times New Roman" w:cs="Times New Roman" w:eastAsia="Times New Roman" w:hAnsi="Times New Roman"/>
          <w:color w:val="1d1c1d"/>
          <w:sz w:val="24"/>
          <w:szCs w:val="24"/>
        </w:rPr>
      </w:pPr>
      <w:r w:rsidDel="00000000" w:rsidR="00000000" w:rsidRPr="00000000">
        <w:rPr>
          <w:rFonts w:ascii="Times New Roman" w:cs="Times New Roman" w:eastAsia="Times New Roman" w:hAnsi="Times New Roman"/>
          <w:color w:val="1d1c1d"/>
          <w:sz w:val="24"/>
          <w:szCs w:val="24"/>
          <w:rtl w:val="0"/>
        </w:rPr>
        <w:t xml:space="preserve">Nothing in this Ordinance shall be construed as extinguishing or diminishing other rights held by people or relevant parties, and any conflict between rights and the content of this Ordinance must be resolved in a way that promotes human rights while also maintaining the integrity, balance, and health of Nature.</w:t>
      </w:r>
    </w:p>
    <w:p w:rsidR="00000000" w:rsidDel="00000000" w:rsidP="00000000" w:rsidRDefault="00000000" w:rsidRPr="00000000" w14:paraId="0000007B">
      <w:pPr>
        <w:numPr>
          <w:ilvl w:val="0"/>
          <w:numId w:val="7"/>
        </w:numPr>
        <w:spacing w:after="0" w:afterAutospacing="0" w:before="0" w:beforeAutospacing="0" w:line="240" w:lineRule="auto"/>
        <w:ind w:left="720" w:right="180" w:hanging="360"/>
        <w:jc w:val="both"/>
        <w:rPr>
          <w:rFonts w:ascii="Times New Roman" w:cs="Times New Roman" w:eastAsia="Times New Roman" w:hAnsi="Times New Roman"/>
          <w:b w:val="1"/>
          <w:bCs w:val="1"/>
          <w:color w:val="1d1c1d"/>
          <w:sz w:val="24"/>
          <w:szCs w:val="24"/>
        </w:rPr>
      </w:pPr>
      <w:r w:rsidDel="00000000" w:rsidR="00000000" w:rsidRPr="00000000">
        <w:rPr>
          <w:rFonts w:ascii="Times New Roman" w:cs="Times New Roman" w:eastAsia="Times New Roman" w:hAnsi="Times New Roman"/>
          <w:b w:val="1"/>
          <w:bCs w:val="1"/>
          <w:color w:val="1d1c1d"/>
          <w:sz w:val="24"/>
          <w:szCs w:val="24"/>
          <w:rtl w:val="0"/>
        </w:rPr>
        <w:t xml:space="preserve">Indigenous Peoples’ Rights</w:t>
      </w:r>
    </w:p>
    <w:p w:rsidR="00000000" w:rsidDel="00000000" w:rsidP="00000000" w:rsidRDefault="00000000" w:rsidRPr="00000000" w14:paraId="0000007C">
      <w:pPr>
        <w:numPr>
          <w:ilvl w:val="1"/>
          <w:numId w:val="7"/>
        </w:numPr>
        <w:spacing w:after="180" w:before="0" w:beforeAutospacing="0" w:line="240" w:lineRule="auto"/>
        <w:ind w:left="1440" w:right="180" w:hanging="360"/>
        <w:jc w:val="both"/>
        <w:rPr>
          <w:rFonts w:ascii="Times New Roman" w:cs="Times New Roman" w:eastAsia="Times New Roman" w:hAnsi="Times New Roman"/>
          <w:color w:val="1d1c1d"/>
          <w:sz w:val="24"/>
          <w:szCs w:val="24"/>
        </w:rPr>
      </w:pPr>
      <w:r w:rsidDel="00000000" w:rsidR="00000000" w:rsidRPr="00000000">
        <w:rPr>
          <w:rFonts w:ascii="Times New Roman" w:cs="Times New Roman" w:eastAsia="Times New Roman" w:hAnsi="Times New Roman"/>
          <w:color w:val="1d1c1d"/>
          <w:sz w:val="24"/>
          <w:szCs w:val="24"/>
          <w:rtl w:val="0"/>
        </w:rPr>
        <w:t xml:space="preserve">Nothing in this Ordinance shall be construed as extinguishing or diminishing the rights Indigenous Peoples have now or acquire in the future. This Ordinance may never be wielded to prevent Indigenous and Tribal Peoples from exercising their rights to self-determination and self-government; nor may this Ordinance be used to interfere with their use and enjoyment of the territory in accordance with their rights, cultures, customs, faiths; nor to thwart the protections of the United Nations Declaration on the Rights of Indigenous Peoples.</w:t>
      </w: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spacing w:after="180" w:before="180" w:line="24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SweetSansPro-LightItalic"/>
  <w:font w:name="Sweet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