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Sweet Sans Pro" w:cs="Sweet Sans Pro" w:eastAsia="Sweet Sans Pro" w:hAnsi="Sweet Sans Pro"/>
        </w:rPr>
      </w:pPr>
      <w:r w:rsidDel="00000000" w:rsidR="00000000" w:rsidRPr="00000000">
        <w:rPr>
          <w:rtl w:val="0"/>
        </w:rPr>
      </w:r>
    </w:p>
    <w:p w:rsidR="00000000" w:rsidDel="00000000" w:rsidP="00000000" w:rsidRDefault="00000000" w:rsidRPr="00000000" w14:paraId="00000002">
      <w:pPr>
        <w:jc w:val="center"/>
        <w:rPr>
          <w:rFonts w:ascii="Sweet Sans Pro" w:cs="Sweet Sans Pro" w:eastAsia="Sweet Sans Pro" w:hAnsi="Sweet Sans Pro"/>
        </w:rPr>
      </w:pPr>
      <w:r w:rsidDel="00000000" w:rsidR="00000000" w:rsidRPr="00000000">
        <w:rPr>
          <w:rtl w:val="0"/>
        </w:rPr>
      </w:r>
    </w:p>
    <w:p w:rsidR="00000000" w:rsidDel="00000000" w:rsidP="00000000" w:rsidRDefault="00000000" w:rsidRPr="00000000" w14:paraId="00000003">
      <w:pPr>
        <w:jc w:val="left"/>
        <w:rPr>
          <w:rFonts w:ascii="Sweet Sans Pro" w:cs="Sweet Sans Pro" w:eastAsia="Sweet Sans Pro" w:hAnsi="Sweet Sans Pro"/>
        </w:rPr>
      </w:pPr>
      <w:r w:rsidDel="00000000" w:rsidR="00000000" w:rsidRPr="00000000">
        <w:rPr>
          <w:rtl w:val="0"/>
        </w:rPr>
      </w:r>
    </w:p>
    <w:p w:rsidR="00000000" w:rsidDel="00000000" w:rsidP="00000000" w:rsidRDefault="00000000" w:rsidRPr="00000000" w14:paraId="00000004">
      <w:pPr>
        <w:jc w:val="center"/>
        <w:rPr>
          <w:rFonts w:ascii="Sweet Sans Pro" w:cs="Sweet Sans Pro" w:eastAsia="Sweet Sans Pro" w:hAnsi="Sweet Sans Pro"/>
        </w:rPr>
      </w:pPr>
      <w:r w:rsidDel="00000000" w:rsidR="00000000" w:rsidRPr="00000000">
        <w:rPr>
          <w:rtl w:val="0"/>
        </w:rPr>
      </w:r>
    </w:p>
    <w:p w:rsidR="00000000" w:rsidDel="00000000" w:rsidP="00000000" w:rsidRDefault="00000000" w:rsidRPr="00000000" w14:paraId="00000005">
      <w:pPr>
        <w:jc w:val="center"/>
        <w:rPr>
          <w:rFonts w:ascii="Sweet Sans Pro" w:cs="Sweet Sans Pro" w:eastAsia="Sweet Sans Pro" w:hAnsi="Sweet Sans Pro"/>
        </w:rPr>
      </w:pPr>
      <w:r w:rsidDel="00000000" w:rsidR="00000000" w:rsidRPr="00000000">
        <w:rPr>
          <w:rtl w:val="0"/>
        </w:rPr>
      </w:r>
    </w:p>
    <w:p w:rsidR="00000000" w:rsidDel="00000000" w:rsidP="00000000" w:rsidRDefault="00000000" w:rsidRPr="00000000" w14:paraId="00000006">
      <w:pPr>
        <w:jc w:val="center"/>
        <w:rPr>
          <w:rFonts w:ascii="Sweet Sans Pro" w:cs="Sweet Sans Pro" w:eastAsia="Sweet Sans Pro" w:hAnsi="Sweet Sans Pro"/>
        </w:rPr>
      </w:pPr>
      <w:r w:rsidDel="00000000" w:rsidR="00000000" w:rsidRPr="00000000">
        <w:rPr>
          <w:rFonts w:ascii="Sweet Sans Pro" w:cs="Sweet Sans Pro" w:eastAsia="Sweet Sans Pro" w:hAnsi="Sweet Sans Pro"/>
        </w:rPr>
        <w:drawing>
          <wp:inline distB="0" distT="0" distL="0" distR="0">
            <wp:extent cx="1371600" cy="1371600"/>
            <wp:effectExtent b="0" l="0" r="0" t="0"/>
            <wp:docPr descr="Logo&#10;&#10;Description automatically generated with medium confidence" id="6" name="image3.png"/>
            <a:graphic>
              <a:graphicData uri="http://schemas.openxmlformats.org/drawingml/2006/picture">
                <pic:pic>
                  <pic:nvPicPr>
                    <pic:cNvPr descr="Logo&#10;&#10;Description automatically generated with medium confidence" id="0" name="image3.png"/>
                    <pic:cNvPicPr preferRelativeResize="0"/>
                  </pic:nvPicPr>
                  <pic:blipFill>
                    <a:blip r:embed="rId7"/>
                    <a:srcRect b="0" l="0" r="0" t="0"/>
                    <a:stretch>
                      <a:fillRect/>
                    </a:stretch>
                  </pic:blipFill>
                  <pic:spPr>
                    <a:xfrm>
                      <a:off x="0" y="0"/>
                      <a:ext cx="137160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center"/>
        <w:rPr>
          <w:rFonts w:ascii="Sweet Sans Pro" w:cs="Sweet Sans Pro" w:eastAsia="Sweet Sans Pro" w:hAnsi="Sweet Sans Pro"/>
        </w:rPr>
      </w:pPr>
      <w:r w:rsidDel="00000000" w:rsidR="00000000" w:rsidRPr="00000000">
        <w:rPr>
          <w:rFonts w:ascii="Sweet Sans Pro" w:cs="Sweet Sans Pro" w:eastAsia="Sweet Sans Pro" w:hAnsi="Sweet Sans Pro"/>
          <w:rtl w:val="0"/>
        </w:rPr>
        <w:t xml:space="preserve">earthlawportal.org</w:t>
      </w:r>
    </w:p>
    <w:p w:rsidR="00000000" w:rsidDel="00000000" w:rsidP="00000000" w:rsidRDefault="00000000" w:rsidRPr="00000000" w14:paraId="00000008">
      <w:pPr>
        <w:jc w:val="center"/>
        <w:rPr>
          <w:rFonts w:ascii="Sweet Sans Pro" w:cs="Sweet Sans Pro" w:eastAsia="Sweet Sans Pro" w:hAnsi="Sweet Sans Pro"/>
        </w:rPr>
      </w:pPr>
      <w:r w:rsidDel="00000000" w:rsidR="00000000" w:rsidRPr="00000000">
        <w:rPr>
          <w:rtl w:val="0"/>
        </w:rPr>
      </w:r>
    </w:p>
    <w:p w:rsidR="00000000" w:rsidDel="00000000" w:rsidP="00000000" w:rsidRDefault="00000000" w:rsidRPr="00000000" w14:paraId="00000009">
      <w:pPr>
        <w:jc w:val="center"/>
        <w:rPr>
          <w:rFonts w:ascii="Sweet Sans Pro" w:cs="Sweet Sans Pro" w:eastAsia="Sweet Sans Pro" w:hAnsi="Sweet Sans Pro"/>
        </w:rPr>
      </w:pPr>
      <w:r w:rsidDel="00000000" w:rsidR="00000000" w:rsidRPr="00000000">
        <w:rPr>
          <w:rtl w:val="0"/>
        </w:rPr>
      </w:r>
    </w:p>
    <w:p w:rsidR="00000000" w:rsidDel="00000000" w:rsidP="00000000" w:rsidRDefault="00000000" w:rsidRPr="00000000" w14:paraId="0000000A">
      <w:pPr>
        <w:jc w:val="center"/>
        <w:rPr>
          <w:rFonts w:ascii="Sweet Sans Pro" w:cs="Sweet Sans Pro" w:eastAsia="Sweet Sans Pro" w:hAnsi="Sweet Sans Pro"/>
          <w:sz w:val="54"/>
          <w:szCs w:val="54"/>
        </w:rPr>
      </w:pPr>
      <w:r w:rsidDel="00000000" w:rsidR="00000000" w:rsidRPr="00000000">
        <w:rPr>
          <w:rFonts w:ascii="Sweet Sans Pro" w:cs="Sweet Sans Pro" w:eastAsia="Sweet Sans Pro" w:hAnsi="Sweet Sans Pro"/>
          <w:sz w:val="54"/>
          <w:szCs w:val="54"/>
          <w:rtl w:val="0"/>
        </w:rPr>
        <w:t xml:space="preserve">Représentant</w:t>
      </w:r>
      <w:r w:rsidDel="00000000" w:rsidR="00000000" w:rsidRPr="00000000">
        <w:rPr>
          <w:rFonts w:ascii="Sweet Sans Pro" w:cs="Sweet Sans Pro" w:eastAsia="Sweet Sans Pro" w:hAnsi="Sweet Sans Pro"/>
          <w:sz w:val="54"/>
          <w:szCs w:val="54"/>
          <w:rtl w:val="0"/>
        </w:rPr>
        <w:t xml:space="preserve"> ou Gardien des Générations Futures</w:t>
      </w:r>
    </w:p>
    <w:p w:rsidR="00000000" w:rsidDel="00000000" w:rsidP="00000000" w:rsidRDefault="00000000" w:rsidRPr="00000000" w14:paraId="0000000B">
      <w:pPr>
        <w:tabs>
          <w:tab w:val="left" w:leader="none" w:pos="2700"/>
        </w:tabs>
        <w:spacing w:after="80" w:lineRule="auto"/>
        <w:rPr>
          <w:rFonts w:ascii="Sweet Sans Pro" w:cs="Sweet Sans Pro" w:eastAsia="Sweet Sans Pro" w:hAnsi="Sweet Sans Pro"/>
        </w:rPr>
      </w:pPr>
      <w:r w:rsidDel="00000000" w:rsidR="00000000" w:rsidRPr="00000000">
        <w:rPr>
          <w:rtl w:val="0"/>
        </w:rPr>
      </w:r>
    </w:p>
    <w:p w:rsidR="00000000" w:rsidDel="00000000" w:rsidP="00000000" w:rsidRDefault="00000000" w:rsidRPr="00000000" w14:paraId="0000000C">
      <w:pPr>
        <w:jc w:val="center"/>
        <w:rPr>
          <w:rFonts w:ascii="Sweet Sans Pro" w:cs="Sweet Sans Pro" w:eastAsia="Sweet Sans Pro" w:hAnsi="Sweet Sans Pro"/>
        </w:rPr>
      </w:pPr>
      <w:r w:rsidDel="00000000" w:rsidR="00000000" w:rsidRPr="00000000">
        <w:rPr>
          <w:rFonts w:ascii="Sweet Sans Pro" w:cs="Sweet Sans Pro" w:eastAsia="Sweet Sans Pro" w:hAnsi="Sweet Sans Pro"/>
          <w:rtl w:val="0"/>
        </w:rPr>
        <w:t xml:space="preserve">Extrait de « Modèles pour la protection de l’environnement au profit des générations futures », élaboré par le Science and Environmental Health Network et la Clinique internationale des droits de l’homme de la Faculté de droit de l’Université Harvard.</w:t>
      </w:r>
    </w:p>
    <w:p w:rsidR="00000000" w:rsidDel="00000000" w:rsidP="00000000" w:rsidRDefault="00000000" w:rsidRPr="00000000" w14:paraId="0000000D">
      <w:pPr>
        <w:rPr>
          <w:rFonts w:ascii="Sweet Sans Pro" w:cs="Sweet Sans Pro" w:eastAsia="Sweet Sans Pro" w:hAnsi="Sweet Sans Pro"/>
        </w:rPr>
      </w:pPr>
      <w:r w:rsidDel="00000000" w:rsidR="00000000" w:rsidRPr="00000000">
        <w:rPr>
          <w:rtl w:val="0"/>
        </w:rPr>
      </w:r>
    </w:p>
    <w:p w:rsidR="00000000" w:rsidDel="00000000" w:rsidP="00000000" w:rsidRDefault="00000000" w:rsidRPr="00000000" w14:paraId="0000000E">
      <w:pPr>
        <w:rPr>
          <w:rFonts w:ascii="Sweet Sans Pro" w:cs="Sweet Sans Pro" w:eastAsia="Sweet Sans Pro" w:hAnsi="Sweet Sans Pro"/>
        </w:rPr>
      </w:pPr>
      <w:r w:rsidDel="00000000" w:rsidR="00000000" w:rsidRPr="00000000">
        <w:rPr>
          <w:rtl w:val="0"/>
        </w:rPr>
      </w:r>
    </w:p>
    <w:p w:rsidR="00000000" w:rsidDel="00000000" w:rsidP="00000000" w:rsidRDefault="00000000" w:rsidRPr="00000000" w14:paraId="0000000F">
      <w:pPr>
        <w:rPr>
          <w:rFonts w:ascii="Sweet Sans Pro" w:cs="Sweet Sans Pro" w:eastAsia="Sweet Sans Pro" w:hAnsi="Sweet Sans Pro"/>
        </w:rPr>
      </w:pPr>
      <w:r w:rsidDel="00000000" w:rsidR="00000000" w:rsidRPr="00000000">
        <w:rPr>
          <w:rtl w:val="0"/>
        </w:rPr>
      </w:r>
    </w:p>
    <w:p w:rsidR="00000000" w:rsidDel="00000000" w:rsidP="00000000" w:rsidRDefault="00000000" w:rsidRPr="00000000" w14:paraId="00000010">
      <w:pPr>
        <w:tabs>
          <w:tab w:val="left" w:leader="none" w:pos="2700"/>
        </w:tabs>
        <w:spacing w:after="80" w:lineRule="auto"/>
        <w:rPr>
          <w:rFonts w:ascii="Sweet Sans Pro" w:cs="Sweet Sans Pro" w:eastAsia="Sweet Sans Pro" w:hAnsi="Sweet Sans Pro"/>
          <w:b w:val="1"/>
          <w:sz w:val="30"/>
          <w:szCs w:val="30"/>
        </w:rPr>
      </w:pPr>
      <w:r w:rsidDel="00000000" w:rsidR="00000000" w:rsidRPr="00000000">
        <w:rPr>
          <w:rFonts w:ascii="Sweet Sans Pro" w:cs="Sweet Sans Pro" w:eastAsia="Sweet Sans Pro" w:hAnsi="Sweet Sans Pro"/>
          <w:sz w:val="28"/>
          <w:szCs w:val="28"/>
          <w:rtl w:val="0"/>
        </w:rPr>
        <w:tab/>
      </w:r>
      <w:r w:rsidDel="00000000" w:rsidR="00000000" w:rsidRPr="00000000">
        <w:rPr>
          <w:rFonts w:ascii="Sweet Sans Pro" w:cs="Sweet Sans Pro" w:eastAsia="Sweet Sans Pro" w:hAnsi="Sweet Sans Pro"/>
          <w:b w:val="1"/>
          <w:sz w:val="30"/>
          <w:szCs w:val="30"/>
          <w:rtl w:val="0"/>
        </w:rPr>
        <w:t xml:space="preserve">Fourni par :</w:t>
      </w:r>
      <w:r w:rsidDel="00000000" w:rsidR="00000000" w:rsidRPr="00000000">
        <w:drawing>
          <wp:anchor allowOverlap="1" behindDoc="1" distB="0" distT="0" distL="0" distR="0" hidden="0" layoutInCell="1" locked="0" relativeHeight="0" simplePos="0">
            <wp:simplePos x="0" y="0"/>
            <wp:positionH relativeFrom="column">
              <wp:posOffset>400050</wp:posOffset>
            </wp:positionH>
            <wp:positionV relativeFrom="paragraph">
              <wp:posOffset>269855</wp:posOffset>
            </wp:positionV>
            <wp:extent cx="1930836" cy="1396349"/>
            <wp:effectExtent b="0" l="0" r="0" t="0"/>
            <wp:wrapNone/>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30836" cy="1396349"/>
                    </a:xfrm>
                    <a:prstGeom prst="rect"/>
                    <a:ln/>
                  </pic:spPr>
                </pic:pic>
              </a:graphicData>
            </a:graphic>
          </wp:anchor>
        </w:drawing>
      </w:r>
    </w:p>
    <w:p w:rsidR="00000000" w:rsidDel="00000000" w:rsidP="00000000" w:rsidRDefault="00000000" w:rsidRPr="00000000" w14:paraId="00000011">
      <w:pPr>
        <w:jc w:val="center"/>
        <w:rPr>
          <w:rFonts w:ascii="Sweet Sans Pro" w:cs="Sweet Sans Pro" w:eastAsia="Sweet Sans Pro" w:hAnsi="Sweet Sans Pro"/>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3134824</wp:posOffset>
            </wp:positionH>
            <wp:positionV relativeFrom="paragraph">
              <wp:posOffset>175244</wp:posOffset>
            </wp:positionV>
            <wp:extent cx="3501446" cy="1055297"/>
            <wp:effectExtent b="0" l="0" r="0" t="0"/>
            <wp:wrapNone/>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501446" cy="1055297"/>
                    </a:xfrm>
                    <a:prstGeom prst="rect"/>
                    <a:ln/>
                  </pic:spPr>
                </pic:pic>
              </a:graphicData>
            </a:graphic>
          </wp:anchor>
        </w:drawing>
      </w:r>
    </w:p>
    <w:p w:rsidR="00000000" w:rsidDel="00000000" w:rsidP="00000000" w:rsidRDefault="00000000" w:rsidRPr="00000000" w14:paraId="00000012">
      <w:pPr>
        <w:tabs>
          <w:tab w:val="left" w:leader="none" w:pos="2160"/>
        </w:tabs>
        <w:rPr>
          <w:rFonts w:ascii="Sweet Sans Pro" w:cs="Sweet Sans Pro" w:eastAsia="Sweet Sans Pro" w:hAnsi="Sweet Sans Pro"/>
        </w:rPr>
      </w:pPr>
      <w:r w:rsidDel="00000000" w:rsidR="00000000" w:rsidRPr="00000000">
        <w:rPr>
          <w:rFonts w:ascii="Sweet Sans Pro" w:cs="Sweet Sans Pro" w:eastAsia="Sweet Sans Pro" w:hAnsi="Sweet Sans Pro"/>
          <w:rtl w:val="0"/>
        </w:rPr>
        <w:br w:type="textWrapping"/>
        <w:br w:type="textWrapping"/>
      </w:r>
    </w:p>
    <w:p w:rsidR="00000000" w:rsidDel="00000000" w:rsidP="00000000" w:rsidRDefault="00000000" w:rsidRPr="00000000" w14:paraId="00000013">
      <w:pPr>
        <w:tabs>
          <w:tab w:val="left" w:leader="none" w:pos="2160"/>
        </w:tabs>
        <w:rPr>
          <w:rFonts w:ascii="Sweet Sans Pro" w:cs="Sweet Sans Pro" w:eastAsia="Sweet Sans Pro" w:hAnsi="Sweet Sans Pro"/>
        </w:rPr>
      </w:pPr>
      <w:r w:rsidDel="00000000" w:rsidR="00000000" w:rsidRPr="00000000">
        <w:rPr>
          <w:rtl w:val="0"/>
        </w:rPr>
      </w:r>
    </w:p>
    <w:p w:rsidR="00000000" w:rsidDel="00000000" w:rsidP="00000000" w:rsidRDefault="00000000" w:rsidRPr="00000000" w14:paraId="00000014">
      <w:pPr>
        <w:tabs>
          <w:tab w:val="left" w:leader="none" w:pos="2160"/>
        </w:tabs>
        <w:rPr>
          <w:rFonts w:ascii="Sweet Sans Pro" w:cs="Sweet Sans Pro" w:eastAsia="Sweet Sans Pro" w:hAnsi="Sweet Sans Pro"/>
        </w:rPr>
      </w:pPr>
      <w:r w:rsidDel="00000000" w:rsidR="00000000" w:rsidRPr="00000000">
        <w:rPr>
          <w:rtl w:val="0"/>
        </w:rPr>
      </w:r>
    </w:p>
    <w:p w:rsidR="00000000" w:rsidDel="00000000" w:rsidP="00000000" w:rsidRDefault="00000000" w:rsidRPr="00000000" w14:paraId="00000015">
      <w:pPr>
        <w:tabs>
          <w:tab w:val="left" w:leader="none" w:pos="2160"/>
        </w:tabs>
        <w:rPr>
          <w:rFonts w:ascii="Sweet Sans Pro" w:cs="Sweet Sans Pro" w:eastAsia="Sweet Sans Pro" w:hAnsi="Sweet Sans Pro"/>
        </w:rPr>
      </w:pPr>
      <w:r w:rsidDel="00000000" w:rsidR="00000000" w:rsidRPr="00000000">
        <w:rPr>
          <w:rtl w:val="0"/>
        </w:rPr>
      </w:r>
    </w:p>
    <w:p w:rsidR="00000000" w:rsidDel="00000000" w:rsidP="00000000" w:rsidRDefault="00000000" w:rsidRPr="00000000" w14:paraId="00000016">
      <w:pPr>
        <w:tabs>
          <w:tab w:val="left" w:leader="none" w:pos="2160"/>
        </w:tabs>
        <w:rPr>
          <w:rFonts w:ascii="Sweet Sans Pro" w:cs="Sweet Sans Pro" w:eastAsia="Sweet Sans Pro" w:hAnsi="Sweet Sans Pro"/>
        </w:rPr>
      </w:pPr>
      <w:r w:rsidDel="00000000" w:rsidR="00000000" w:rsidRPr="00000000">
        <w:rPr>
          <w:rtl w:val="0"/>
        </w:rPr>
      </w:r>
    </w:p>
    <w:p w:rsidR="00000000" w:rsidDel="00000000" w:rsidP="00000000" w:rsidRDefault="00000000" w:rsidRPr="00000000" w14:paraId="00000017">
      <w:pPr>
        <w:tabs>
          <w:tab w:val="left" w:leader="none" w:pos="2160"/>
        </w:tabs>
        <w:rPr>
          <w:rFonts w:ascii="Sweet Sans Pro" w:cs="Sweet Sans Pro" w:eastAsia="Sweet Sans Pro" w:hAnsi="Sweet Sans Pro"/>
        </w:rPr>
      </w:pPr>
      <w:r w:rsidDel="00000000" w:rsidR="00000000" w:rsidRPr="00000000">
        <w:rPr>
          <w:rtl w:val="0"/>
        </w:rPr>
      </w:r>
    </w:p>
    <w:p w:rsidR="00000000" w:rsidDel="00000000" w:rsidP="00000000" w:rsidRDefault="00000000" w:rsidRPr="00000000" w14:paraId="00000018">
      <w:pPr>
        <w:tabs>
          <w:tab w:val="left" w:leader="none" w:pos="2160"/>
        </w:tabs>
        <w:rPr>
          <w:rFonts w:ascii="Sweet Sans Pro" w:cs="Sweet Sans Pro" w:eastAsia="Sweet Sans Pro" w:hAnsi="Sweet Sans Pro"/>
        </w:rPr>
      </w:pPr>
      <w:r w:rsidDel="00000000" w:rsidR="00000000" w:rsidRPr="00000000">
        <w:rPr>
          <w:rFonts w:ascii="Sweet Sans Pro" w:cs="Sweet Sans Pro" w:eastAsia="Sweet Sans Pro" w:hAnsi="Sweet Sans Pro"/>
          <w:rtl w:val="0"/>
        </w:rPr>
        <w:t xml:space="preserve">                </w:t>
      </w:r>
      <w:hyperlink r:id="rId10">
        <w:r w:rsidDel="00000000" w:rsidR="00000000" w:rsidRPr="00000000">
          <w:rPr>
            <w:rFonts w:ascii="Sweet Sans Pro" w:cs="Sweet Sans Pro" w:eastAsia="Sweet Sans Pro" w:hAnsi="Sweet Sans Pro"/>
            <w:color w:val="1155cc"/>
            <w:u w:val="single"/>
            <w:rtl w:val="0"/>
          </w:rPr>
          <w:t xml:space="preserve">hrp.law.harvard.edu</w:t>
        </w:r>
      </w:hyperlink>
      <w:r w:rsidDel="00000000" w:rsidR="00000000" w:rsidRPr="00000000">
        <w:rPr>
          <w:rFonts w:ascii="Sweet Sans Pro" w:cs="Sweet Sans Pro" w:eastAsia="Sweet Sans Pro" w:hAnsi="Sweet Sans Pro"/>
          <w:rtl w:val="0"/>
        </w:rPr>
        <w:t xml:space="preserve">                           </w:t>
        <w:tab/>
        <w:t xml:space="preserve">         </w:t>
        <w:tab/>
        <w:tab/>
        <w:t xml:space="preserve">       </w:t>
      </w:r>
      <w:hyperlink r:id="rId11">
        <w:r w:rsidDel="00000000" w:rsidR="00000000" w:rsidRPr="00000000">
          <w:rPr>
            <w:rFonts w:ascii="Sweet Sans Pro" w:cs="Sweet Sans Pro" w:eastAsia="Sweet Sans Pro" w:hAnsi="Sweet Sans Pro"/>
            <w:color w:val="1155cc"/>
            <w:u w:val="single"/>
            <w:rtl w:val="0"/>
          </w:rPr>
          <w:t xml:space="preserve">www.sehn.org</w:t>
        </w:r>
      </w:hyperlink>
      <w:r w:rsidDel="00000000" w:rsidR="00000000" w:rsidRPr="00000000">
        <w:rPr>
          <w:rtl w:val="0"/>
        </w:rPr>
      </w:r>
    </w:p>
    <w:p w:rsidR="00000000" w:rsidDel="00000000" w:rsidP="00000000" w:rsidRDefault="00000000" w:rsidRPr="00000000" w14:paraId="00000019">
      <w:pPr>
        <w:tabs>
          <w:tab w:val="left" w:leader="none" w:pos="2160"/>
        </w:tabs>
        <w:rPr>
          <w:rFonts w:ascii="Sweet Sans Pro" w:cs="Sweet Sans Pro" w:eastAsia="Sweet Sans Pro" w:hAnsi="Sweet Sans Pro"/>
        </w:rPr>
      </w:pPr>
      <w:r w:rsidDel="00000000" w:rsidR="00000000" w:rsidRPr="00000000">
        <w:rPr>
          <w:rtl w:val="0"/>
        </w:rPr>
      </w:r>
    </w:p>
    <w:p w:rsidR="00000000" w:rsidDel="00000000" w:rsidP="00000000" w:rsidRDefault="00000000" w:rsidRPr="00000000" w14:paraId="0000001A">
      <w:pPr>
        <w:widowControl w:val="0"/>
        <w:jc w:val="both"/>
        <w:rPr>
          <w:rFonts w:ascii="SweetSansPro-LightItalic" w:cs="SweetSansPro-LightItalic" w:eastAsia="SweetSansPro-LightItalic" w:hAnsi="SweetSansPro-LightItalic"/>
          <w:i w:val="1"/>
          <w:color w:val="231f20"/>
          <w:sz w:val="22"/>
          <w:szCs w:val="22"/>
        </w:rPr>
      </w:pPr>
      <w:r w:rsidDel="00000000" w:rsidR="00000000" w:rsidRPr="00000000">
        <w:rPr>
          <w:rtl w:val="0"/>
        </w:rPr>
      </w:r>
    </w:p>
    <w:p w:rsidR="00000000" w:rsidDel="00000000" w:rsidP="00000000" w:rsidRDefault="00000000" w:rsidRPr="00000000" w14:paraId="0000001B">
      <w:pPr>
        <w:widowControl w:val="0"/>
        <w:jc w:val="both"/>
        <w:rPr>
          <w:rFonts w:ascii="SweetSansPro-LightItalic" w:cs="SweetSansPro-LightItalic" w:eastAsia="SweetSansPro-LightItalic" w:hAnsi="SweetSansPro-LightItalic"/>
          <w:i w:val="1"/>
          <w:color w:val="231f20"/>
          <w:sz w:val="22"/>
          <w:szCs w:val="22"/>
        </w:rPr>
      </w:pPr>
      <w:r w:rsidDel="00000000" w:rsidR="00000000" w:rsidRPr="00000000">
        <w:rPr>
          <w:rFonts w:ascii="SweetSansPro-LightItalic" w:cs="SweetSansPro-LightItalic" w:eastAsia="SweetSansPro-LightItalic" w:hAnsi="SweetSansPro-LightItalic"/>
          <w:i w:val="1"/>
          <w:color w:val="231f20"/>
          <w:sz w:val="22"/>
          <w:szCs w:val="22"/>
          <w:rtl w:val="0"/>
        </w:rPr>
        <w:t xml:space="preserve">Ce sont des modèles open source, et non des solutions universellement applicables. Nous reconnaissons que les lois et les politiques doivent être adaptées aux contextes culturels et politiques spécifiques. Ces modèles ne constituent pas un avis juridique. Si vous avez besoin d’une assistance juridique, veuillez contacter un avocat agréé.</w:t>
      </w:r>
    </w:p>
    <w:p w:rsidR="00000000" w:rsidDel="00000000" w:rsidP="00000000" w:rsidRDefault="00000000" w:rsidRPr="00000000" w14:paraId="0000001C">
      <w:pPr>
        <w:widowControl w:val="0"/>
        <w:jc w:val="both"/>
        <w:rPr>
          <w:rFonts w:ascii="SweetSansPro-LightItalic" w:cs="SweetSansPro-LightItalic" w:eastAsia="SweetSansPro-LightItalic" w:hAnsi="SweetSansPro-LightItalic"/>
          <w:i w:val="1"/>
          <w:color w:val="231f20"/>
          <w:sz w:val="22"/>
          <w:szCs w:val="22"/>
        </w:rPr>
      </w:pPr>
      <w:r w:rsidDel="00000000" w:rsidR="00000000" w:rsidRPr="00000000">
        <w:rPr>
          <w:rtl w:val="0"/>
        </w:rPr>
      </w:r>
    </w:p>
    <w:p w:rsidR="00000000" w:rsidDel="00000000" w:rsidP="00000000" w:rsidRDefault="00000000" w:rsidRPr="00000000" w14:paraId="0000001D">
      <w:pPr>
        <w:widowControl w:val="0"/>
        <w:ind w:left="119" w:right="117" w:firstLine="0"/>
        <w:jc w:val="right"/>
        <w:rPr>
          <w:rFonts w:ascii="SweetSansPro-LightItalic" w:cs="SweetSansPro-LightItalic" w:eastAsia="SweetSansPro-LightItalic" w:hAnsi="SweetSansPro-LightItalic"/>
          <w:i w:val="1"/>
          <w:color w:val="231f20"/>
          <w:sz w:val="22"/>
          <w:szCs w:val="22"/>
        </w:rPr>
      </w:pPr>
      <w:r w:rsidDel="00000000" w:rsidR="00000000" w:rsidRPr="00000000">
        <w:rPr>
          <w:rFonts w:ascii="SweetSansPro-LightItalic" w:cs="SweetSansPro-LightItalic" w:eastAsia="SweetSansPro-LightItalic" w:hAnsi="SweetSansPro-LightItalic"/>
          <w:i w:val="1"/>
          <w:color w:val="231f20"/>
          <w:sz w:val="22"/>
          <w:szCs w:val="22"/>
          <w:rtl w:val="0"/>
        </w:rPr>
        <w:t xml:space="preserve">Dernière modification : Octobre 2008</w:t>
      </w:r>
    </w:p>
    <w:p w:rsidR="00000000" w:rsidDel="00000000" w:rsidP="00000000" w:rsidRDefault="00000000" w:rsidRPr="00000000" w14:paraId="0000001E">
      <w:pPr>
        <w:jc w:val="center"/>
        <w:rPr>
          <w:rFonts w:ascii="Times New Roman" w:cs="Times New Roman" w:eastAsia="Times New Roman" w:hAnsi="Times New Roman"/>
          <w:i w:val="1"/>
          <w:color w:val="ff0000"/>
          <w:sz w:val="30"/>
          <w:szCs w:val="30"/>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i w:val="1"/>
          <w:color w:val="ff0000"/>
          <w:sz w:val="30"/>
          <w:szCs w:val="30"/>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i w:val="1"/>
          <w:color w:val="ff0000"/>
          <w:sz w:val="36"/>
          <w:szCs w:val="36"/>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24">
      <w:pPr>
        <w:jc w:val="left"/>
        <w:rPr>
          <w:rFonts w:ascii="Times New Roman" w:cs="Times New Roman" w:eastAsia="Times New Roman" w:hAnsi="Times New Roman"/>
          <w:sz w:val="44"/>
          <w:szCs w:val="44"/>
        </w:rPr>
      </w:pPr>
      <w:r w:rsidDel="00000000" w:rsidR="00000000" w:rsidRPr="00000000">
        <w:rPr>
          <w:rtl w:val="0"/>
        </w:rPr>
      </w:r>
    </w:p>
    <w:p w:rsidR="00000000" w:rsidDel="00000000" w:rsidP="00000000" w:rsidRDefault="00000000" w:rsidRPr="00000000" w14:paraId="00000025">
      <w:pPr>
        <w:spacing w:after="240" w:before="240" w:lineRule="auto"/>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b w:val="1"/>
          <w:sz w:val="44"/>
          <w:szCs w:val="44"/>
          <w:rtl w:val="0"/>
        </w:rPr>
        <w:t xml:space="preserve">Proposition de structure pour un Représentant des générations futures</w:t>
        <w:br w:type="textWrapping"/>
      </w:r>
      <w:r w:rsidDel="00000000" w:rsidR="00000000" w:rsidRPr="00000000">
        <w:rPr>
          <w:rFonts w:ascii="Times New Roman" w:cs="Times New Roman" w:eastAsia="Times New Roman" w:hAnsi="Times New Roman"/>
          <w:sz w:val="44"/>
          <w:szCs w:val="44"/>
          <w:rtl w:val="0"/>
        </w:rPr>
        <w:t xml:space="preserve">Page 2</w:t>
      </w:r>
    </w:p>
    <w:p w:rsidR="00000000" w:rsidDel="00000000" w:rsidP="00000000" w:rsidRDefault="00000000" w:rsidRPr="00000000" w14:paraId="00000026">
      <w:pPr>
        <w:spacing w:after="240" w:before="240" w:lineRule="auto"/>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b w:val="1"/>
          <w:sz w:val="44"/>
          <w:szCs w:val="44"/>
          <w:rtl w:val="0"/>
        </w:rPr>
        <w:t xml:space="preserve">Proposition de structure pour un Tuteur légal des générations futures</w:t>
        <w:br w:type="textWrapping"/>
      </w:r>
      <w:r w:rsidDel="00000000" w:rsidR="00000000" w:rsidRPr="00000000">
        <w:rPr>
          <w:rFonts w:ascii="Times New Roman" w:cs="Times New Roman" w:eastAsia="Times New Roman" w:hAnsi="Times New Roman"/>
          <w:sz w:val="44"/>
          <w:szCs w:val="44"/>
          <w:rtl w:val="0"/>
        </w:rPr>
        <w:t xml:space="preserve">Page 6</w:t>
      </w:r>
    </w:p>
    <w:p w:rsidR="00000000" w:rsidDel="00000000" w:rsidP="00000000" w:rsidRDefault="00000000" w:rsidRPr="00000000" w14:paraId="00000027">
      <w:pPr>
        <w:jc w:val="center"/>
        <w:rPr>
          <w:rFonts w:ascii="Times New Roman" w:cs="Times New Roman" w:eastAsia="Times New Roman" w:hAnsi="Times New Roman"/>
          <w:sz w:val="44"/>
          <w:szCs w:val="44"/>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i w:val="1"/>
          <w:color w:val="ff0000"/>
          <w:sz w:val="44"/>
          <w:szCs w:val="44"/>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i w:val="1"/>
          <w:color w:val="ff0000"/>
          <w:sz w:val="30"/>
          <w:szCs w:val="30"/>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i w:val="1"/>
          <w:color w:val="ff0000"/>
          <w:sz w:val="30"/>
          <w:szCs w:val="30"/>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i w:val="1"/>
          <w:color w:val="ff0000"/>
          <w:sz w:val="30"/>
          <w:szCs w:val="30"/>
        </w:rPr>
      </w:pP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i w:val="1"/>
          <w:color w:val="ff0000"/>
          <w:sz w:val="30"/>
          <w:szCs w:val="30"/>
        </w:rPr>
      </w:pP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i w:val="1"/>
          <w:color w:val="ff0000"/>
          <w:sz w:val="30"/>
          <w:szCs w:val="30"/>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i w:val="1"/>
          <w:color w:val="ff0000"/>
          <w:sz w:val="30"/>
          <w:szCs w:val="30"/>
        </w:rPr>
      </w:pPr>
      <w:r w:rsidDel="00000000" w:rsidR="00000000" w:rsidRPr="00000000">
        <w:rPr>
          <w:rtl w:val="0"/>
        </w:rPr>
      </w:r>
    </w:p>
    <w:p w:rsidR="00000000" w:rsidDel="00000000" w:rsidP="00000000" w:rsidRDefault="00000000" w:rsidRPr="00000000" w14:paraId="0000002F">
      <w:pPr>
        <w:jc w:val="left"/>
        <w:rPr>
          <w:rFonts w:ascii="Times New Roman" w:cs="Times New Roman" w:eastAsia="Times New Roman" w:hAnsi="Times New Roman"/>
          <w:i w:val="1"/>
          <w:color w:val="ff0000"/>
          <w:sz w:val="30"/>
          <w:szCs w:val="30"/>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i w:val="1"/>
          <w:color w:val="ff0000"/>
          <w:sz w:val="30"/>
          <w:szCs w:val="30"/>
        </w:rPr>
      </w:pPr>
      <w:r w:rsidDel="00000000" w:rsidR="00000000" w:rsidRPr="00000000">
        <w:rPr>
          <w:rFonts w:ascii="Times New Roman" w:cs="Times New Roman" w:eastAsia="Times New Roman" w:hAnsi="Times New Roman"/>
          <w:i w:val="1"/>
          <w:color w:val="ff0000"/>
          <w:sz w:val="30"/>
          <w:szCs w:val="30"/>
          <w:rtl w:val="0"/>
        </w:rPr>
        <w:t xml:space="preserve">Ces modèles sont des extraits du rapport intitulé « Modèles de protection de l’environnement pour les générations futures », élaboré par le</w:t>
      </w:r>
      <w:hyperlink r:id="rId12">
        <w:r w:rsidDel="00000000" w:rsidR="00000000" w:rsidRPr="00000000">
          <w:rPr>
            <w:rFonts w:ascii="Times New Roman" w:cs="Times New Roman" w:eastAsia="Times New Roman" w:hAnsi="Times New Roman"/>
            <w:i w:val="1"/>
            <w:color w:val="1155cc"/>
            <w:sz w:val="30"/>
            <w:szCs w:val="30"/>
            <w:u w:val="single"/>
            <w:rtl w:val="0"/>
          </w:rPr>
          <w:t xml:space="preserve"> Science and Environmental Health Network </w:t>
        </w:r>
      </w:hyperlink>
      <w:r w:rsidDel="00000000" w:rsidR="00000000" w:rsidRPr="00000000">
        <w:rPr>
          <w:rFonts w:ascii="Times New Roman" w:cs="Times New Roman" w:eastAsia="Times New Roman" w:hAnsi="Times New Roman"/>
          <w:i w:val="1"/>
          <w:color w:val="ff0000"/>
          <w:sz w:val="30"/>
          <w:szCs w:val="30"/>
          <w:rtl w:val="0"/>
        </w:rPr>
        <w:t xml:space="preserve">et la </w:t>
      </w:r>
      <w:hyperlink r:id="rId13">
        <w:r w:rsidDel="00000000" w:rsidR="00000000" w:rsidRPr="00000000">
          <w:rPr>
            <w:rFonts w:ascii="Times New Roman" w:cs="Times New Roman" w:eastAsia="Times New Roman" w:hAnsi="Times New Roman"/>
            <w:i w:val="1"/>
            <w:color w:val="1155cc"/>
            <w:sz w:val="30"/>
            <w:szCs w:val="30"/>
            <w:u w:val="single"/>
            <w:rtl w:val="0"/>
          </w:rPr>
          <w:t xml:space="preserve">Clinique internationale des droits humains de la Faculté de droit de Harvard</w:t>
        </w:r>
      </w:hyperlink>
      <w:r w:rsidDel="00000000" w:rsidR="00000000" w:rsidRPr="00000000">
        <w:rPr>
          <w:rFonts w:ascii="Times New Roman" w:cs="Times New Roman" w:eastAsia="Times New Roman" w:hAnsi="Times New Roman"/>
          <w:i w:val="1"/>
          <w:color w:val="ff0000"/>
          <w:sz w:val="30"/>
          <w:szCs w:val="30"/>
          <w:rtl w:val="0"/>
        </w:rPr>
        <w:t xml:space="preserve">. Le rapport complet est disponible sur le Earth Law Portal, ou à</w:t>
      </w:r>
      <w:hyperlink r:id="rId14">
        <w:r w:rsidDel="00000000" w:rsidR="00000000" w:rsidRPr="00000000">
          <w:rPr>
            <w:rFonts w:ascii="Times New Roman" w:cs="Times New Roman" w:eastAsia="Times New Roman" w:hAnsi="Times New Roman"/>
            <w:i w:val="1"/>
            <w:color w:val="1155cc"/>
            <w:sz w:val="30"/>
            <w:szCs w:val="30"/>
            <w:u w:val="single"/>
            <w:rtl w:val="0"/>
          </w:rPr>
          <w:t xml:space="preserve"> cette adresse</w:t>
        </w:r>
      </w:hyperlink>
      <w:r w:rsidDel="00000000" w:rsidR="00000000" w:rsidRPr="00000000">
        <w:rPr>
          <w:rFonts w:ascii="Times New Roman" w:cs="Times New Roman" w:eastAsia="Times New Roman" w:hAnsi="Times New Roman"/>
          <w:i w:val="1"/>
          <w:color w:val="ff0000"/>
          <w:sz w:val="30"/>
          <w:szCs w:val="30"/>
          <w:rtl w:val="0"/>
        </w:rPr>
        <w:t xml:space="preserve">.</w:t>
      </w:r>
    </w:p>
    <w:p w:rsidR="00000000" w:rsidDel="00000000" w:rsidP="00000000" w:rsidRDefault="00000000" w:rsidRPr="00000000" w14:paraId="00000031">
      <w:pPr>
        <w:jc w:val="left"/>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32">
      <w:pPr>
        <w:jc w:val="left"/>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Structure proposée pour un Représentant des Générations Futures</w:t>
      </w:r>
    </w:p>
    <w:p w:rsidR="00000000" w:rsidDel="00000000" w:rsidP="00000000" w:rsidRDefault="00000000" w:rsidRPr="00000000" w14:paraId="00000034">
      <w:pPr>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35">
      <w:pPr>
        <w:spacing w:after="240" w:before="240" w:lineRule="auto"/>
        <w:rPr>
          <w:rFonts w:ascii="Times New Roman" w:cs="Times New Roman" w:eastAsia="Times New Roman" w:hAnsi="Times New Roman"/>
          <w:b w:val="1"/>
          <w:i w:val="1"/>
          <w:color w:val="ff0000"/>
        </w:rPr>
      </w:pPr>
      <w:r w:rsidDel="00000000" w:rsidR="00000000" w:rsidRPr="00000000">
        <w:rPr>
          <w:rFonts w:ascii="Times New Roman" w:cs="Times New Roman" w:eastAsia="Times New Roman" w:hAnsi="Times New Roman"/>
          <w:i w:val="1"/>
          <w:color w:val="ff0000"/>
          <w:rtl w:val="0"/>
        </w:rPr>
        <w:t xml:space="preserve">La proposition suivante décrit comment pourrait être structurée la fonction de Représentant des Générations Futures. Ce document vise à identifier uniquement </w:t>
      </w:r>
      <w:r w:rsidDel="00000000" w:rsidR="00000000" w:rsidRPr="00000000">
        <w:rPr>
          <w:rFonts w:ascii="Times New Roman" w:cs="Times New Roman" w:eastAsia="Times New Roman" w:hAnsi="Times New Roman"/>
          <w:b w:val="1"/>
          <w:i w:val="1"/>
          <w:color w:val="ff0000"/>
          <w:rtl w:val="0"/>
        </w:rPr>
        <w:t xml:space="preserve">les exigences essentielles liées à ce poste.</w:t>
      </w:r>
    </w:p>
    <w:p w:rsidR="00000000" w:rsidDel="00000000" w:rsidP="00000000" w:rsidRDefault="00000000" w:rsidRPr="00000000" w14:paraId="0000003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Consultation d’un organisme gouvernemental ou d’un acteur privé avec le </w:t>
      </w:r>
      <w:r w:rsidDel="00000000" w:rsidR="00000000" w:rsidRPr="00000000">
        <w:rPr>
          <w:rFonts w:ascii="Times New Roman" w:cs="Times New Roman" w:eastAsia="Times New Roman" w:hAnsi="Times New Roman"/>
          <w:rtl w:val="0"/>
        </w:rPr>
        <w:t xml:space="preserve">Représentant</w:t>
      </w:r>
      <w:r w:rsidDel="00000000" w:rsidR="00000000" w:rsidRPr="00000000">
        <w:rPr>
          <w:rFonts w:ascii="Times New Roman" w:cs="Times New Roman" w:eastAsia="Times New Roman" w:hAnsi="Times New Roman"/>
          <w:rtl w:val="0"/>
        </w:rPr>
        <w:t xml:space="preserve"> des Générations Futures</w:t>
      </w:r>
    </w:p>
    <w:p w:rsidR="00000000" w:rsidDel="00000000" w:rsidP="00000000" w:rsidRDefault="00000000" w:rsidRPr="00000000" w14:paraId="0000003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Lorsqu’un organisme gouvernemental demande l’assistance d’un </w:t>
      </w:r>
      <w:r w:rsidDel="00000000" w:rsidR="00000000" w:rsidRPr="00000000">
        <w:rPr>
          <w:rFonts w:ascii="Times New Roman" w:cs="Times New Roman" w:eastAsia="Times New Roman" w:hAnsi="Times New Roman"/>
          <w:rtl w:val="0"/>
        </w:rPr>
        <w:t xml:space="preserve">Représentant</w:t>
      </w:r>
      <w:r w:rsidDel="00000000" w:rsidR="00000000" w:rsidRPr="00000000">
        <w:rPr>
          <w:rFonts w:ascii="Times New Roman" w:cs="Times New Roman" w:eastAsia="Times New Roman" w:hAnsi="Times New Roman"/>
          <w:rtl w:val="0"/>
        </w:rPr>
        <w:t xml:space="preserve"> des Générations Futures pour évaluer une loi, une politique ou une action révisable proposée susceptible d’avoir un impact sur l’environnement, ou lorsqu’un acteur privé demande l’ouverture d’une enquête sur une action spécifique, les responsabilités et obligations de l’organisme gouvernemental et du Représentant  sont les suivantes :</w:t>
      </w:r>
    </w:p>
    <w:p w:rsidR="00000000" w:rsidDel="00000000" w:rsidP="00000000" w:rsidRDefault="00000000" w:rsidRPr="00000000" w14:paraId="00000038">
      <w:pPr>
        <w:pStyle w:val="Heading3"/>
        <w:keepNext w:val="0"/>
        <w:keepLines w:val="0"/>
        <w:rPr>
          <w:rFonts w:ascii="Times New Roman" w:cs="Times New Roman" w:eastAsia="Times New Roman" w:hAnsi="Times New Roman"/>
          <w:sz w:val="24"/>
          <w:szCs w:val="24"/>
        </w:rPr>
      </w:pPr>
      <w:bookmarkStart w:colFirst="0" w:colLast="0" w:name="_heading=h.vdosr1j15ynq" w:id="0"/>
      <w:bookmarkEnd w:id="0"/>
      <w:r w:rsidDel="00000000" w:rsidR="00000000" w:rsidRPr="00000000">
        <w:rPr>
          <w:rFonts w:ascii="Times New Roman" w:cs="Times New Roman" w:eastAsia="Times New Roman" w:hAnsi="Times New Roman"/>
          <w:sz w:val="24"/>
          <w:szCs w:val="24"/>
          <w:rtl w:val="0"/>
        </w:rPr>
        <w:t xml:space="preserve">I. Définitions</w:t>
      </w:r>
    </w:p>
    <w:p w:rsidR="00000000" w:rsidDel="00000000" w:rsidP="00000000" w:rsidRDefault="00000000" w:rsidRPr="00000000" w14:paraId="0000003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 Représentant des Générations Futures » (« Représentant ») est une personne ayant pour mission de veiller à ce qu’une loi, une politique ou une action révisable, existante ou proposée, protège et promeuvent les intérêts juridiques environnementaux des générations futures.</w:t>
      </w:r>
    </w:p>
    <w:p w:rsidR="00000000" w:rsidDel="00000000" w:rsidP="00000000" w:rsidRDefault="00000000" w:rsidRPr="00000000" w14:paraId="0000003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Une « action révisable </w:t>
      </w:r>
      <w:r w:rsidDel="00000000" w:rsidR="00000000" w:rsidRPr="00000000">
        <w:rPr>
          <w:rFonts w:ascii="Times New Roman" w:cs="Times New Roman" w:eastAsia="Times New Roman" w:hAnsi="Times New Roman"/>
          <w:rtl w:val="0"/>
        </w:rPr>
        <w:t xml:space="preserve">» est une action proposée par un organisme gouvernemental ou un acteur privé qui peut être examinée au regard des lois environnementales en vigueur.</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 Déroulement de la consultation </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Les devoirs de l’organisme gouvernemental lors de l’initiation de la consultation</w:t>
      </w:r>
    </w:p>
    <w:p w:rsidR="00000000" w:rsidDel="00000000" w:rsidP="00000000" w:rsidRDefault="00000000" w:rsidRPr="00000000" w14:paraId="0000003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L’organisme gouvernemental doit désigner un Représentant permanent chargé d’évaluer toutes les lois, politiques ou actions révisables proposées et pertinentes.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L’organisme gouvernemental doit identifier toutes les bases juridiques précisant les obligations légales envers les générations futures auxquelles il est tenu de se conformer.</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L’organisme gouvernemental doit identifier et décrire de manière complète la loi, la politique ou l’action révisable proposée, et fournir, à la demande du Représentant, l’accès aux informations nécessaires ou utiles à l’évaluation de celui-ci.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L’organisme gouvernemental doit, à la demande du Représentant, lui donner accès aux réunions, audiences ou autres forums pertinents où sont discutées la loi, la politique ou l’action révisable proposée.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Les devoirs du Représentant dans l’Évaluation d’une Loi, d’une Politique ou d’une Action Révisable Proposée</w:t>
      </w:r>
    </w:p>
    <w:p w:rsidR="00000000" w:rsidDel="00000000" w:rsidP="00000000" w:rsidRDefault="00000000" w:rsidRPr="00000000" w14:paraId="0000004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 Représentant doit rédiger un Rapport sur les Effets pour les Générations Futures, évaluant (i) les impacts potentiels de la loi, de la politique ou de l’action révisable proposée sur la santé écologique des terres, des eaux, de l’air et du climat, et (ii) les effets potentiels que ces impacts peuvent avoir sur les générations futures de la communauté. Le rapport doit :</w:t>
      </w:r>
    </w:p>
    <w:p w:rsidR="00000000" w:rsidDel="00000000" w:rsidP="00000000" w:rsidRDefault="00000000" w:rsidRPr="00000000" w14:paraId="0000004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numPr>
          <w:ilvl w:val="0"/>
          <w:numId w:val="1"/>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Décrire ces impacts et effets en termes de santé écologique, sans recourir à une approche fondée sur l’actualisation ;</w:t>
      </w:r>
    </w:p>
    <w:p w:rsidR="00000000" w:rsidDel="00000000" w:rsidP="00000000" w:rsidRDefault="00000000" w:rsidRPr="00000000" w14:paraId="00000050">
      <w:pPr>
        <w:spacing w:line="276" w:lineRule="auto"/>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1">
      <w:pPr>
        <w:numPr>
          <w:ilvl w:val="0"/>
          <w:numId w:val="1"/>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Considérer ces impacts et effets dans le contexte de l’ensemble des impacts cumulatifs anticipés sur la santé écologique des terres, des eaux, de l’air et du climat ;</w:t>
      </w:r>
    </w:p>
    <w:p w:rsidR="00000000" w:rsidDel="00000000" w:rsidP="00000000" w:rsidRDefault="00000000" w:rsidRPr="00000000" w14:paraId="00000052">
      <w:pPr>
        <w:spacing w:line="276"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numPr>
          <w:ilvl w:val="0"/>
          <w:numId w:val="1"/>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Identifier les violations potentielles des obligations légales envers les générations futures que pourrait entraîner la loi, la politique ou l’action révisable proposée ; </w:t>
      </w:r>
    </w:p>
    <w:p w:rsidR="00000000" w:rsidDel="00000000" w:rsidP="00000000" w:rsidRDefault="00000000" w:rsidRPr="00000000" w14:paraId="00000054">
      <w:pPr>
        <w:spacing w:line="276"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numPr>
          <w:ilvl w:val="0"/>
          <w:numId w:val="1"/>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Recommander des alternatives à la loi, la politique ou l’action révisable proposée, y compris des modifications permettant d’en réduire ou d’en éliminer les effets potentiellement négatifs sur les générations futures.</w:t>
      </w:r>
    </w:p>
    <w:p w:rsidR="00000000" w:rsidDel="00000000" w:rsidP="00000000" w:rsidRDefault="00000000" w:rsidRPr="00000000" w14:paraId="0000005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Représentant peut demander la tenue d’une audience publique spécifiquement consacrée au rapport. Le Représentant peut ensuite réviser le rapport en fonction des échanges issus de cette audience.</w:t>
      </w:r>
    </w:p>
    <w:p w:rsidR="00000000" w:rsidDel="00000000" w:rsidP="00000000" w:rsidRDefault="00000000" w:rsidRPr="00000000" w14:paraId="00000059">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Représentant doit également participer à des réunions, audiences et autres forums avec les organismes gouvernementaux pour discuter de la loi, de la politique ou de l’action révisable proposée.</w:t>
      </w:r>
    </w:p>
    <w:p w:rsidR="00000000" w:rsidDel="00000000" w:rsidP="00000000" w:rsidRDefault="00000000" w:rsidRPr="00000000" w14:paraId="0000005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Les devoirs de tous les parties après l’évaluation du Représentant </w:t>
      </w:r>
    </w:p>
    <w:p w:rsidR="00000000" w:rsidDel="00000000" w:rsidP="00000000" w:rsidRDefault="00000000" w:rsidRPr="00000000" w14:paraId="0000005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L’organisme gouvernemental doit prendre en compte le Rapport du Représentant sur les Effets pour les Générations Futures lors de l’évaluation de la loi, de la politique ou de l’action révisable proposée.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L’organisme gouvernemental ne peut approuver aucune loi, politique ou action révisable qui violerait les intérêts juridiques établis des générations futures.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Si l’organisme gouvernemental décide d’approuver la loi, la politique ou l’action révisable, telle quelle ou modifiée, il doit rédiger une </w:t>
      </w:r>
      <w:r w:rsidDel="00000000" w:rsidR="00000000" w:rsidRPr="00000000">
        <w:rPr>
          <w:rFonts w:ascii="Times New Roman" w:cs="Times New Roman" w:eastAsia="Times New Roman" w:hAnsi="Times New Roman"/>
          <w:rtl w:val="0"/>
        </w:rPr>
        <w:t xml:space="preserve">Réponse écrite au Rapport du Représentant sur les Effets pour les Générations Futures. </w:t>
      </w:r>
      <w:r w:rsidDel="00000000" w:rsidR="00000000" w:rsidRPr="00000000">
        <w:rPr>
          <w:rFonts w:ascii="Times New Roman" w:cs="Times New Roman" w:eastAsia="Times New Roman" w:hAnsi="Times New Roman"/>
          <w:rtl w:val="0"/>
        </w:rPr>
        <w:t xml:space="preserve">Cette Réponse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 doit démontrer que toute loi, politique ou action révisable approuvée respecte l’ensemble des obligations légales envers les générations futures ; et </w:t>
      </w:r>
      <w:r w:rsidDel="00000000" w:rsidR="00000000" w:rsidRPr="00000000">
        <w:rPr>
          <w:rtl w:val="0"/>
        </w:rPr>
      </w:r>
    </w:p>
    <w:p w:rsidR="00000000" w:rsidDel="00000000" w:rsidP="00000000" w:rsidRDefault="00000000" w:rsidRPr="00000000" w14:paraId="0000006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si la loi, politique ou action approuvée est susceptible d’avoir des effets négatifs sur les intérêts des générations futures, doit démontrer que ces effets sont autorisés par la loi et exposer les raisons pour lesquelles l’organisme gouvernemental accepte que de tels effets aient lieu. </w:t>
      </w:r>
    </w:p>
    <w:p w:rsidR="00000000" w:rsidDel="00000000" w:rsidP="00000000" w:rsidRDefault="00000000" w:rsidRPr="00000000" w14:paraId="0000006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Le Représentant doit disposer d’un délai raisonnable pour préparer une réponse à la Réponse de l’organisme gouvernemental.</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Optionnel</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Le Représentant a qualité pour intenter une action en justice contre l’organisme gouvernemental en cas de manquement à l’un de ses devoirs énoncés dans le présent document, relatifs à la protection de l’environnement pour les générations futures.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rtl w:val="0"/>
        </w:rPr>
        <w:t xml:space="preserve">[Optionnel] Le Représentant a qualité pour intenter une action en justice contre des acteurs privés pour violation des intérêts juridiques des générations futures en matière de protection de l’environnement.</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rtl w:val="0"/>
        </w:rPr>
        <w:t xml:space="preserve">[Optionnel] Le Représentant peut également demander l’autorisation d’intervenir dans des litiges en cours.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 Les Devoirs de Toutes les Parties lorsque le Représentant agit en tant que Médiateur</w:t>
      </w:r>
    </w:p>
    <w:p w:rsidR="00000000" w:rsidDel="00000000" w:rsidP="00000000" w:rsidRDefault="00000000" w:rsidRPr="00000000" w14:paraId="0000007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Représentant peut, dans certains cas, agir en tant que médiateur entre l’organisme gouvernemental, d’autres parties, y compris privées, et/ou un représentant des générations futures, tel qu’un tuteur. </w:t>
      </w:r>
    </w:p>
    <w:p w:rsidR="00000000" w:rsidDel="00000000" w:rsidP="00000000" w:rsidRDefault="00000000" w:rsidRPr="00000000" w14:paraId="0000007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mandataire des générations futures peut demander au Représentant d’examiner une action susceptible d’avoir un impact sur les générations futures.</w:t>
      </w:r>
    </w:p>
    <w:p w:rsidR="00000000" w:rsidDel="00000000" w:rsidP="00000000" w:rsidRDefault="00000000" w:rsidRPr="00000000" w14:paraId="0000007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Lorsqu’il reçoit une demande fondée, le Représentant doit enquêter sur l’action concernée et formuler des recommandations à l’organisme gouvernemental ou aux autres parties sur les moyens de réduire les préjudices pour les générations futures. </w:t>
      </w:r>
    </w:p>
    <w:p w:rsidR="00000000" w:rsidDel="00000000" w:rsidP="00000000" w:rsidRDefault="00000000" w:rsidRPr="00000000" w14:paraId="0000007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L’organisme gouvernemental ou les autres parties doivent examiner les recommandations du Représentant et réévaluer leur action. Ils peuvent suivre les recommandations du Représentant. S’ils choisissent de ne pas les suivre, les devoirs et droits de l’organisme gouvernemental et du Représentant sont alors ceux décrits dans la section C (points 2 à 6).</w:t>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Structure proposée pour un Tuteur des Générations Futures</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La description suivante présente comment pourrait être structurée la fonction de Tuteur des Générations Futures. Ce document vise à identifier uniquement les exigences essentielles liées à ce poste. Une telle fonction pourrait être instaurée pour examiner des actions spécifiques d’un organisme gouvernemental ou, comme indiqué entre crochets ci-dessous, d’un conseil tribal ou d’un acteur privé.</w:t>
      </w:r>
    </w:p>
    <w:p w:rsidR="00000000" w:rsidDel="00000000" w:rsidP="00000000" w:rsidRDefault="00000000" w:rsidRPr="00000000" w14:paraId="00000082">
      <w:pPr>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Consultation avec le Tuteur des Générations Futures et Missions de Représentation par un Organisme Gouvernemental [ou Conseil Tribal ou Acteur Privé]</w:t>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Lorsqu’un organisme gouvernemental [ou un conseil tribal ou un acteur privé] sollicite l’assistance d’un Tuteur des Générations Futures pour évaluer une action proposée susceptible d’avoir un impact sur l’environnement, ou lorsqu’un tribunal nomme un Tuteur pour représenter les générations futures dans le cadre d’un litige ou de négociations, les responsabilités et obligations de l’organisme gouvernemental [ou du conseil tribal ou de l’acteur privé] et du Tuteur sont les suivantes :</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 Définitions </w:t>
      </w: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 Tuteur des Générations Futures » (« Tuteur ») est une personne représentant les intérêts supérieurs des générations futures, ayant pour mission de veiller à ce qu’une action proposée garantisse des terres, des eaux et un air sains sur le plan écologique au bénéfice des générations futures.</w:t>
      </w:r>
    </w:p>
    <w:p w:rsidR="00000000" w:rsidDel="00000000" w:rsidP="00000000" w:rsidRDefault="00000000" w:rsidRPr="00000000" w14:paraId="0000008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II. Déroulement de la consultation </w:t>
      </w: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 Les Devoirs de l’Organisme Gouvernemental [ou du Conseil Tribal ou de l’Acteur Privé] lors de l’Initiation de la Consultation</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L’organisme gouvernemental [ou le conseil tribal ou l’acteur privé] doit faire appel à l’assistance du Tuteur dès le début du processus d’évaluation d’une action proposée, ce processus pouvant inclure des négociations entre plusieurs parties.</w:t>
      </w:r>
    </w:p>
    <w:p w:rsidR="00000000" w:rsidDel="00000000" w:rsidP="00000000" w:rsidRDefault="00000000" w:rsidRPr="00000000" w14:paraId="00000092">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L’organisme gouvernemental [ou le conseil tribal ou l’acteur privé] doit identifier et décrire de manière complète l’action proposée, et fournir au Tuteur l’accès aux informations nécessaires ou utiles à son évaluation.</w:t>
      </w:r>
    </w:p>
    <w:p w:rsidR="00000000" w:rsidDel="00000000" w:rsidP="00000000" w:rsidRDefault="00000000" w:rsidRPr="00000000" w14:paraId="00000094">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L’organisme gouvernemental [ou le conseil tribal ou l’acteur privé] doit donner au Tuteur l’accès aux réunions, audiences ou autres forums pertinents, afin que le Tuteur puisse recueillir des informations et défendre les intérêts des générations futures, aussi bien à l’oral qu’à l’écrit.</w:t>
      </w:r>
    </w:p>
    <w:p w:rsidR="00000000" w:rsidDel="00000000" w:rsidP="00000000" w:rsidRDefault="00000000" w:rsidRPr="00000000" w14:paraId="00000096">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obligations de cette section sont levées en cas de contentieux.</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 Les Devoirs du Tuteur dans la Défense des Intérêts Supérieurs des Générations Futures </w:t>
      </w: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Le Tuteur doit rechercher toute information pertinente afin de déterminer les intérêts supérieurs de la personne représentée, en l’occurrence, les générations futures.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Le Tuteur doit évaluer toutes les alternatives possibles et déterminer celle qui répond le mieux aux intérêts des générations futures.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rtl w:val="0"/>
        </w:rPr>
        <w:t xml:space="preserve">Le Tuteur doit défendre activement les intérêts supérieurs des générations futures par tous les moyens qu’il juge appropriés, notamment en présentant des arguments écrits ou oraux, ou en engageant des actions en justice.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 Les Devoirs de Toutes les Parties en Réponse à la Plaidoyer du Tuteur</w:t>
      </w: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L’organisme gouvernemental [ou le conseil tribal ou l’acteur privé] doit prendre en compte les arguments présentés par le Tuteur lors de l’évaluation de l’action proposée.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rtl w:val="0"/>
        </w:rPr>
        <w:t xml:space="preserve">L’organisme gouvernemental [ou le conseil tribal ou l’acteur privé] ne peut entreprendre ni approuver une action qui violerait les intérêts juridiques établis des générations futures.</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rtl w:val="0"/>
        </w:rPr>
        <w:t xml:space="preserve">Si l’organisme gouvernemental [ou le conseil tribal ou l’acteur privé] décide d’approuver l’action, qu’elle soit proposée telle quelle ou modifiée, il doit rédiger une Réponse écrite. Cette réponse :</w:t>
      </w: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doit démontrer que l’action approuvée respecte toutes les obligations légales envers les générations futures ; et</w:t>
      </w:r>
    </w:p>
    <w:p w:rsidR="00000000" w:rsidDel="00000000" w:rsidP="00000000" w:rsidRDefault="00000000" w:rsidRPr="00000000" w14:paraId="000000A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si l’action approuvée est susceptible d’avoir des effets négatifs sur les intérêts des générations futures, doit démontrer que ces effets sont autorisés par la loi, et exposer les raisons pour lesquelles l’organisme [ou le conseil tribal ou l’acteur privé] accepte que de tels effets se produisent.</w:t>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Le Tuteur doit di</w:t>
      </w:r>
      <w:r w:rsidDel="00000000" w:rsidR="00000000" w:rsidRPr="00000000">
        <w:rPr>
          <w:rFonts w:ascii="Times New Roman" w:cs="Times New Roman" w:eastAsia="Times New Roman" w:hAnsi="Times New Roman"/>
          <w:rtl w:val="0"/>
        </w:rPr>
        <w:t xml:space="preserve">sposer d’un délai raisonnable pour préparer u</w:t>
      </w:r>
      <w:r w:rsidDel="00000000" w:rsidR="00000000" w:rsidRPr="00000000">
        <w:rPr>
          <w:rFonts w:ascii="Times New Roman" w:cs="Times New Roman" w:eastAsia="Times New Roman" w:hAnsi="Times New Roman"/>
          <w:rtl w:val="0"/>
        </w:rPr>
        <w:t xml:space="preserve">ne réponse à l’organisme gouvernemental [ou au conseil tribal ou à l’acteur privé].</w:t>
      </w: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 Le Rôle du Tuteur dans les Procédures Judiciaires</w:t>
      </w: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Le Tuteur a qualité pour agir en justice au nom des générations futures si :</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l’organisme gouvernemental [ou le conseil tribal ou l’acteur privé] n’a pas respecté la procédure requise pour examiner et statuer sur une action proposée ; ou</w:t>
      </w:r>
    </w:p>
    <w:p w:rsidR="00000000" w:rsidDel="00000000" w:rsidP="00000000" w:rsidRDefault="00000000" w:rsidRPr="00000000" w14:paraId="000000B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l’organisme gouvernemental [ou le conseil tribal ou l’acteur privé] a violé ses obligations légales envers les générations futures.</w:t>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rtl w:val="0"/>
        </w:rPr>
        <w:t xml:space="preserve">Dans le cadre de procédures judiciaires en cours concernant les générations futures, le Tuteur peut demander l’autorisation d’intervenir, ou le tribunal peut nommer un Tuteur pour représenter les générations futures.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rtl w:val="0"/>
        </w:rPr>
        <w:t xml:space="preserve">Quelle que soit l’autorité ayant nommé le Tuteur, ce dernier doit représenter les intérêts supérieurs des générations futures dans toute procédure judiciaire.</w:t>
      </w: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tl w:val="0"/>
        </w:rPr>
      </w:r>
    </w:p>
    <w:sectPr>
      <w:footerReference r:id="rId15" w:type="default"/>
      <w:footerReference r:id="rId16"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SweetSansPro-LightItalic"/>
  <w:font w:name="Sweet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C48DE"/>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noteText">
    <w:name w:val="footnote text"/>
    <w:basedOn w:val="Normal"/>
    <w:link w:val="FootnoteTextChar"/>
    <w:uiPriority w:val="99"/>
    <w:semiHidden w:val="1"/>
    <w:unhideWhenUsed w:val="1"/>
    <w:rsid w:val="007C48DE"/>
    <w:rPr>
      <w:sz w:val="20"/>
      <w:szCs w:val="20"/>
    </w:rPr>
  </w:style>
  <w:style w:type="character" w:styleId="FootnoteTextChar" w:customStyle="1">
    <w:name w:val="Footnote Text Char"/>
    <w:basedOn w:val="DefaultParagraphFont"/>
    <w:link w:val="FootnoteText"/>
    <w:uiPriority w:val="99"/>
    <w:semiHidden w:val="1"/>
    <w:rsid w:val="007C48DE"/>
    <w:rPr>
      <w:sz w:val="20"/>
      <w:szCs w:val="20"/>
    </w:rPr>
  </w:style>
  <w:style w:type="character" w:styleId="FootnoteReference">
    <w:name w:val="footnote reference"/>
    <w:basedOn w:val="DefaultParagraphFont"/>
    <w:uiPriority w:val="99"/>
    <w:semiHidden w:val="1"/>
    <w:unhideWhenUsed w:val="1"/>
    <w:rsid w:val="007C48DE"/>
    <w:rPr>
      <w:vertAlign w:val="superscript"/>
    </w:rPr>
  </w:style>
  <w:style w:type="paragraph" w:styleId="NormalWeb">
    <w:name w:val="Normal (Web)"/>
    <w:basedOn w:val="Normal"/>
    <w:uiPriority w:val="99"/>
    <w:unhideWhenUsed w:val="1"/>
    <w:rsid w:val="007C48DE"/>
    <w:pPr>
      <w:spacing w:after="100" w:afterAutospacing="1" w:before="100" w:beforeAutospacing="1"/>
    </w:pPr>
    <w:rPr>
      <w:rFonts w:ascii="Times New Roman" w:cs="Times New Roman" w:eastAsia="Times New Roman" w:hAnsi="Times New Roman"/>
    </w:rPr>
  </w:style>
  <w:style w:type="paragraph" w:styleId="ListParagraph">
    <w:name w:val="List Paragraph"/>
    <w:basedOn w:val="Normal"/>
    <w:uiPriority w:val="34"/>
    <w:qFormat w:val="1"/>
    <w:rsid w:val="007C48DE"/>
    <w:pPr>
      <w:ind w:left="720"/>
      <w:contextualSpacing w:val="1"/>
    </w:pPr>
  </w:style>
  <w:style w:type="character" w:styleId="Hyperlink">
    <w:name w:val="Hyperlink"/>
    <w:basedOn w:val="DefaultParagraphFont"/>
    <w:uiPriority w:val="99"/>
    <w:unhideWhenUsed w:val="1"/>
    <w:rsid w:val="00EB4305"/>
    <w:rPr>
      <w:color w:val="0563c1" w:themeColor="hyperlink"/>
      <w:u w:val="single"/>
    </w:rPr>
  </w:style>
  <w:style w:type="character" w:styleId="UnresolvedMention">
    <w:name w:val="Unresolved Mention"/>
    <w:basedOn w:val="DefaultParagraphFont"/>
    <w:uiPriority w:val="99"/>
    <w:semiHidden w:val="1"/>
    <w:unhideWhenUsed w:val="1"/>
    <w:rsid w:val="00EB4305"/>
    <w:rPr>
      <w:color w:val="605e5c"/>
      <w:shd w:color="auto" w:fill="e1dfdd" w:val="clear"/>
    </w:rPr>
  </w:style>
  <w:style w:type="paragraph" w:styleId="Footer">
    <w:name w:val="footer"/>
    <w:basedOn w:val="Normal"/>
    <w:link w:val="FooterChar"/>
    <w:uiPriority w:val="99"/>
    <w:unhideWhenUsed w:val="1"/>
    <w:rsid w:val="00EB4305"/>
    <w:pPr>
      <w:tabs>
        <w:tab w:val="center" w:pos="4680"/>
        <w:tab w:val="right" w:pos="9360"/>
      </w:tabs>
    </w:pPr>
  </w:style>
  <w:style w:type="character" w:styleId="FooterChar" w:customStyle="1">
    <w:name w:val="Footer Char"/>
    <w:basedOn w:val="DefaultParagraphFont"/>
    <w:link w:val="Footer"/>
    <w:uiPriority w:val="99"/>
    <w:rsid w:val="00EB4305"/>
  </w:style>
  <w:style w:type="character" w:styleId="PageNumber">
    <w:name w:val="page number"/>
    <w:basedOn w:val="DefaultParagraphFont"/>
    <w:uiPriority w:val="99"/>
    <w:semiHidden w:val="1"/>
    <w:unhideWhenUsed w:val="1"/>
    <w:rsid w:val="00EB430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sehn.org" TargetMode="External"/><Relationship Id="rId10" Type="http://schemas.openxmlformats.org/officeDocument/2006/relationships/hyperlink" Target="https://hrp.law.harvard.edu/" TargetMode="External"/><Relationship Id="rId13" Type="http://schemas.openxmlformats.org/officeDocument/2006/relationships/hyperlink" Target="http://www.law.harvard.edu/programs/hrp" TargetMode="External"/><Relationship Id="rId12" Type="http://schemas.openxmlformats.org/officeDocument/2006/relationships/hyperlink" Target="https://www.sehn.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1.xml"/><Relationship Id="rId14" Type="http://schemas.openxmlformats.org/officeDocument/2006/relationships/hyperlink" Target="http://hrp.law.harvard.edu/wp-content/uploads/2013/02/Models_Future_Generations.pdf" TargetMode="Externa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iy8jKtloY52mam7QnznZ8gu+IQ==">CgMxLjAyDmgudmRvc3IxajE1eW5xOAByITFjdXc4XzVnWWRSRHVuR05qRmNMWmNVS1hNbHpMMWU0dw==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2023-03-31T21:39:00Z</dcterms:created>
  <dc:creator>Grant Wilson</dc:creator>
</cp:coreProperties>
</file>