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2">
      <w:pPr>
        <w:spacing w:line="240" w:lineRule="auto"/>
        <w:jc w:val="left"/>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3">
      <w:pPr>
        <w:spacing w:line="240" w:lineRule="auto"/>
        <w:jc w:val="left"/>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Pr>
        <w:drawing>
          <wp:inline distB="0" distT="0" distL="0" distR="0">
            <wp:extent cx="1371600" cy="1371600"/>
            <wp:effectExtent b="0" l="0" r="0" t="0"/>
            <wp:docPr descr="Logo&#10;&#10;Description automatically generated with medium confidence" id="2" name="image2.png"/>
            <a:graphic>
              <a:graphicData uri="http://schemas.openxmlformats.org/drawingml/2006/picture">
                <pic:pic>
                  <pic:nvPicPr>
                    <pic:cNvPr descr="Logo&#10;&#10;Description automatically generated with medium confidence" id="0" name="image2.png"/>
                    <pic:cNvPicPr preferRelativeResize="0"/>
                  </pic:nvPicPr>
                  <pic:blipFill>
                    <a:blip r:embed="rId6"/>
                    <a:srcRect b="0" l="0" r="0" t="0"/>
                    <a:stretch>
                      <a:fillRect/>
                    </a:stretch>
                  </pic:blipFill>
                  <pic:spPr>
                    <a:xfrm>
                      <a:off x="0" y="0"/>
                      <a:ext cx="13716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tl w:val="0"/>
        </w:rPr>
        <w:t xml:space="preserve">earthlawportal.org</w:t>
      </w:r>
    </w:p>
    <w:p w:rsidR="00000000" w:rsidDel="00000000" w:rsidP="00000000" w:rsidRDefault="00000000" w:rsidRPr="00000000" w14:paraId="00000006">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7">
      <w:pPr>
        <w:spacing w:line="240" w:lineRule="auto"/>
        <w:jc w:val="center"/>
        <w:rPr>
          <w:rFonts w:ascii="Sweet Sans Pro" w:cs="Sweet Sans Pro" w:eastAsia="Sweet Sans Pro" w:hAnsi="Sweet Sans Pro"/>
          <w:sz w:val="54"/>
          <w:szCs w:val="54"/>
        </w:rPr>
      </w:pPr>
      <w:r w:rsidDel="00000000" w:rsidR="00000000" w:rsidRPr="00000000">
        <w:rPr>
          <w:rtl w:val="0"/>
        </w:rPr>
      </w:r>
    </w:p>
    <w:p w:rsidR="00000000" w:rsidDel="00000000" w:rsidP="00000000" w:rsidRDefault="00000000" w:rsidRPr="00000000" w14:paraId="00000008">
      <w:pPr>
        <w:spacing w:line="240" w:lineRule="auto"/>
        <w:jc w:val="center"/>
        <w:rPr>
          <w:rFonts w:ascii="Sweet Sans Pro" w:cs="Sweet Sans Pro" w:eastAsia="Sweet Sans Pro" w:hAnsi="Sweet Sans Pro"/>
          <w:sz w:val="54"/>
          <w:szCs w:val="54"/>
        </w:rPr>
      </w:pPr>
      <w:r w:rsidDel="00000000" w:rsidR="00000000" w:rsidRPr="00000000">
        <w:rPr>
          <w:rFonts w:ascii="Sweet Sans Pro" w:cs="Sweet Sans Pro" w:eastAsia="Sweet Sans Pro" w:hAnsi="Sweet Sans Pro"/>
          <w:sz w:val="54"/>
          <w:szCs w:val="54"/>
          <w:rtl w:val="0"/>
        </w:rPr>
        <w:t xml:space="preserve">Tutelle légale pour un écosystème / une espèce particulier(ère)</w:t>
      </w:r>
    </w:p>
    <w:p w:rsidR="00000000" w:rsidDel="00000000" w:rsidP="00000000" w:rsidRDefault="00000000" w:rsidRPr="00000000" w14:paraId="00000009">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B">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D">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E">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0F">
      <w:pPr>
        <w:spacing w:line="240" w:lineRule="auto"/>
        <w:jc w:val="center"/>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0">
      <w:pPr>
        <w:spacing w:line="240" w:lineRule="auto"/>
        <w:jc w:val="left"/>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1">
      <w:pPr>
        <w:spacing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2">
      <w:pPr>
        <w:spacing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3">
      <w:pPr>
        <w:spacing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4">
      <w:pPr>
        <w:tabs>
          <w:tab w:val="left" w:leader="none" w:pos="2700"/>
        </w:tabs>
        <w:spacing w:after="80" w:line="240" w:lineRule="auto"/>
        <w:rPr>
          <w:rFonts w:ascii="Sweet Sans Pro" w:cs="Sweet Sans Pro" w:eastAsia="Sweet Sans Pro" w:hAnsi="Sweet Sans Pro"/>
          <w:b w:val="1"/>
          <w:bCs w:val="1"/>
          <w:sz w:val="30"/>
          <w:szCs w:val="30"/>
        </w:rPr>
      </w:pPr>
      <w:r w:rsidDel="00000000" w:rsidR="00000000" w:rsidRPr="00000000">
        <w:rPr>
          <w:rFonts w:ascii="Sweet Sans Pro" w:cs="Sweet Sans Pro" w:eastAsia="Sweet Sans Pro" w:hAnsi="Sweet Sans Pro"/>
          <w:sz w:val="28"/>
          <w:szCs w:val="28"/>
          <w:rtl w:val="0"/>
        </w:rPr>
        <w:tab/>
      </w:r>
      <w:r w:rsidDel="00000000" w:rsidR="00000000" w:rsidRPr="00000000">
        <w:rPr>
          <w:rFonts w:ascii="Sweet Sans Pro" w:cs="Sweet Sans Pro" w:eastAsia="Sweet Sans Pro" w:hAnsi="Sweet Sans Pro"/>
          <w:b w:val="1"/>
          <w:bCs w:val="1"/>
          <w:sz w:val="30"/>
          <w:szCs w:val="30"/>
          <w:rtl w:val="0"/>
        </w:rPr>
        <w:t xml:space="preserve">Provided by:</w:t>
      </w:r>
    </w:p>
    <w:p w:rsidR="00000000" w:rsidDel="00000000" w:rsidP="00000000" w:rsidRDefault="00000000" w:rsidRPr="00000000" w14:paraId="00000015">
      <w:pPr>
        <w:spacing w:line="240" w:lineRule="auto"/>
        <w:jc w:val="center"/>
        <w:rPr>
          <w:rFonts w:ascii="Sweet Sans Pro" w:cs="Sweet Sans Pro" w:eastAsia="Sweet Sans Pro" w:hAnsi="Sweet Sans Pro"/>
          <w:sz w:val="24"/>
          <w:szCs w:val="24"/>
        </w:rPr>
      </w:pPr>
      <w:r w:rsidDel="00000000" w:rsidR="00000000" w:rsidRPr="00000000">
        <w:rPr>
          <w:rFonts w:ascii="Calibri" w:cs="Calibri" w:eastAsia="Calibri" w:hAnsi="Calibri"/>
          <w:sz w:val="24"/>
          <w:szCs w:val="24"/>
        </w:rPr>
        <w:drawing>
          <wp:inline distB="0" distT="0" distL="0" distR="0">
            <wp:extent cx="2743200" cy="88890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43200" cy="88890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tabs>
          <w:tab w:val="left" w:leader="none" w:pos="2430"/>
          <w:tab w:val="left" w:leader="none" w:pos="2790"/>
        </w:tabs>
        <w:spacing w:line="240" w:lineRule="auto"/>
        <w:jc w:val="center"/>
        <w:rPr>
          <w:rFonts w:ascii="Sweet Sans Pro" w:cs="Sweet Sans Pro" w:eastAsia="Sweet Sans Pro" w:hAnsi="Sweet Sans Pro"/>
          <w:sz w:val="24"/>
          <w:szCs w:val="24"/>
        </w:rPr>
      </w:pPr>
      <w:r w:rsidDel="00000000" w:rsidR="00000000" w:rsidRPr="00000000">
        <w:rPr>
          <w:rFonts w:ascii="Sweet Sans Pro" w:cs="Sweet Sans Pro" w:eastAsia="Sweet Sans Pro" w:hAnsi="Sweet Sans Pro"/>
          <w:sz w:val="24"/>
          <w:szCs w:val="24"/>
          <w:rtl w:val="0"/>
        </w:rPr>
        <w:t xml:space="preserve">earthlawcenter.org</w:t>
        <w:tab/>
      </w:r>
      <w:r w:rsidDel="00000000" w:rsidR="00000000" w:rsidRPr="00000000">
        <w:rPr>
          <w:rFonts w:ascii="Sweet Sans Pro" w:cs="Sweet Sans Pro" w:eastAsia="Sweet Sans Pro" w:hAnsi="Sweet Sans Pro"/>
          <w:color w:val="231f20"/>
          <w:sz w:val="24"/>
          <w:szCs w:val="24"/>
          <w:rtl w:val="0"/>
        </w:rPr>
        <w:t xml:space="preserve">•</w:t>
        <w:tab/>
        <w:t xml:space="preserve">info@earthlaw.org</w:t>
      </w:r>
      <w:r w:rsidDel="00000000" w:rsidR="00000000" w:rsidRPr="00000000">
        <w:rPr>
          <w:rtl w:val="0"/>
        </w:rPr>
      </w:r>
    </w:p>
    <w:p w:rsidR="00000000" w:rsidDel="00000000" w:rsidP="00000000" w:rsidRDefault="00000000" w:rsidRPr="00000000" w14:paraId="00000017">
      <w:pPr>
        <w:tabs>
          <w:tab w:val="left" w:leader="none" w:pos="2160"/>
        </w:tabs>
        <w:spacing w:line="240" w:lineRule="auto"/>
        <w:rPr>
          <w:rFonts w:ascii="Sweet Sans Pro" w:cs="Sweet Sans Pro" w:eastAsia="Sweet Sans Pro" w:hAnsi="Sweet Sans Pro"/>
          <w:sz w:val="24"/>
          <w:szCs w:val="24"/>
        </w:rPr>
      </w:pPr>
      <w:r w:rsidDel="00000000" w:rsidR="00000000" w:rsidRPr="00000000">
        <w:rPr>
          <w:rtl w:val="0"/>
        </w:rPr>
      </w:r>
    </w:p>
    <w:p w:rsidR="00000000" w:rsidDel="00000000" w:rsidP="00000000" w:rsidRDefault="00000000" w:rsidRPr="00000000" w14:paraId="00000018">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9">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Fonts w:ascii="SweetSansPro-LightItalic" w:cs="SweetSansPro-LightItalic" w:eastAsia="SweetSansPro-LightItalic" w:hAnsi="SweetSansPro-LightItalic"/>
          <w:i w:val="1"/>
          <w:iCs w:val="1"/>
          <w:color w:val="231f20"/>
          <w:rtl w:val="0"/>
        </w:rPr>
        <w:t xml:space="preserve">Ce sont des modèles en accès libre, et non des solutions universellement applicables. Nous reconnaissons que les lois et les politiques doivent être adaptées aux contextes culturels et politiques spécifiques. Ces modèles ne constituent pas un avis juridique. Si vous avez besoin d’un accompagnement juridique, veuillez contacter un avocat agréé.</w:t>
      </w:r>
    </w:p>
    <w:p w:rsidR="00000000" w:rsidDel="00000000" w:rsidP="00000000" w:rsidRDefault="00000000" w:rsidRPr="00000000" w14:paraId="0000001A">
      <w:pPr>
        <w:widowControl w:val="0"/>
        <w:spacing w:line="240" w:lineRule="auto"/>
        <w:jc w:val="both"/>
        <w:rPr>
          <w:rFonts w:ascii="SweetSansPro-LightItalic" w:cs="SweetSansPro-LightItalic" w:eastAsia="SweetSansPro-LightItalic" w:hAnsi="SweetSansPro-LightItalic"/>
          <w:i w:val="1"/>
          <w:iCs w:val="1"/>
          <w:color w:val="231f20"/>
        </w:rPr>
      </w:pPr>
      <w:r w:rsidDel="00000000" w:rsidR="00000000" w:rsidRPr="00000000">
        <w:rPr>
          <w:rtl w:val="0"/>
        </w:rPr>
      </w:r>
    </w:p>
    <w:p w:rsidR="00000000" w:rsidDel="00000000" w:rsidP="00000000" w:rsidRDefault="00000000" w:rsidRPr="00000000" w14:paraId="0000001B">
      <w:pPr>
        <w:widowControl w:val="0"/>
        <w:spacing w:line="240" w:lineRule="auto"/>
        <w:ind w:left="119" w:right="117" w:firstLine="0"/>
        <w:jc w:val="right"/>
        <w:rPr>
          <w:rFonts w:ascii="SweetSansPro-LightItalic" w:cs="SweetSansPro-LightItalic" w:eastAsia="SweetSansPro-LightItalic" w:hAnsi="SweetSansPro-LightItalic"/>
          <w:i w:val="1"/>
          <w:iCs w:val="1"/>
          <w:color w:val="231f20"/>
          <w:highlight w:val="yellow"/>
        </w:rPr>
      </w:pPr>
      <w:r w:rsidDel="00000000" w:rsidR="00000000" w:rsidRPr="00000000">
        <w:rPr>
          <w:rFonts w:ascii="SweetSansPro-LightItalic" w:cs="SweetSansPro-LightItalic" w:eastAsia="SweetSansPro-LightItalic" w:hAnsi="SweetSansPro-LightItalic"/>
          <w:i w:val="1"/>
          <w:iCs w:val="1"/>
          <w:color w:val="231f20"/>
          <w:rtl w:val="0"/>
        </w:rPr>
        <w:t xml:space="preserve">Dernière modification Février 2025</w:t>
      </w:r>
      <w:r w:rsidDel="00000000" w:rsidR="00000000" w:rsidRPr="00000000">
        <w:rPr>
          <w:rtl w:val="0"/>
        </w:rPr>
      </w:r>
    </w:p>
    <w:p w:rsidR="00000000" w:rsidDel="00000000" w:rsidP="00000000" w:rsidRDefault="00000000" w:rsidRPr="00000000" w14:paraId="0000001C">
      <w:pPr>
        <w:spacing w:after="240" w:before="240" w:lineRule="auto"/>
        <w:jc w:val="center"/>
        <w:rPr>
          <w:b w:val="1"/>
          <w:bCs w:val="1"/>
          <w:sz w:val="24"/>
          <w:szCs w:val="24"/>
          <w:highlight w:val="white"/>
        </w:rPr>
      </w:pPr>
      <w:r w:rsidDel="00000000" w:rsidR="00000000" w:rsidRPr="00000000">
        <w:rPr>
          <w:b w:val="1"/>
          <w:bCs w:val="1"/>
          <w:sz w:val="24"/>
          <w:szCs w:val="24"/>
          <w:highlight w:val="white"/>
          <w:rtl w:val="0"/>
        </w:rPr>
        <w:t xml:space="preserve">Modèle de tutelle légale pour un écosystème / une espèce particulière</w:t>
      </w:r>
    </w:p>
    <w:p w:rsidR="00000000" w:rsidDel="00000000" w:rsidP="00000000" w:rsidRDefault="00000000" w:rsidRPr="00000000" w14:paraId="0000001D">
      <w:pPr>
        <w:spacing w:after="240" w:before="240" w:lineRule="auto"/>
        <w:rPr>
          <w:i w:val="1"/>
          <w:iCs w:val="1"/>
          <w:color w:val="ff0000"/>
          <w:sz w:val="24"/>
          <w:szCs w:val="24"/>
          <w:highlight w:val="white"/>
        </w:rPr>
      </w:pPr>
      <w:r w:rsidDel="00000000" w:rsidR="00000000" w:rsidRPr="00000000">
        <w:rPr>
          <w:sz w:val="24"/>
          <w:szCs w:val="24"/>
          <w:highlight w:val="white"/>
          <w:rtl w:val="0"/>
        </w:rPr>
        <w:br w:type="textWrapping"/>
      </w:r>
      <w:r w:rsidDel="00000000" w:rsidR="00000000" w:rsidRPr="00000000">
        <w:rPr>
          <w:i w:val="1"/>
          <w:iCs w:val="1"/>
          <w:color w:val="ff0000"/>
          <w:sz w:val="24"/>
          <w:szCs w:val="24"/>
          <w:highlight w:val="white"/>
          <w:rtl w:val="0"/>
        </w:rPr>
        <w:t xml:space="preserve">Les dispositions juridiques existantes sur les droits de la Nature varient quant à la manière dont elles organisent la représentation de ces écosystèmes ou espèces par les humains. Plus précisément, ces dispositifs de tutelle varient quant à qui peut légalement les représenter, si une obligation de représentation existe, et si les tuteurs sont intégrés aux institutions de gouvernance, de sorte que les droits des écosystèmes ou des espèces soient protégés non seulement de manière réactive par les tribunaux, mais aussi de manière proactive par les processus d’élaboration des politiques. Quelques exemples de ces dispositifs sont résumés à la fin du présent document à titre d’inspiration.</w:t>
      </w:r>
    </w:p>
    <w:p w:rsidR="00000000" w:rsidDel="00000000" w:rsidP="00000000" w:rsidRDefault="00000000" w:rsidRPr="00000000" w14:paraId="0000001E">
      <w:pPr>
        <w:spacing w:after="240" w:before="240" w:lineRule="auto"/>
        <w:rPr>
          <w:color w:val="ff0000"/>
          <w:sz w:val="24"/>
          <w:szCs w:val="24"/>
          <w:highlight w:val="white"/>
        </w:rPr>
      </w:pPr>
      <w:r w:rsidDel="00000000" w:rsidR="00000000" w:rsidRPr="00000000">
        <w:rPr>
          <w:color w:val="ff0000"/>
          <w:sz w:val="24"/>
          <w:szCs w:val="24"/>
          <w:highlight w:val="white"/>
          <w:rtl w:val="0"/>
        </w:rPr>
        <w:t xml:space="preserve">Ce modèle fonctionne comme un exemple de base. Il est conçu spécifiquement pour les situations où des écosystèmes particuliers (et non la Nature dans son ensemble au sein de la juridiction) sont reconnus comme des personnes juridiques. Ce modèle peut également être utilisé pour établir une tutelle légale pour des espèces animales particulières.</w:t>
      </w:r>
    </w:p>
    <w:p w:rsidR="00000000" w:rsidDel="00000000" w:rsidP="00000000" w:rsidRDefault="00000000" w:rsidRPr="00000000" w14:paraId="0000001F">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4"/>
          <w:szCs w:val="24"/>
          <w:highlight w:val="white"/>
        </w:rPr>
      </w:pPr>
      <w:bookmarkStart w:colFirst="0" w:colLast="0" w:name="_o58ihieqvrv6" w:id="0"/>
      <w:bookmarkEnd w:id="0"/>
      <w:r w:rsidDel="00000000" w:rsidR="00000000" w:rsidRPr="00000000">
        <w:rPr>
          <w:b w:val="1"/>
          <w:bCs w:val="1"/>
          <w:color w:val="000000"/>
          <w:sz w:val="24"/>
          <w:szCs w:val="24"/>
          <w:highlight w:val="white"/>
          <w:rtl w:val="0"/>
        </w:rPr>
        <w:t xml:space="preserve">[Type de législation]</w:t>
      </w:r>
    </w:p>
    <w:p w:rsidR="00000000" w:rsidDel="00000000" w:rsidP="00000000" w:rsidRDefault="00000000" w:rsidRPr="00000000" w14:paraId="00000021">
      <w:pPr>
        <w:spacing w:after="240" w:before="240" w:lineRule="auto"/>
        <w:rPr>
          <w:b w:val="1"/>
          <w:bCs w:val="1"/>
          <w:sz w:val="24"/>
          <w:szCs w:val="24"/>
          <w:highlight w:val="white"/>
        </w:rPr>
      </w:pPr>
      <w:r w:rsidDel="00000000" w:rsidR="00000000" w:rsidRPr="00000000">
        <w:rPr>
          <w:b w:val="1"/>
          <w:bCs w:val="1"/>
          <w:sz w:val="24"/>
          <w:szCs w:val="24"/>
          <w:highlight w:val="white"/>
          <w:rtl w:val="0"/>
        </w:rPr>
        <w:t xml:space="preserve">[Titre]</w:t>
      </w:r>
    </w:p>
    <w:p w:rsidR="00000000" w:rsidDel="00000000" w:rsidP="00000000" w:rsidRDefault="00000000" w:rsidRPr="00000000" w14:paraId="00000022">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color w:val="000000"/>
          <w:sz w:val="24"/>
          <w:szCs w:val="24"/>
          <w:highlight w:val="white"/>
          <w:u w:val="single"/>
        </w:rPr>
      </w:pPr>
      <w:bookmarkStart w:colFirst="0" w:colLast="0" w:name="_i4mbzkf4wy41" w:id="1"/>
      <w:bookmarkEnd w:id="1"/>
      <w:r w:rsidDel="00000000" w:rsidR="00000000" w:rsidRPr="00000000">
        <w:rPr>
          <w:color w:val="000000"/>
          <w:sz w:val="24"/>
          <w:szCs w:val="24"/>
          <w:highlight w:val="white"/>
          <w:u w:val="single"/>
          <w:rtl w:val="0"/>
        </w:rPr>
        <w:t xml:space="preserve">Article 1. Création, objectif et pouvoirs</w:t>
      </w:r>
    </w:p>
    <w:p w:rsidR="00000000" w:rsidDel="00000000" w:rsidP="00000000" w:rsidRDefault="00000000" w:rsidRPr="00000000" w14:paraId="00000024">
      <w:pPr>
        <w:numPr>
          <w:ilvl w:val="0"/>
          <w:numId w:val="2"/>
        </w:numP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Le</w:t>
      </w:r>
      <w:r w:rsidDel="00000000" w:rsidR="00000000" w:rsidRPr="00000000">
        <w:rPr>
          <w:b w:val="1"/>
          <w:bCs w:val="1"/>
          <w:sz w:val="24"/>
          <w:szCs w:val="24"/>
          <w:highlight w:val="white"/>
          <w:rtl w:val="0"/>
        </w:rPr>
        <w:t xml:space="preserve"> [Nom de l’organe de tutelle] </w:t>
      </w:r>
      <w:r w:rsidDel="00000000" w:rsidR="00000000" w:rsidRPr="00000000">
        <w:rPr>
          <w:sz w:val="24"/>
          <w:szCs w:val="24"/>
          <w:highlight w:val="white"/>
          <w:rtl w:val="0"/>
        </w:rPr>
        <w:t xml:space="preserve">(« Organe de tutelle ») est institué en tant que représentant légal et gardien de [Nom de l’écosystème ou de l’espèce], afin de garantir le respect de ses droits inhérents, de son bien-être et de son intégrité écologique dans tous les processus juridiques, politiques et de gouvernance concernés.</w:t>
      </w:r>
    </w:p>
    <w:p w:rsidR="00000000" w:rsidDel="00000000" w:rsidP="00000000" w:rsidRDefault="00000000" w:rsidRPr="00000000" w14:paraId="00000025">
      <w:pPr>
        <w:numPr>
          <w:ilvl w:val="0"/>
          <w:numId w:val="2"/>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L’organe de tutelle agit en tant que voix juridique officielle de [Nom de l’écosystème ou de l’espèce], en veillant à ce que ses droits soient protégés non seulement de manière réactive devant les tribunaux, mais aussi de façon proactive dans les structures de prise de décision.</w:t>
      </w:r>
    </w:p>
    <w:p w:rsidR="00000000" w:rsidDel="00000000" w:rsidP="00000000" w:rsidRDefault="00000000" w:rsidRPr="00000000" w14:paraId="00000026">
      <w:pPr>
        <w:numPr>
          <w:ilvl w:val="0"/>
          <w:numId w:val="2"/>
        </w:numP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L’organe de tutelle bénéficie de la pleine capacité juridique pour engager, participer à ou intervenir dans toute procédure judiciaire au nom de</w:t>
      </w:r>
      <w:r w:rsidDel="00000000" w:rsidR="00000000" w:rsidRPr="00000000">
        <w:rPr>
          <w:b w:val="1"/>
          <w:bCs w:val="1"/>
          <w:sz w:val="24"/>
          <w:szCs w:val="24"/>
          <w:highlight w:val="white"/>
          <w:rtl w:val="0"/>
        </w:rPr>
        <w:t xml:space="preserve"> [Nom de l’écosystème ou de l’espèce]</w:t>
      </w:r>
      <w:r w:rsidDel="00000000" w:rsidR="00000000" w:rsidRPr="00000000">
        <w:rPr>
          <w:sz w:val="24"/>
          <w:szCs w:val="24"/>
          <w:highlight w:val="white"/>
          <w:rtl w:val="0"/>
        </w:rPr>
        <w:t xml:space="preserve">, afin que sa voix soit entendue dans les espaces judiciaires et réglementaires.</w:t>
      </w:r>
    </w:p>
    <w:p w:rsidR="00000000" w:rsidDel="00000000" w:rsidP="00000000" w:rsidRDefault="00000000" w:rsidRPr="00000000" w14:paraId="00000027">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color w:val="000000"/>
          <w:sz w:val="24"/>
          <w:szCs w:val="24"/>
          <w:highlight w:val="white"/>
          <w:u w:val="single"/>
        </w:rPr>
      </w:pPr>
      <w:bookmarkStart w:colFirst="0" w:colLast="0" w:name="_ss107y98xfem" w:id="2"/>
      <w:bookmarkEnd w:id="2"/>
      <w:r w:rsidDel="00000000" w:rsidR="00000000" w:rsidRPr="00000000">
        <w:rPr>
          <w:color w:val="000000"/>
          <w:sz w:val="24"/>
          <w:szCs w:val="24"/>
          <w:highlight w:val="white"/>
          <w:u w:val="single"/>
          <w:rtl w:val="0"/>
        </w:rPr>
        <w:t xml:space="preserve">Article 2. Fonctions de l’organe de tutelle</w:t>
      </w:r>
    </w:p>
    <w:p w:rsidR="00000000" w:rsidDel="00000000" w:rsidP="00000000" w:rsidRDefault="00000000" w:rsidRPr="00000000" w14:paraId="00000029">
      <w:pPr>
        <w:spacing w:after="240" w:before="240" w:lineRule="auto"/>
        <w:rPr>
          <w:sz w:val="24"/>
          <w:szCs w:val="24"/>
          <w:highlight w:val="white"/>
        </w:rPr>
      </w:pPr>
      <w:r w:rsidDel="00000000" w:rsidR="00000000" w:rsidRPr="00000000">
        <w:rPr>
          <w:sz w:val="24"/>
          <w:szCs w:val="24"/>
          <w:highlight w:val="white"/>
          <w:rtl w:val="0"/>
        </w:rPr>
        <w:t xml:space="preserve">L’organe de tutelle doit :</w:t>
      </w:r>
    </w:p>
    <w:p w:rsidR="00000000" w:rsidDel="00000000" w:rsidP="00000000" w:rsidRDefault="00000000" w:rsidRPr="00000000" w14:paraId="0000002A">
      <w:pPr>
        <w:numPr>
          <w:ilvl w:val="0"/>
          <w:numId w:val="1"/>
        </w:numP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Surveiller la santé écologique et le statut juridique de</w:t>
      </w:r>
      <w:r w:rsidDel="00000000" w:rsidR="00000000" w:rsidRPr="00000000">
        <w:rPr>
          <w:b w:val="1"/>
          <w:bCs w:val="1"/>
          <w:sz w:val="24"/>
          <w:szCs w:val="24"/>
          <w:highlight w:val="white"/>
          <w:rtl w:val="0"/>
        </w:rPr>
        <w:t xml:space="preserve"> [Nom de l’écosystème ou de l’espèce]</w:t>
      </w:r>
      <w:r w:rsidDel="00000000" w:rsidR="00000000" w:rsidRPr="00000000">
        <w:rPr>
          <w:sz w:val="24"/>
          <w:szCs w:val="24"/>
          <w:highlight w:val="white"/>
          <w:rtl w:val="0"/>
        </w:rPr>
        <w:t xml:space="preserve">, et veiller au respect de ses droits reconnus ;</w:t>
      </w:r>
    </w:p>
    <w:p w:rsidR="00000000" w:rsidDel="00000000" w:rsidP="00000000" w:rsidRDefault="00000000" w:rsidRPr="00000000" w14:paraId="0000002B">
      <w:pPr>
        <w:numPr>
          <w:ilvl w:val="0"/>
          <w:numId w:val="1"/>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Plaider pour des politiques de conservation, de restauration et de gestion durable conformes au bien-être à long terme de [Nom de l’écosystème ou de l’espèce] ;</w:t>
      </w:r>
    </w:p>
    <w:p w:rsidR="00000000" w:rsidDel="00000000" w:rsidP="00000000" w:rsidRDefault="00000000" w:rsidRPr="00000000" w14:paraId="0000002C">
      <w:pPr>
        <w:numPr>
          <w:ilvl w:val="0"/>
          <w:numId w:val="1"/>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Représenter officiellement [Nom de l’écosystème ou de l’espèce] dans les processus de gouvernance et de prise de décision qui l’affectent ;</w:t>
      </w:r>
    </w:p>
    <w:p w:rsidR="00000000" w:rsidDel="00000000" w:rsidP="00000000" w:rsidRDefault="00000000" w:rsidRPr="00000000" w14:paraId="0000002D">
      <w:pPr>
        <w:numPr>
          <w:ilvl w:val="0"/>
          <w:numId w:val="1"/>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Intenter une action en justice si les droits de </w:t>
      </w:r>
      <w:r w:rsidDel="00000000" w:rsidR="00000000" w:rsidRPr="00000000">
        <w:rPr>
          <w:b w:val="1"/>
          <w:bCs w:val="1"/>
          <w:sz w:val="24"/>
          <w:szCs w:val="24"/>
          <w:highlight w:val="white"/>
          <w:rtl w:val="0"/>
        </w:rPr>
        <w:t xml:space="preserve">[Nom de l’écosystème ou de l’espèce]</w:t>
      </w:r>
      <w:r w:rsidDel="00000000" w:rsidR="00000000" w:rsidRPr="00000000">
        <w:rPr>
          <w:sz w:val="24"/>
          <w:szCs w:val="24"/>
          <w:highlight w:val="white"/>
          <w:rtl w:val="0"/>
        </w:rPr>
        <w:t xml:space="preserve"> sont violés ou menacés ;</w:t>
      </w:r>
    </w:p>
    <w:p w:rsidR="00000000" w:rsidDel="00000000" w:rsidP="00000000" w:rsidRDefault="00000000" w:rsidRPr="00000000" w14:paraId="0000002E">
      <w:pPr>
        <w:numPr>
          <w:ilvl w:val="0"/>
          <w:numId w:val="1"/>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Travailler activement avec les agences gouvernementales, les experts et les communautés autochtones pour intégrer </w:t>
      </w:r>
      <w:r w:rsidDel="00000000" w:rsidR="00000000" w:rsidRPr="00000000">
        <w:rPr>
          <w:b w:val="1"/>
          <w:bCs w:val="1"/>
          <w:sz w:val="24"/>
          <w:szCs w:val="24"/>
          <w:highlight w:val="white"/>
          <w:rtl w:val="0"/>
        </w:rPr>
        <w:t xml:space="preserve">[Nom de l’écosystème ou de l’espèce] </w:t>
      </w:r>
      <w:r w:rsidDel="00000000" w:rsidR="00000000" w:rsidRPr="00000000">
        <w:rPr>
          <w:sz w:val="24"/>
          <w:szCs w:val="24"/>
          <w:highlight w:val="white"/>
          <w:rtl w:val="0"/>
        </w:rPr>
        <w:t xml:space="preserve">dans les cadres de gouvernance ;</w:t>
      </w:r>
    </w:p>
    <w:p w:rsidR="00000000" w:rsidDel="00000000" w:rsidP="00000000" w:rsidRDefault="00000000" w:rsidRPr="00000000" w14:paraId="0000002F">
      <w:pPr>
        <w:numPr>
          <w:ilvl w:val="0"/>
          <w:numId w:val="1"/>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Obtenir les financements, partenariats et ressources nécessaires pour soutenir son travail ;</w:t>
      </w:r>
    </w:p>
    <w:p w:rsidR="00000000" w:rsidDel="00000000" w:rsidP="00000000" w:rsidRDefault="00000000" w:rsidRPr="00000000" w14:paraId="00000030">
      <w:pPr>
        <w:numPr>
          <w:ilvl w:val="0"/>
          <w:numId w:val="1"/>
        </w:numP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Prendre toutes autres mesures nécessaires à la réalisation de sa mission.</w:t>
      </w:r>
    </w:p>
    <w:p w:rsidR="00000000" w:rsidDel="00000000" w:rsidP="00000000" w:rsidRDefault="00000000" w:rsidRPr="00000000" w14:paraId="00000031">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color w:val="000000"/>
          <w:sz w:val="24"/>
          <w:szCs w:val="24"/>
          <w:highlight w:val="white"/>
          <w:u w:val="single"/>
        </w:rPr>
      </w:pPr>
      <w:bookmarkStart w:colFirst="0" w:colLast="0" w:name="_lmw8k61dzjzn" w:id="3"/>
      <w:bookmarkEnd w:id="3"/>
      <w:r w:rsidDel="00000000" w:rsidR="00000000" w:rsidRPr="00000000">
        <w:rPr>
          <w:color w:val="000000"/>
          <w:sz w:val="24"/>
          <w:szCs w:val="24"/>
          <w:highlight w:val="white"/>
          <w:u w:val="single"/>
          <w:rtl w:val="0"/>
        </w:rPr>
        <w:t xml:space="preserve">Article 3. Transparence et assistance</w:t>
      </w:r>
    </w:p>
    <w:p w:rsidR="00000000" w:rsidDel="00000000" w:rsidP="00000000" w:rsidRDefault="00000000" w:rsidRPr="00000000" w14:paraId="00000033">
      <w:pPr>
        <w:numPr>
          <w:ilvl w:val="0"/>
          <w:numId w:val="5"/>
        </w:numP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Mettre en place des mécanismes de rapports publics, de transparence et de reddition de comptes pour garantir que les intérêts de</w:t>
      </w:r>
      <w:r w:rsidDel="00000000" w:rsidR="00000000" w:rsidRPr="00000000">
        <w:rPr>
          <w:b w:val="1"/>
          <w:bCs w:val="1"/>
          <w:sz w:val="24"/>
          <w:szCs w:val="24"/>
          <w:highlight w:val="white"/>
          <w:rtl w:val="0"/>
        </w:rPr>
        <w:t xml:space="preserve"> [Nom de l’écosystème ou de l’espèce] </w:t>
      </w:r>
      <w:r w:rsidDel="00000000" w:rsidR="00000000" w:rsidRPr="00000000">
        <w:rPr>
          <w:sz w:val="24"/>
          <w:szCs w:val="24"/>
          <w:highlight w:val="white"/>
          <w:rtl w:val="0"/>
        </w:rPr>
        <w:t xml:space="preserve">soient correctement représentés et défendus ;</w:t>
      </w:r>
    </w:p>
    <w:p w:rsidR="00000000" w:rsidDel="00000000" w:rsidP="00000000" w:rsidRDefault="00000000" w:rsidRPr="00000000" w14:paraId="00000034">
      <w:pPr>
        <w:numPr>
          <w:ilvl w:val="0"/>
          <w:numId w:val="5"/>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Travailler activement avec des juristes, des décideurs politiques et des scientifiques en écologie pour renforcer la protection juridique de [Nom de l’écosystème ou de l’espèce] ;</w:t>
      </w:r>
    </w:p>
    <w:p w:rsidR="00000000" w:rsidDel="00000000" w:rsidP="00000000" w:rsidRDefault="00000000" w:rsidRPr="00000000" w14:paraId="00000035">
      <w:pPr>
        <w:numPr>
          <w:ilvl w:val="0"/>
          <w:numId w:val="5"/>
        </w:numP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Rechercher des engagements financiers et institutionnels de la part de </w:t>
      </w:r>
      <w:r w:rsidDel="00000000" w:rsidR="00000000" w:rsidRPr="00000000">
        <w:rPr>
          <w:b w:val="1"/>
          <w:bCs w:val="1"/>
          <w:sz w:val="24"/>
          <w:szCs w:val="24"/>
          <w:highlight w:val="white"/>
          <w:rtl w:val="0"/>
        </w:rPr>
        <w:t xml:space="preserve">[État/Pays/Municipalité]</w:t>
      </w:r>
      <w:r w:rsidDel="00000000" w:rsidR="00000000" w:rsidRPr="00000000">
        <w:rPr>
          <w:sz w:val="24"/>
          <w:szCs w:val="24"/>
          <w:highlight w:val="white"/>
          <w:rtl w:val="0"/>
        </w:rPr>
        <w:t xml:space="preserve">, pour s’assurer qu’il dispose des moyens de défendre et de protéger efficacement </w:t>
      </w:r>
      <w:r w:rsidDel="00000000" w:rsidR="00000000" w:rsidRPr="00000000">
        <w:rPr>
          <w:b w:val="1"/>
          <w:bCs w:val="1"/>
          <w:sz w:val="24"/>
          <w:szCs w:val="24"/>
          <w:highlight w:val="white"/>
          <w:rtl w:val="0"/>
        </w:rPr>
        <w:t xml:space="preserve">[Nom de l’écosystème ou de l’espèce]</w:t>
      </w:r>
      <w:r w:rsidDel="00000000" w:rsidR="00000000" w:rsidRPr="00000000">
        <w:rPr>
          <w:sz w:val="24"/>
          <w:szCs w:val="24"/>
          <w:highlight w:val="white"/>
          <w:rtl w:val="0"/>
        </w:rPr>
        <w:t xml:space="preserve">.</w:t>
      </w:r>
    </w:p>
    <w:p w:rsidR="00000000" w:rsidDel="00000000" w:rsidP="00000000" w:rsidRDefault="00000000" w:rsidRPr="00000000" w14:paraId="00000036">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pStyle w:val="Heading3"/>
        <w:keepNext w:val="0"/>
        <w:keepLines w:val="0"/>
        <w:spacing w:before="280" w:lineRule="auto"/>
        <w:rPr>
          <w:color w:val="000000"/>
          <w:sz w:val="24"/>
          <w:szCs w:val="24"/>
          <w:highlight w:val="white"/>
          <w:u w:val="single"/>
        </w:rPr>
      </w:pPr>
      <w:bookmarkStart w:colFirst="0" w:colLast="0" w:name="_dtuj0q9349ah" w:id="4"/>
      <w:bookmarkEnd w:id="4"/>
      <w:r w:rsidDel="00000000" w:rsidR="00000000" w:rsidRPr="00000000">
        <w:rPr>
          <w:color w:val="000000"/>
          <w:sz w:val="24"/>
          <w:szCs w:val="24"/>
          <w:highlight w:val="white"/>
          <w:u w:val="single"/>
          <w:rtl w:val="0"/>
        </w:rPr>
        <w:t xml:space="preserve">Article 4. Nomination et gouvernance</w:t>
      </w:r>
    </w:p>
    <w:p w:rsidR="00000000" w:rsidDel="00000000" w:rsidP="00000000" w:rsidRDefault="00000000" w:rsidRPr="00000000" w14:paraId="00000038">
      <w:pPr>
        <w:spacing w:after="240" w:before="240" w:lineRule="auto"/>
        <w:rPr>
          <w:color w:val="ff0000"/>
          <w:sz w:val="24"/>
          <w:szCs w:val="24"/>
          <w:highlight w:val="white"/>
        </w:rPr>
      </w:pPr>
      <w:r w:rsidDel="00000000" w:rsidR="00000000" w:rsidRPr="00000000">
        <w:rPr>
          <w:color w:val="ff0000"/>
          <w:sz w:val="24"/>
          <w:szCs w:val="24"/>
          <w:highlight w:val="white"/>
          <w:rtl w:val="0"/>
        </w:rPr>
        <w:t xml:space="preserve">Il existe plusieurs approches possibles. Quelques exemples de dispositifs existants sont décrits à la fin du présent document. Voici une proposition :</w:t>
      </w:r>
    </w:p>
    <w:p w:rsidR="00000000" w:rsidDel="00000000" w:rsidP="00000000" w:rsidRDefault="00000000" w:rsidRPr="00000000" w14:paraId="00000039">
      <w:pPr>
        <w:spacing w:after="240" w:before="240" w:lineRule="auto"/>
        <w:rPr>
          <w:color w:val="ff0000"/>
          <w:sz w:val="24"/>
          <w:szCs w:val="24"/>
          <w:highlight w:val="white"/>
        </w:rPr>
      </w:pPr>
      <w:r w:rsidDel="00000000" w:rsidR="00000000" w:rsidRPr="00000000">
        <w:rPr>
          <w:color w:val="ff0000"/>
          <w:sz w:val="24"/>
          <w:szCs w:val="24"/>
          <w:highlight w:val="white"/>
          <w:rtl w:val="0"/>
        </w:rPr>
        <w:t xml:space="preserve">Nous suggérons que des conseils environnementaux ou d’autres instances administratives spécialisées, incluant éventuellement des représentants citoyens, servent de mécanisme pour nommer les tuteurs. Cette option </w:t>
      </w:r>
      <w:r w:rsidDel="00000000" w:rsidR="00000000" w:rsidRPr="00000000">
        <w:rPr>
          <w:b w:val="1"/>
          <w:bCs w:val="1"/>
          <w:color w:val="ff0000"/>
          <w:sz w:val="24"/>
          <w:szCs w:val="24"/>
          <w:highlight w:val="white"/>
          <w:rtl w:val="0"/>
        </w:rPr>
        <w:t xml:space="preserve">est avantageuse </w:t>
      </w:r>
      <w:r w:rsidDel="00000000" w:rsidR="00000000" w:rsidRPr="00000000">
        <w:rPr>
          <w:color w:val="ff0000"/>
          <w:sz w:val="24"/>
          <w:szCs w:val="24"/>
          <w:highlight w:val="white"/>
          <w:rtl w:val="0"/>
        </w:rPr>
        <w:t xml:space="preserve">car ces instances sont spécialisées dans les questions environnementales.</w:t>
      </w:r>
    </w:p>
    <w:p w:rsidR="00000000" w:rsidDel="00000000" w:rsidP="00000000" w:rsidRDefault="00000000" w:rsidRPr="00000000" w14:paraId="0000003A">
      <w:pPr>
        <w:numPr>
          <w:ilvl w:val="0"/>
          <w:numId w:val="4"/>
        </w:numP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L’organe de tutelle est composé de</w:t>
      </w:r>
      <w:r w:rsidDel="00000000" w:rsidR="00000000" w:rsidRPr="00000000">
        <w:rPr>
          <w:b w:val="1"/>
          <w:bCs w:val="1"/>
          <w:sz w:val="24"/>
          <w:szCs w:val="24"/>
          <w:highlight w:val="white"/>
          <w:rtl w:val="0"/>
        </w:rPr>
        <w:t xml:space="preserve"> [trois]</w:t>
      </w:r>
      <w:r w:rsidDel="00000000" w:rsidR="00000000" w:rsidRPr="00000000">
        <w:rPr>
          <w:sz w:val="24"/>
          <w:szCs w:val="24"/>
          <w:highlight w:val="white"/>
          <w:rtl w:val="0"/>
        </w:rPr>
        <w:t xml:space="preserve"> personnes. </w:t>
      </w:r>
      <w:r w:rsidDel="00000000" w:rsidR="00000000" w:rsidRPr="00000000">
        <w:rPr>
          <w:b w:val="1"/>
          <w:bCs w:val="1"/>
          <w:sz w:val="24"/>
          <w:szCs w:val="24"/>
          <w:highlight w:val="white"/>
          <w:rtl w:val="0"/>
        </w:rPr>
        <w:t xml:space="preserve">[Deux]</w:t>
      </w:r>
      <w:r w:rsidDel="00000000" w:rsidR="00000000" w:rsidRPr="00000000">
        <w:rPr>
          <w:sz w:val="24"/>
          <w:szCs w:val="24"/>
          <w:highlight w:val="white"/>
          <w:rtl w:val="0"/>
        </w:rPr>
        <w:t xml:space="preserve"> sont nommées par </w:t>
      </w:r>
      <w:r w:rsidDel="00000000" w:rsidR="00000000" w:rsidRPr="00000000">
        <w:rPr>
          <w:b w:val="1"/>
          <w:bCs w:val="1"/>
          <w:sz w:val="24"/>
          <w:szCs w:val="24"/>
          <w:highlight w:val="white"/>
          <w:rtl w:val="0"/>
        </w:rPr>
        <w:t xml:space="preserve">[Nom du groupe local, organisme environnemental, gouvernement autochtone ou autre entité liée à l’écosystème, selon le contexte local]</w:t>
      </w:r>
      <w:r w:rsidDel="00000000" w:rsidR="00000000" w:rsidRPr="00000000">
        <w:rPr>
          <w:sz w:val="24"/>
          <w:szCs w:val="24"/>
          <w:highlight w:val="white"/>
          <w:rtl w:val="0"/>
        </w:rPr>
        <w:t xml:space="preserve">. </w:t>
      </w:r>
      <w:r w:rsidDel="00000000" w:rsidR="00000000" w:rsidRPr="00000000">
        <w:rPr>
          <w:b w:val="1"/>
          <w:bCs w:val="1"/>
          <w:sz w:val="24"/>
          <w:szCs w:val="24"/>
          <w:highlight w:val="white"/>
          <w:rtl w:val="0"/>
        </w:rPr>
        <w:t xml:space="preserve">[Une]</w:t>
      </w:r>
      <w:r w:rsidDel="00000000" w:rsidR="00000000" w:rsidRPr="00000000">
        <w:rPr>
          <w:sz w:val="24"/>
          <w:szCs w:val="24"/>
          <w:highlight w:val="white"/>
          <w:rtl w:val="0"/>
        </w:rPr>
        <w:t xml:space="preserve"> est nommée par </w:t>
      </w:r>
      <w:r w:rsidDel="00000000" w:rsidR="00000000" w:rsidRPr="00000000">
        <w:rPr>
          <w:b w:val="1"/>
          <w:bCs w:val="1"/>
          <w:sz w:val="24"/>
          <w:szCs w:val="24"/>
          <w:highlight w:val="white"/>
          <w:rtl w:val="0"/>
        </w:rPr>
        <w:t xml:space="preserve">[Nom de l’entité gouvernementale] </w:t>
      </w:r>
      <w:r w:rsidDel="00000000" w:rsidR="00000000" w:rsidRPr="00000000">
        <w:rPr>
          <w:sz w:val="24"/>
          <w:szCs w:val="24"/>
          <w:highlight w:val="white"/>
          <w:rtl w:val="0"/>
        </w:rPr>
        <w:t xml:space="preserve">via </w:t>
      </w:r>
      <w:r w:rsidDel="00000000" w:rsidR="00000000" w:rsidRPr="00000000">
        <w:rPr>
          <w:b w:val="1"/>
          <w:bCs w:val="1"/>
          <w:sz w:val="24"/>
          <w:szCs w:val="24"/>
          <w:highlight w:val="white"/>
          <w:rtl w:val="0"/>
        </w:rPr>
        <w:t xml:space="preserve">[Nom du conseil environnemental ou autre organisme administratif spécialisé]</w:t>
      </w:r>
      <w:r w:rsidDel="00000000" w:rsidR="00000000" w:rsidRPr="00000000">
        <w:rPr>
          <w:sz w:val="24"/>
          <w:szCs w:val="24"/>
          <w:highlight w:val="white"/>
          <w:rtl w:val="0"/>
        </w:rPr>
        <w:t xml:space="preserve">. Les nominations ont lieu dans un délai de deux mois à compter de l’entrée en vigueur de cette </w:t>
      </w:r>
      <w:r w:rsidDel="00000000" w:rsidR="00000000" w:rsidRPr="00000000">
        <w:rPr>
          <w:b w:val="1"/>
          <w:bCs w:val="1"/>
          <w:sz w:val="24"/>
          <w:szCs w:val="24"/>
          <w:highlight w:val="white"/>
          <w:rtl w:val="0"/>
        </w:rPr>
        <w:t xml:space="preserve">[loi/règlement/résolution]</w:t>
      </w:r>
      <w:r w:rsidDel="00000000" w:rsidR="00000000" w:rsidRPr="00000000">
        <w:rPr>
          <w:sz w:val="24"/>
          <w:szCs w:val="24"/>
          <w:highlight w:val="white"/>
          <w:rtl w:val="0"/>
        </w:rPr>
        <w:t xml:space="preserve">. L’organe peut décider de s’agrandir en ajoutant de nouveaux membres.</w:t>
      </w:r>
    </w:p>
    <w:p w:rsidR="00000000" w:rsidDel="00000000" w:rsidP="00000000" w:rsidRDefault="00000000" w:rsidRPr="00000000" w14:paraId="0000003B">
      <w:pPr>
        <w:numPr>
          <w:ilvl w:val="0"/>
          <w:numId w:val="4"/>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L’organe de tutelle crée dans un délai de trois mois un comité consultatif chargé de lui fournir conseils et soutien. Ce groupe doit agir dans l’intérêt de </w:t>
      </w:r>
      <w:r w:rsidDel="00000000" w:rsidR="00000000" w:rsidRPr="00000000">
        <w:rPr>
          <w:b w:val="1"/>
          <w:bCs w:val="1"/>
          <w:sz w:val="24"/>
          <w:szCs w:val="24"/>
          <w:highlight w:val="white"/>
          <w:rtl w:val="0"/>
        </w:rPr>
        <w:t xml:space="preserve">[Nom de l’écosystème]</w:t>
      </w:r>
      <w:r w:rsidDel="00000000" w:rsidR="00000000" w:rsidRPr="00000000">
        <w:rPr>
          <w:sz w:val="24"/>
          <w:szCs w:val="24"/>
          <w:highlight w:val="white"/>
          <w:rtl w:val="0"/>
        </w:rPr>
        <w:t xml:space="preserve">. Il est composé de </w:t>
      </w:r>
      <w:r w:rsidDel="00000000" w:rsidR="00000000" w:rsidRPr="00000000">
        <w:rPr>
          <w:b w:val="1"/>
          <w:bCs w:val="1"/>
          <w:sz w:val="24"/>
          <w:szCs w:val="24"/>
          <w:highlight w:val="white"/>
          <w:rtl w:val="0"/>
        </w:rPr>
        <w:t xml:space="preserve">[deux personnes désignées par le groupe autochtone ou local, deux par les autorités locales compétentes, trois scientifiques ou experts indépendants]</w:t>
      </w:r>
      <w:r w:rsidDel="00000000" w:rsidR="00000000" w:rsidRPr="00000000">
        <w:rPr>
          <w:sz w:val="24"/>
          <w:szCs w:val="24"/>
          <w:highlight w:val="white"/>
          <w:rtl w:val="0"/>
        </w:rPr>
        <w:t xml:space="preserve">. Ils sont nommés pour un mandat </w:t>
      </w:r>
      <w:r w:rsidDel="00000000" w:rsidR="00000000" w:rsidRPr="00000000">
        <w:rPr>
          <w:b w:val="1"/>
          <w:bCs w:val="1"/>
          <w:sz w:val="24"/>
          <w:szCs w:val="24"/>
          <w:highlight w:val="white"/>
          <w:rtl w:val="0"/>
        </w:rPr>
        <w:t xml:space="preserve">[renouvelable]</w:t>
      </w:r>
      <w:r w:rsidDel="00000000" w:rsidR="00000000" w:rsidRPr="00000000">
        <w:rPr>
          <w:sz w:val="24"/>
          <w:szCs w:val="24"/>
          <w:highlight w:val="white"/>
          <w:rtl w:val="0"/>
        </w:rPr>
        <w:t xml:space="preserve"> de </w:t>
      </w:r>
      <w:r w:rsidDel="00000000" w:rsidR="00000000" w:rsidRPr="00000000">
        <w:rPr>
          <w:b w:val="1"/>
          <w:bCs w:val="1"/>
          <w:sz w:val="24"/>
          <w:szCs w:val="24"/>
          <w:highlight w:val="white"/>
          <w:rtl w:val="0"/>
        </w:rPr>
        <w:t xml:space="preserve">[quatre]</w:t>
      </w:r>
      <w:r w:rsidDel="00000000" w:rsidR="00000000" w:rsidRPr="00000000">
        <w:rPr>
          <w:sz w:val="24"/>
          <w:szCs w:val="24"/>
          <w:highlight w:val="white"/>
          <w:rtl w:val="0"/>
        </w:rPr>
        <w:t xml:space="preserve"> ans. Le groupe peut inviter d’autres personnes à l’assister, mais ces personnes ne deviennent pas membres à part entière du groupe ou de l’organe de tutelle.</w:t>
      </w:r>
    </w:p>
    <w:p w:rsidR="00000000" w:rsidDel="00000000" w:rsidP="00000000" w:rsidRDefault="00000000" w:rsidRPr="00000000" w14:paraId="0000003C">
      <w:pPr>
        <w:numPr>
          <w:ilvl w:val="0"/>
          <w:numId w:val="4"/>
        </w:numP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L’organe de tutelle peut créer d'autres groupes ou comités pour soutenir sa mission ou pour tout autre objectif jugé pertinent.</w:t>
      </w:r>
    </w:p>
    <w:p w:rsidR="00000000" w:rsidDel="00000000" w:rsidP="00000000" w:rsidRDefault="00000000" w:rsidRPr="00000000" w14:paraId="0000003D">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3"/>
        <w:keepNext w:val="0"/>
        <w:keepLines w:val="0"/>
        <w:spacing w:before="280" w:lineRule="auto"/>
        <w:rPr>
          <w:color w:val="000000"/>
          <w:sz w:val="24"/>
          <w:szCs w:val="24"/>
          <w:highlight w:val="white"/>
          <w:u w:val="single"/>
        </w:rPr>
      </w:pPr>
      <w:bookmarkStart w:colFirst="0" w:colLast="0" w:name="_yykk7al57c90" w:id="5"/>
      <w:bookmarkEnd w:id="5"/>
      <w:r w:rsidDel="00000000" w:rsidR="00000000" w:rsidRPr="00000000">
        <w:rPr>
          <w:color w:val="000000"/>
          <w:sz w:val="24"/>
          <w:szCs w:val="24"/>
          <w:highlight w:val="white"/>
          <w:u w:val="single"/>
          <w:rtl w:val="0"/>
        </w:rPr>
        <w:t xml:space="preserve">Article 5. Fonctionnement de l’organe de tutelle</w:t>
      </w:r>
    </w:p>
    <w:p w:rsidR="00000000" w:rsidDel="00000000" w:rsidP="00000000" w:rsidRDefault="00000000" w:rsidRPr="00000000" w14:paraId="0000003F">
      <w:pPr>
        <w:numPr>
          <w:ilvl w:val="0"/>
          <w:numId w:val="3"/>
        </w:numPr>
        <w:spacing w:after="0" w:afterAutospacing="0" w:before="240" w:lineRule="auto"/>
        <w:ind w:left="720" w:hanging="360"/>
        <w:rPr>
          <w:sz w:val="24"/>
          <w:szCs w:val="24"/>
          <w:highlight w:val="white"/>
          <w:u w:val="none"/>
        </w:rPr>
      </w:pPr>
      <w:r w:rsidDel="00000000" w:rsidR="00000000" w:rsidRPr="00000000">
        <w:rPr>
          <w:sz w:val="24"/>
          <w:szCs w:val="24"/>
          <w:highlight w:val="white"/>
          <w:rtl w:val="0"/>
        </w:rPr>
        <w:t xml:space="preserve">Les membres de l’organe de tutelle ne sont pas personnellement responsables des actions ou omissions réalisées</w:t>
      </w:r>
      <w:r w:rsidDel="00000000" w:rsidR="00000000" w:rsidRPr="00000000">
        <w:rPr>
          <w:b w:val="1"/>
          <w:bCs w:val="1"/>
          <w:sz w:val="24"/>
          <w:szCs w:val="24"/>
          <w:highlight w:val="white"/>
          <w:rtl w:val="0"/>
        </w:rPr>
        <w:t xml:space="preserve"> </w:t>
      </w:r>
      <w:r w:rsidDel="00000000" w:rsidR="00000000" w:rsidRPr="00000000">
        <w:rPr>
          <w:sz w:val="24"/>
          <w:szCs w:val="24"/>
          <w:highlight w:val="white"/>
          <w:rtl w:val="0"/>
        </w:rPr>
        <w:t xml:space="preserve">dans l’exercice de leurs fonctions, tant qu’elles respectent l’objet de leur mission et sont réalisées de bonne foi.</w:t>
      </w:r>
    </w:p>
    <w:p w:rsidR="00000000" w:rsidDel="00000000" w:rsidP="00000000" w:rsidRDefault="00000000" w:rsidRPr="00000000" w14:paraId="00000040">
      <w:pPr>
        <w:numPr>
          <w:ilvl w:val="0"/>
          <w:numId w:val="3"/>
        </w:numP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Si le groupe consultatif estime que l’organe de tutelle ne respecte pas sa mission, ou si au moins </w:t>
      </w:r>
      <w:r w:rsidDel="00000000" w:rsidR="00000000" w:rsidRPr="00000000">
        <w:rPr>
          <w:b w:val="1"/>
          <w:bCs w:val="1"/>
          <w:sz w:val="24"/>
          <w:szCs w:val="24"/>
          <w:highlight w:val="white"/>
          <w:rtl w:val="0"/>
        </w:rPr>
        <w:t xml:space="preserve">[deux] </w:t>
      </w:r>
      <w:r w:rsidDel="00000000" w:rsidR="00000000" w:rsidRPr="00000000">
        <w:rPr>
          <w:sz w:val="24"/>
          <w:szCs w:val="24"/>
          <w:highlight w:val="white"/>
          <w:rtl w:val="0"/>
        </w:rPr>
        <w:t xml:space="preserve">membres de l’organe considèrent qu’un membre agit à l’encontre de ses obligations, le litige est soumis à un arbitrage. Les arbitres peuvent décider de révoquer le ou les membres concernés. Dans ce cas, leur remplacement a lieu dans les deux mois selon les modalités définies à l’article 4A.</w:t>
      </w:r>
    </w:p>
    <w:p w:rsidR="00000000" w:rsidDel="00000000" w:rsidP="00000000" w:rsidRDefault="00000000" w:rsidRPr="00000000" w14:paraId="00000041">
      <w:pPr>
        <w:numPr>
          <w:ilvl w:val="0"/>
          <w:numId w:val="3"/>
        </w:numPr>
        <w:spacing w:after="24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Les membres doivent agir de bonne foi et peuvent être révoqués par arbitrage s’ils ne respectent pas les intérêts de </w:t>
      </w:r>
      <w:r w:rsidDel="00000000" w:rsidR="00000000" w:rsidRPr="00000000">
        <w:rPr>
          <w:b w:val="1"/>
          <w:bCs w:val="1"/>
          <w:sz w:val="24"/>
          <w:szCs w:val="24"/>
          <w:highlight w:val="white"/>
          <w:rtl w:val="0"/>
        </w:rPr>
        <w:t xml:space="preserve">[Nom de l’écosystème]</w:t>
      </w:r>
      <w:r w:rsidDel="00000000" w:rsidR="00000000" w:rsidRPr="00000000">
        <w:rPr>
          <w:sz w:val="24"/>
          <w:szCs w:val="24"/>
          <w:highlight w:val="white"/>
          <w:rtl w:val="0"/>
        </w:rPr>
        <w:t xml:space="preserve">. Tout litige à ce sujet est examiné par le groupe consultatif et, s’il est fondé, est renvoyé à l’arbitrage. Ce dernier doit suivre les principes d’intérêt supérieur de</w:t>
      </w:r>
      <w:r w:rsidDel="00000000" w:rsidR="00000000" w:rsidRPr="00000000">
        <w:rPr>
          <w:b w:val="1"/>
          <w:bCs w:val="1"/>
          <w:sz w:val="24"/>
          <w:szCs w:val="24"/>
          <w:highlight w:val="white"/>
          <w:rtl w:val="0"/>
        </w:rPr>
        <w:t xml:space="preserve"> [Nom de l’écosystème] </w:t>
      </w:r>
      <w:r w:rsidDel="00000000" w:rsidR="00000000" w:rsidRPr="00000000">
        <w:rPr>
          <w:sz w:val="24"/>
          <w:szCs w:val="24"/>
          <w:highlight w:val="white"/>
          <w:rtl w:val="0"/>
        </w:rPr>
        <w:t xml:space="preserve">et d’accomplissement de la mission de l’organe de tutelle. Les arbitres peuvent recommander officiellement la révocation, qui nécessite l’approbation à la majorité des membres restants. Le remplacement est effectué dans un délai de deux mois.</w:t>
      </w:r>
    </w:p>
    <w:p w:rsidR="00000000" w:rsidDel="00000000" w:rsidP="00000000" w:rsidRDefault="00000000" w:rsidRPr="00000000" w14:paraId="00000042">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color w:val="000000"/>
          <w:sz w:val="24"/>
          <w:szCs w:val="24"/>
          <w:highlight w:val="white"/>
          <w:u w:val="single"/>
        </w:rPr>
      </w:pPr>
      <w:bookmarkStart w:colFirst="0" w:colLast="0" w:name="_cyor365h5js5" w:id="6"/>
      <w:bookmarkEnd w:id="6"/>
      <w:r w:rsidDel="00000000" w:rsidR="00000000" w:rsidRPr="00000000">
        <w:rPr>
          <w:color w:val="000000"/>
          <w:sz w:val="24"/>
          <w:szCs w:val="24"/>
          <w:highlight w:val="white"/>
          <w:u w:val="single"/>
          <w:rtl w:val="0"/>
        </w:rPr>
        <w:t xml:space="preserve">Article 6. Entrée en vigueur</w:t>
      </w:r>
    </w:p>
    <w:p w:rsidR="00000000" w:rsidDel="00000000" w:rsidP="00000000" w:rsidRDefault="00000000" w:rsidRPr="00000000" w14:paraId="00000044">
      <w:pPr>
        <w:spacing w:after="240" w:before="240" w:lineRule="auto"/>
        <w:rPr>
          <w:sz w:val="24"/>
          <w:szCs w:val="24"/>
          <w:highlight w:val="white"/>
        </w:rPr>
      </w:pPr>
      <w:r w:rsidDel="00000000" w:rsidR="00000000" w:rsidRPr="00000000">
        <w:rPr>
          <w:sz w:val="24"/>
          <w:szCs w:val="24"/>
          <w:highlight w:val="white"/>
          <w:rtl w:val="0"/>
        </w:rPr>
        <w:t xml:space="preserve">Cette</w:t>
      </w:r>
      <w:r w:rsidDel="00000000" w:rsidR="00000000" w:rsidRPr="00000000">
        <w:rPr>
          <w:b w:val="1"/>
          <w:bCs w:val="1"/>
          <w:sz w:val="24"/>
          <w:szCs w:val="24"/>
          <w:highlight w:val="white"/>
          <w:rtl w:val="0"/>
        </w:rPr>
        <w:t xml:space="preserve"> [loi/règlement/résolution]</w:t>
      </w:r>
      <w:r w:rsidDel="00000000" w:rsidR="00000000" w:rsidRPr="00000000">
        <w:rPr>
          <w:sz w:val="24"/>
          <w:szCs w:val="24"/>
          <w:highlight w:val="white"/>
          <w:rtl w:val="0"/>
        </w:rPr>
        <w:t xml:space="preserve"> entre en vigueur à compter du </w:t>
      </w:r>
      <w:r w:rsidDel="00000000" w:rsidR="00000000" w:rsidRPr="00000000">
        <w:rPr>
          <w:b w:val="1"/>
          <w:bCs w:val="1"/>
          <w:sz w:val="24"/>
          <w:szCs w:val="24"/>
          <w:highlight w:val="white"/>
          <w:rtl w:val="0"/>
        </w:rPr>
        <w:t xml:space="preserve">[Date]</w:t>
      </w:r>
      <w:r w:rsidDel="00000000" w:rsidR="00000000" w:rsidRPr="00000000">
        <w:rPr>
          <w:sz w:val="24"/>
          <w:szCs w:val="24"/>
          <w:highlight w:val="white"/>
          <w:rtl w:val="0"/>
        </w:rPr>
        <w:t xml:space="preserve">.</w:t>
      </w:r>
    </w:p>
    <w:p w:rsidR="00000000" w:rsidDel="00000000" w:rsidP="00000000" w:rsidRDefault="00000000" w:rsidRPr="00000000" w14:paraId="00000045">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highlight w:val="white"/>
        </w:rPr>
      </w:pPr>
      <w:bookmarkStart w:colFirst="0" w:colLast="0" w:name="_nfzrocs0iqw8" w:id="7"/>
      <w:bookmarkEnd w:id="7"/>
      <w:r w:rsidDel="00000000" w:rsidR="00000000" w:rsidRPr="00000000">
        <w:rPr>
          <w:b w:val="1"/>
          <w:bCs w:val="1"/>
          <w:color w:val="000000"/>
          <w:sz w:val="24"/>
          <w:szCs w:val="24"/>
          <w:highlight w:val="white"/>
          <w:rtl w:val="0"/>
        </w:rPr>
        <w:t xml:space="preserve">ADOPTÉ ET APPROUVÉ</w:t>
      </w:r>
    </w:p>
    <w:p w:rsidR="00000000" w:rsidDel="00000000" w:rsidP="00000000" w:rsidRDefault="00000000" w:rsidRPr="00000000" w14:paraId="00000047">
      <w:pPr>
        <w:spacing w:after="240" w:before="240" w:lineRule="auto"/>
        <w:rPr>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color w:val="000000"/>
          <w:sz w:val="24"/>
          <w:szCs w:val="24"/>
          <w:highlight w:val="white"/>
        </w:rPr>
      </w:pPr>
      <w:bookmarkStart w:colFirst="0" w:colLast="0" w:name="_uifx5beqp1ef" w:id="8"/>
      <w:bookmarkEnd w:id="8"/>
      <w:r w:rsidDel="00000000" w:rsidR="00000000" w:rsidRPr="00000000">
        <w:rPr>
          <w:rtl w:val="0"/>
        </w:rPr>
      </w:r>
    </w:p>
    <w:p w:rsidR="00000000" w:rsidDel="00000000" w:rsidP="00000000" w:rsidRDefault="00000000" w:rsidRPr="00000000" w14:paraId="00000049">
      <w:pPr>
        <w:pStyle w:val="Heading3"/>
        <w:keepNext w:val="0"/>
        <w:keepLines w:val="0"/>
        <w:spacing w:before="280" w:lineRule="auto"/>
        <w:rPr>
          <w:color w:val="000000"/>
          <w:sz w:val="24"/>
          <w:szCs w:val="24"/>
          <w:highlight w:val="white"/>
        </w:rPr>
      </w:pPr>
      <w:bookmarkStart w:colFirst="0" w:colLast="0" w:name="_abmq8tyst2ke" w:id="9"/>
      <w:bookmarkEnd w:id="9"/>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3"/>
        <w:keepNext w:val="0"/>
        <w:keepLines w:val="0"/>
        <w:spacing w:before="280" w:lineRule="auto"/>
        <w:rPr>
          <w:b w:val="1"/>
          <w:bCs w:val="1"/>
          <w:color w:val="ff0000"/>
          <w:sz w:val="24"/>
          <w:szCs w:val="24"/>
        </w:rPr>
      </w:pPr>
      <w:bookmarkStart w:colFirst="0" w:colLast="0" w:name="_ak3cmxnd26cl" w:id="10"/>
      <w:bookmarkEnd w:id="10"/>
      <w:r w:rsidDel="00000000" w:rsidR="00000000" w:rsidRPr="00000000">
        <w:rPr>
          <w:b w:val="1"/>
          <w:bCs w:val="1"/>
          <w:color w:val="ff0000"/>
          <w:sz w:val="24"/>
          <w:szCs w:val="24"/>
          <w:rtl w:val="0"/>
        </w:rPr>
        <w:t xml:space="preserve">EXEMPLES À TRAVERS LE MONDE</w:t>
      </w:r>
    </w:p>
    <w:p w:rsidR="00000000" w:rsidDel="00000000" w:rsidP="00000000" w:rsidRDefault="00000000" w:rsidRPr="00000000" w14:paraId="00000062">
      <w:pPr>
        <w:spacing w:after="240" w:before="240" w:lineRule="auto"/>
        <w:rPr>
          <w:color w:val="ff0000"/>
          <w:sz w:val="24"/>
          <w:szCs w:val="24"/>
          <w:u w:val="single"/>
        </w:rPr>
      </w:pPr>
      <w:r w:rsidDel="00000000" w:rsidR="00000000" w:rsidRPr="00000000">
        <w:rPr>
          <w:color w:val="ff0000"/>
          <w:sz w:val="24"/>
          <w:szCs w:val="24"/>
          <w:u w:val="single"/>
          <w:rtl w:val="0"/>
        </w:rPr>
        <w:t xml:space="preserve">Nouvelle-Zélande</w:t>
        <w:br w:type="textWrapping"/>
      </w:r>
      <w:r w:rsidDel="00000000" w:rsidR="00000000" w:rsidRPr="00000000">
        <w:rPr>
          <w:color w:val="ff0000"/>
          <w:sz w:val="24"/>
          <w:szCs w:val="24"/>
          <w:rtl w:val="0"/>
        </w:rPr>
        <w:t xml:space="preserve">Le fleuve Whanganui est reconnu comme une personne morale. Deux tuteurs sont désignés : l’un par l’iwi Māori et l’autre par l’État. Ils sont accompagnés d’un groupe consultatif et d’un groupe stratégique de 17 membres représentant les usagers du fleuve, les autorités locales, les entreprises et les ONG environnementales. Les tuteurs peuvent faire valoir des droits fonciers, administrer des fonds, et signer des traités et contrats.</w:t>
        <w:br w:type="textWrapping"/>
        <w:t xml:space="preserve">Loi Te Awa Tupua : </w:t>
      </w:r>
      <w:hyperlink r:id="rId8">
        <w:r w:rsidDel="00000000" w:rsidR="00000000" w:rsidRPr="00000000">
          <w:rPr>
            <w:color w:val="ff0000"/>
            <w:sz w:val="24"/>
            <w:szCs w:val="24"/>
            <w:u w:val="single"/>
            <w:rtl w:val="0"/>
          </w:rPr>
          <w:t xml:space="preserve">Te Awa Tupua Act</w:t>
        </w:r>
      </w:hyperlink>
      <w:r w:rsidDel="00000000" w:rsidR="00000000" w:rsidRPr="00000000">
        <w:rPr>
          <w:rtl w:val="0"/>
        </w:rPr>
      </w:r>
    </w:p>
    <w:p w:rsidR="00000000" w:rsidDel="00000000" w:rsidP="00000000" w:rsidRDefault="00000000" w:rsidRPr="00000000" w14:paraId="00000063">
      <w:pPr>
        <w:spacing w:after="240" w:before="240" w:lineRule="auto"/>
        <w:rPr>
          <w:color w:val="ff0000"/>
          <w:sz w:val="24"/>
          <w:szCs w:val="24"/>
        </w:rPr>
      </w:pPr>
      <w:r w:rsidDel="00000000" w:rsidR="00000000" w:rsidRPr="00000000">
        <w:rPr>
          <w:color w:val="ff0000"/>
          <w:sz w:val="24"/>
          <w:szCs w:val="24"/>
          <w:u w:val="single"/>
          <w:rtl w:val="0"/>
        </w:rPr>
        <w:t xml:space="preserve">Espagne</w:t>
      </w:r>
      <w:r w:rsidDel="00000000" w:rsidR="00000000" w:rsidRPr="00000000">
        <w:rPr>
          <w:color w:val="ff0000"/>
          <w:sz w:val="24"/>
          <w:szCs w:val="24"/>
          <w:rtl w:val="0"/>
        </w:rPr>
        <w:br w:type="textWrapping"/>
        <w:t xml:space="preserve">Le lac Mar Menor a acquis une personnalité juridique. Sa gouvernance est assurée par :</w:t>
      </w:r>
    </w:p>
    <w:p w:rsidR="00000000" w:rsidDel="00000000" w:rsidP="00000000" w:rsidRDefault="00000000" w:rsidRPr="00000000" w14:paraId="00000064">
      <w:pPr>
        <w:numPr>
          <w:ilvl w:val="0"/>
          <w:numId w:val="6"/>
        </w:numPr>
        <w:spacing w:after="0" w:afterAutospacing="0" w:before="240" w:lineRule="auto"/>
        <w:ind w:left="720" w:hanging="360"/>
        <w:rPr>
          <w:color w:val="ff0000"/>
          <w:sz w:val="24"/>
          <w:szCs w:val="24"/>
        </w:rPr>
      </w:pPr>
      <w:r w:rsidDel="00000000" w:rsidR="00000000" w:rsidRPr="00000000">
        <w:rPr>
          <w:color w:val="ff0000"/>
          <w:sz w:val="24"/>
          <w:szCs w:val="24"/>
          <w:rtl w:val="0"/>
        </w:rPr>
        <w:t xml:space="preserve">Un Comité des représentants composé de membres de l’État, de la région autonome, et des citoyens ;</w:t>
      </w:r>
    </w:p>
    <w:p w:rsidR="00000000" w:rsidDel="00000000" w:rsidP="00000000" w:rsidRDefault="00000000" w:rsidRPr="00000000" w14:paraId="00000065">
      <w:pPr>
        <w:numPr>
          <w:ilvl w:val="0"/>
          <w:numId w:val="6"/>
        </w:numPr>
        <w:spacing w:after="0" w:afterAutospacing="0" w:before="0" w:beforeAutospacing="0" w:lineRule="auto"/>
        <w:ind w:left="720" w:hanging="360"/>
        <w:rPr>
          <w:color w:val="ff0000"/>
          <w:sz w:val="24"/>
          <w:szCs w:val="24"/>
        </w:rPr>
      </w:pPr>
      <w:r w:rsidDel="00000000" w:rsidR="00000000" w:rsidRPr="00000000">
        <w:rPr>
          <w:color w:val="ff0000"/>
          <w:sz w:val="24"/>
          <w:szCs w:val="24"/>
          <w:rtl w:val="0"/>
        </w:rPr>
        <w:t xml:space="preserve">Une Commission de suivi représentant les municipalités et divers secteurs (écologie, pêche, agriculture, etc.) ;</w:t>
      </w:r>
    </w:p>
    <w:p w:rsidR="00000000" w:rsidDel="00000000" w:rsidP="00000000" w:rsidRDefault="00000000" w:rsidRPr="00000000" w14:paraId="00000066">
      <w:pPr>
        <w:numPr>
          <w:ilvl w:val="0"/>
          <w:numId w:val="6"/>
        </w:numPr>
        <w:spacing w:after="240" w:before="0" w:beforeAutospacing="0" w:lineRule="auto"/>
        <w:ind w:left="720" w:hanging="360"/>
        <w:rPr>
          <w:color w:val="ff0000"/>
          <w:sz w:val="24"/>
          <w:szCs w:val="24"/>
        </w:rPr>
      </w:pPr>
      <w:r w:rsidDel="00000000" w:rsidR="00000000" w:rsidRPr="00000000">
        <w:rPr>
          <w:color w:val="ff0000"/>
          <w:sz w:val="24"/>
          <w:szCs w:val="24"/>
          <w:rtl w:val="0"/>
        </w:rPr>
        <w:t xml:space="preserve">Un Comité scientifique chargé de conseiller les deux premiers organes et de surveiller l’état écologique du lagon.</w:t>
        <w:br w:type="textWrapping"/>
        <w:t xml:space="preserve">Loi espagnole : </w:t>
      </w:r>
      <w:hyperlink r:id="rId9">
        <w:r w:rsidDel="00000000" w:rsidR="00000000" w:rsidRPr="00000000">
          <w:rPr>
            <w:color w:val="ff0000"/>
            <w:sz w:val="24"/>
            <w:szCs w:val="24"/>
            <w:u w:val="single"/>
            <w:rtl w:val="0"/>
          </w:rPr>
          <w:t xml:space="preserve">BOE-A-2022-16019</w:t>
        </w:r>
      </w:hyperlink>
      <w:r w:rsidDel="00000000" w:rsidR="00000000" w:rsidRPr="00000000">
        <w:rPr>
          <w:rtl w:val="0"/>
        </w:rPr>
      </w:r>
    </w:p>
    <w:p w:rsidR="00000000" w:rsidDel="00000000" w:rsidP="00000000" w:rsidRDefault="00000000" w:rsidRPr="00000000" w14:paraId="00000067">
      <w:pPr>
        <w:spacing w:after="240" w:before="240" w:lineRule="auto"/>
        <w:rPr>
          <w:color w:val="ff0000"/>
          <w:sz w:val="24"/>
          <w:szCs w:val="24"/>
        </w:rPr>
      </w:pPr>
      <w:r w:rsidDel="00000000" w:rsidR="00000000" w:rsidRPr="00000000">
        <w:rPr>
          <w:color w:val="ff0000"/>
          <w:sz w:val="24"/>
          <w:szCs w:val="24"/>
          <w:u w:val="single"/>
          <w:rtl w:val="0"/>
        </w:rPr>
        <w:t xml:space="preserve">Colombie</w:t>
      </w:r>
      <w:r w:rsidDel="00000000" w:rsidR="00000000" w:rsidRPr="00000000">
        <w:rPr>
          <w:color w:val="ff0000"/>
          <w:sz w:val="24"/>
          <w:szCs w:val="24"/>
          <w:rtl w:val="0"/>
        </w:rPr>
        <w:br w:type="textWrapping"/>
        <w:t xml:space="preserve">La Cour constitutionnelle a ordonné la protection légale du fleuve Atrato. Deux tuteurs ont été désignés (un par l’État, un par les communautés ethniques locales) et sont assistés par un comité consultatif composé de chercheurs, ONG et comités techniques. Le rôle est encadré et supervisé par un panel d’experts.</w:t>
      </w:r>
    </w:p>
    <w:p w:rsidR="00000000" w:rsidDel="00000000" w:rsidP="00000000" w:rsidRDefault="00000000" w:rsidRPr="00000000" w14:paraId="00000068">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69">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6A">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6B">
      <w:pPr>
        <w:spacing w:after="240" w:before="240" w:lineRule="auto"/>
        <w:rPr>
          <w:color w:val="ff0000"/>
          <w:sz w:val="24"/>
          <w:szCs w:val="24"/>
        </w:rPr>
      </w:pPr>
      <w:r w:rsidDel="00000000" w:rsidR="00000000" w:rsidRPr="00000000">
        <w:rPr>
          <w:rtl w:val="0"/>
        </w:rPr>
      </w:r>
    </w:p>
    <w:p w:rsidR="00000000" w:rsidDel="00000000" w:rsidP="00000000" w:rsidRDefault="00000000" w:rsidRPr="00000000" w14:paraId="0000006C">
      <w:pP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6D">
      <w:pPr>
        <w:spacing w:after="240" w:before="240" w:lineRule="auto"/>
        <w:rPr>
          <w:sz w:val="24"/>
          <w:szCs w:val="24"/>
          <w:highlight w:val="white"/>
        </w:rPr>
      </w:pPr>
      <w:r w:rsidDel="00000000" w:rsidR="00000000" w:rsidRPr="00000000">
        <w:rPr>
          <w:rtl w:val="0"/>
        </w:rPr>
      </w:r>
    </w:p>
    <w:p w:rsidR="00000000" w:rsidDel="00000000" w:rsidP="00000000" w:rsidRDefault="00000000" w:rsidRPr="00000000" w14:paraId="0000006E">
      <w:pPr>
        <w:spacing w:after="240" w:before="240" w:lineRule="auto"/>
        <w:jc w:val="center"/>
        <w:rPr>
          <w:b w:val="1"/>
          <w:bCs w:val="1"/>
          <w:highlight w:val="white"/>
        </w:rPr>
      </w:pPr>
      <w:r w:rsidDel="00000000" w:rsidR="00000000" w:rsidRPr="00000000">
        <w:rPr>
          <w:rtl w:val="0"/>
        </w:rPr>
      </w:r>
    </w:p>
    <w:p w:rsidR="00000000" w:rsidDel="00000000" w:rsidP="00000000" w:rsidRDefault="00000000" w:rsidRPr="00000000" w14:paraId="0000006F">
      <w:pPr>
        <w:spacing w:after="240" w:befor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SweetSansPro-LightItalic"/>
  <w:font w:name="Sweet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oe.es/diario_boe/txt.php?id=BOE-A-2022-16019"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legislation.govt.nz/act/public/2017/0007/latest/who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