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554A" w14:textId="77777777" w:rsidR="00303268" w:rsidRPr="00653ED3" w:rsidRDefault="00303268" w:rsidP="00303268">
      <w:pPr>
        <w:widowControl/>
        <w:tabs>
          <w:tab w:val="left" w:pos="6840"/>
          <w:tab w:val="right" w:pos="9360"/>
        </w:tabs>
        <w:rPr>
          <w:color w:val="000000" w:themeColor="text1"/>
        </w:rPr>
      </w:pPr>
      <w:r w:rsidRPr="000F0D03">
        <w:rPr>
          <w:b/>
          <w:sz w:val="28"/>
        </w:rPr>
        <w:t>CONTRACTS WITH THE BOARD</w:t>
      </w:r>
      <w:r w:rsidRPr="000F0D03">
        <w:rPr>
          <w:sz w:val="28"/>
        </w:rPr>
        <w:tab/>
      </w:r>
      <w:r w:rsidRPr="00653ED3">
        <w:rPr>
          <w:i/>
          <w:color w:val="000000" w:themeColor="text1"/>
          <w:sz w:val="20"/>
        </w:rPr>
        <w:t>Policy Code:</w:t>
      </w:r>
      <w:r w:rsidRPr="00653ED3">
        <w:rPr>
          <w:color w:val="000000" w:themeColor="text1"/>
          <w:sz w:val="20"/>
        </w:rPr>
        <w:tab/>
      </w:r>
      <w:r w:rsidRPr="00653ED3">
        <w:rPr>
          <w:b/>
          <w:color w:val="000000" w:themeColor="text1"/>
        </w:rPr>
        <w:t>6420</w:t>
      </w:r>
    </w:p>
    <w:p w14:paraId="48EDBFBD" w14:textId="77777777" w:rsidR="00303268" w:rsidRPr="00653ED3" w:rsidRDefault="00185AD2" w:rsidP="00303268">
      <w:pPr>
        <w:widowControl/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653ED3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1A065C" wp14:editId="3072DE73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943600" cy="0"/>
                <wp:effectExtent l="28575" t="34925" r="28575" b="317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AA4D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68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75lywEAAHsDAAAOAAAAZHJzL2Uyb0RvYy54bWysU01z2yAQvXem/4HhXktO66TRWM7BaXpx&#13;&#10;W8/E+QFrQBITYBnAlv3vu+CPpu2tUx0YYHcf771dzR8O1rC9ClGja/l0UnOmnECpXd/yl83Th8+c&#13;&#10;xQROgkGnWn5UkT8s3r+bj75RNzigkSowAnGxGX3Lh5R8U1VRDMpCnKBXjoIdBguJjqGvZICR0K2p&#13;&#10;bur6thoxSB9QqBjp9vEU5IuC33VKpB9dF1VipuXELZU1lHWb12oxh6YP4ActzjTgH1hY0I4evUI9&#13;&#10;QgK2C/ovKKtFwIhdmgi0FXadFqpoIDXT+g81zwN4VbSQOdFfbYr/D1Z8368D07LlM84cWGrRSjvF&#13;&#10;7rIzo48NJSzdOmRt4uCe/QrFa2QOlwO4XhWGm6OnsmmuqH4ryYfoCX87fkNJObBLWGw6dMFmSDKA&#13;&#10;HUo3jtduqENigi5n958+3tbUNHGJVdBcCn2I6atCy/Km5YY4F2DYr2LKRKC5pOR3HD5pY0qzjWMj&#13;&#10;gd9NZxnaepKeBu02NACvBSKi0TKn58IY+u3SBLaHPEDlKzop8jYt4M7JAj8okF/O+wTanPZEx7iz&#13;&#10;PdmRk7dblMd1uNhGHS68z9OYR+jtuVT/+mcWPwEAAP//AwBQSwMEFAAGAAgAAAAhAInaC3beAAAA&#13;&#10;CQEAAA8AAABkcnMvZG93bnJldi54bWxMT01PwkAQvZPwHzZD4oXIVkmwlm6JQb14IAE86G3pjm1j&#13;&#10;d7bsLrT66x286GVmXl7mfeSrwbbijD40jhTczBIQSKUzDVUKXvfP1ymIEDUZ3TpCBV8YYFWMR7nO&#13;&#10;jOtpi+ddrASLUMi0gjrGLpMylDVaHWauQ2Luw3mrI0NfSeN1z+K2lbdJspBWN8QOte5wXWP5uTtZ&#13;&#10;BWYbwtN6SL/nG/9yPL6l0/d+P1XqajI8Lnk8LEFEHOLfB1w6cH4oONjBncgE0SrgNlHBHS8m7+cL&#13;&#10;Pg6/WBa5/N+g+AEAAP//AwBQSwECLQAUAAYACAAAACEAtoM4kv4AAADhAQAAEwAAAAAAAAAAAAAA&#13;&#10;AAAAAAAAW0NvbnRlbnRfVHlwZXNdLnhtbFBLAQItABQABgAIAAAAIQA4/SH/1gAAAJQBAAALAAAA&#13;&#10;AAAAAAAAAAAAAC8BAABfcmVscy8ucmVsc1BLAQItABQABgAIAAAAIQDZr75lywEAAHsDAAAOAAAA&#13;&#10;AAAAAAAAAAAAAC4CAABkcnMvZTJvRG9jLnhtbFBLAQItABQABgAIAAAAIQCJ2gt23gAAAAkBAAAP&#13;&#10;AAAAAAAAAAAAAAAAACUEAABkcnMvZG93bnJldi54bWxQSwUGAAAAAAQABADzAAAAMAUAAAAA&#13;&#10;" o:allowincell="f" strokeweight="4.5pt">
                <v:stroke linestyle="thinThick"/>
              </v:line>
            </w:pict>
          </mc:Fallback>
        </mc:AlternateContent>
      </w:r>
    </w:p>
    <w:p w14:paraId="63E196EA" w14:textId="77777777" w:rsidR="00303268" w:rsidRPr="00653ED3" w:rsidRDefault="00303268" w:rsidP="0030326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6067865E" w14:textId="77777777" w:rsidR="00346D7E" w:rsidRPr="00653ED3" w:rsidRDefault="00346D7E" w:rsidP="00303268">
      <w:pPr>
        <w:widowControl/>
        <w:tabs>
          <w:tab w:val="left" w:pos="-1440"/>
        </w:tabs>
        <w:jc w:val="both"/>
        <w:rPr>
          <w:color w:val="000000" w:themeColor="text1"/>
        </w:rPr>
        <w:sectPr w:rsidR="00346D7E" w:rsidRPr="00653ED3" w:rsidSect="0074515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9AAB8C" w14:textId="77777777" w:rsidR="00303268" w:rsidRPr="00653ED3" w:rsidRDefault="00303268" w:rsidP="0030326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EB40D2D" w14:textId="5A4A89ED" w:rsidR="00303268" w:rsidRPr="00653ED3" w:rsidRDefault="00303268" w:rsidP="00303268">
      <w:pPr>
        <w:pStyle w:val="BodyText"/>
        <w:rPr>
          <w:rFonts w:ascii="Times New Roman" w:hAnsi="Times New Roman"/>
          <w:color w:val="000000" w:themeColor="text1"/>
        </w:rPr>
      </w:pPr>
      <w:r w:rsidRPr="00653ED3">
        <w:rPr>
          <w:rFonts w:ascii="Times New Roman" w:hAnsi="Times New Roman"/>
          <w:color w:val="000000" w:themeColor="text1"/>
        </w:rPr>
        <w:t xml:space="preserve">The board is the sole </w:t>
      </w:r>
      <w:r w:rsidR="009969ED" w:rsidRPr="00653ED3">
        <w:rPr>
          <w:rFonts w:ascii="Times New Roman" w:hAnsi="Times New Roman"/>
          <w:color w:val="000000" w:themeColor="text1"/>
        </w:rPr>
        <w:t xml:space="preserve">entity </w:t>
      </w:r>
      <w:r w:rsidRPr="00653ED3">
        <w:rPr>
          <w:rFonts w:ascii="Times New Roman" w:hAnsi="Times New Roman"/>
          <w:color w:val="000000" w:themeColor="text1"/>
        </w:rPr>
        <w:t>authorized to execute formal contracts between the school and any firm or person offering to provide materials, equipment</w:t>
      </w:r>
      <w:r w:rsidR="0092524F" w:rsidRPr="00653ED3">
        <w:rPr>
          <w:rFonts w:ascii="Times New Roman" w:hAnsi="Times New Roman"/>
          <w:color w:val="000000" w:themeColor="text1"/>
        </w:rPr>
        <w:t xml:space="preserve">, </w:t>
      </w:r>
      <w:r w:rsidRPr="00653ED3">
        <w:rPr>
          <w:rFonts w:ascii="Times New Roman" w:hAnsi="Times New Roman"/>
          <w:color w:val="000000" w:themeColor="text1"/>
        </w:rPr>
        <w:t xml:space="preserve">or services to the school.  Creditors are on notice that the board may choose not to honor contracts </w:t>
      </w:r>
      <w:proofErr w:type="gramStart"/>
      <w:r w:rsidR="009969ED" w:rsidRPr="00653ED3">
        <w:rPr>
          <w:rFonts w:ascii="Times New Roman" w:hAnsi="Times New Roman"/>
          <w:color w:val="000000" w:themeColor="text1"/>
        </w:rPr>
        <w:t>entered into</w:t>
      </w:r>
      <w:proofErr w:type="gramEnd"/>
      <w:r w:rsidR="009969ED" w:rsidRPr="00653ED3">
        <w:rPr>
          <w:rFonts w:ascii="Times New Roman" w:hAnsi="Times New Roman"/>
          <w:color w:val="000000" w:themeColor="text1"/>
        </w:rPr>
        <w:t xml:space="preserve"> by school officials without au</w:t>
      </w:r>
      <w:r w:rsidR="00D250FF" w:rsidRPr="00653ED3">
        <w:rPr>
          <w:rFonts w:ascii="Times New Roman" w:hAnsi="Times New Roman"/>
          <w:color w:val="000000" w:themeColor="text1"/>
        </w:rPr>
        <w:t>thority to enter into contracts.</w:t>
      </w:r>
    </w:p>
    <w:p w14:paraId="2C6A3FCE" w14:textId="77777777" w:rsidR="00303268" w:rsidRPr="00653ED3" w:rsidRDefault="00303268" w:rsidP="0030326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31E8E1E" w14:textId="77777777" w:rsidR="00303268" w:rsidRPr="00653ED3" w:rsidRDefault="00303268" w:rsidP="002556A8">
      <w:pPr>
        <w:pStyle w:val="ListParagraph"/>
        <w:widowControl/>
        <w:numPr>
          <w:ilvl w:val="0"/>
          <w:numId w:val="13"/>
        </w:num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653ED3">
        <w:rPr>
          <w:b/>
          <w:smallCaps/>
          <w:color w:val="000000" w:themeColor="text1"/>
        </w:rPr>
        <w:t>Authorization to Enter into Contracts</w:t>
      </w:r>
    </w:p>
    <w:p w14:paraId="463EC4ED" w14:textId="77777777" w:rsidR="00303268" w:rsidRPr="00653ED3" w:rsidRDefault="00303268" w:rsidP="00F27D00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7115A27F" w14:textId="4FC59C77" w:rsidR="00B91C93" w:rsidRPr="00653ED3" w:rsidRDefault="00303268" w:rsidP="00B91C93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653ED3">
        <w:rPr>
          <w:color w:val="000000" w:themeColor="text1"/>
        </w:rPr>
        <w:t xml:space="preserve">No contract requiring the expenditure of funds </w:t>
      </w:r>
      <w:r w:rsidR="00C3059C" w:rsidRPr="00653ED3">
        <w:rPr>
          <w:color w:val="000000" w:themeColor="text1"/>
        </w:rPr>
        <w:t xml:space="preserve">may </w:t>
      </w:r>
      <w:r w:rsidRPr="00653ED3">
        <w:rPr>
          <w:color w:val="000000" w:themeColor="text1"/>
        </w:rPr>
        <w:t xml:space="preserve">be </w:t>
      </w:r>
      <w:r w:rsidR="00430A17" w:rsidRPr="00653ED3">
        <w:rPr>
          <w:color w:val="000000" w:themeColor="text1"/>
        </w:rPr>
        <w:t>entered into</w:t>
      </w:r>
      <w:r w:rsidRPr="00653ED3">
        <w:rPr>
          <w:color w:val="000000" w:themeColor="text1"/>
        </w:rPr>
        <w:t xml:space="preserve"> unless the budget resolution adopted pursuant to policy 8110, Budget Resolution, authorizes the expense and there is a sufficient unencumbered balance to pay the amount to be disbursed. </w:t>
      </w:r>
      <w:r w:rsidR="00B37C99" w:rsidRPr="00653ED3">
        <w:rPr>
          <w:color w:val="000000" w:themeColor="text1"/>
        </w:rPr>
        <w:t xml:space="preserve"> </w:t>
      </w:r>
      <w:r w:rsidRPr="00653ED3">
        <w:rPr>
          <w:color w:val="000000" w:themeColor="text1"/>
        </w:rPr>
        <w:t>(See policy 6421, Pre</w:t>
      </w:r>
      <w:r w:rsidR="00480304" w:rsidRPr="00653ED3">
        <w:rPr>
          <w:color w:val="000000" w:themeColor="text1"/>
        </w:rPr>
        <w:t>a</w:t>
      </w:r>
      <w:r w:rsidRPr="00653ED3">
        <w:rPr>
          <w:color w:val="000000" w:themeColor="text1"/>
        </w:rPr>
        <w:t xml:space="preserve">udit </w:t>
      </w:r>
      <w:r w:rsidR="00480304" w:rsidRPr="00653ED3">
        <w:rPr>
          <w:color w:val="000000" w:themeColor="text1"/>
        </w:rPr>
        <w:t xml:space="preserve">and Disbursement </w:t>
      </w:r>
      <w:r w:rsidRPr="00653ED3">
        <w:rPr>
          <w:color w:val="000000" w:themeColor="text1"/>
        </w:rPr>
        <w:t>Certification</w:t>
      </w:r>
      <w:r w:rsidR="00480304" w:rsidRPr="00653ED3">
        <w:rPr>
          <w:color w:val="000000" w:themeColor="text1"/>
        </w:rPr>
        <w:t>s</w:t>
      </w:r>
      <w:r w:rsidRPr="00653ED3">
        <w:rPr>
          <w:color w:val="000000" w:themeColor="text1"/>
        </w:rPr>
        <w:t xml:space="preserve">.)  </w:t>
      </w:r>
      <w:r w:rsidR="00B91C93" w:rsidRPr="00653ED3">
        <w:rPr>
          <w:color w:val="000000" w:themeColor="text1"/>
        </w:rPr>
        <w:t xml:space="preserve">No contract may be entered into with a </w:t>
      </w:r>
      <w:r w:rsidR="005F4E93" w:rsidRPr="00653ED3">
        <w:rPr>
          <w:color w:val="000000" w:themeColor="text1"/>
        </w:rPr>
        <w:t xml:space="preserve">restricted </w:t>
      </w:r>
      <w:r w:rsidR="00E94EA7" w:rsidRPr="00653ED3">
        <w:rPr>
          <w:color w:val="000000" w:themeColor="text1"/>
        </w:rPr>
        <w:t>company</w:t>
      </w:r>
      <w:r w:rsidR="005F4E93" w:rsidRPr="00653ED3">
        <w:rPr>
          <w:color w:val="000000" w:themeColor="text1"/>
        </w:rPr>
        <w:t>, as listed by</w:t>
      </w:r>
      <w:r w:rsidR="00B91C93" w:rsidRPr="00653ED3">
        <w:rPr>
          <w:color w:val="000000" w:themeColor="text1"/>
        </w:rPr>
        <w:t xml:space="preserve"> the state treasurer</w:t>
      </w:r>
      <w:r w:rsidR="005F4E93" w:rsidRPr="00653ED3">
        <w:rPr>
          <w:color w:val="000000" w:themeColor="text1"/>
        </w:rPr>
        <w:t xml:space="preserve"> in accordance with G.S. 147, art. 6E or 6G, </w:t>
      </w:r>
      <w:r w:rsidR="00B91C93" w:rsidRPr="00653ED3">
        <w:rPr>
          <w:color w:val="000000" w:themeColor="text1"/>
        </w:rPr>
        <w:t xml:space="preserve">except as permitted by </w:t>
      </w:r>
      <w:r w:rsidR="005F4E93" w:rsidRPr="00653ED3">
        <w:rPr>
          <w:color w:val="000000" w:themeColor="text1"/>
        </w:rPr>
        <w:t>those laws</w:t>
      </w:r>
      <w:r w:rsidR="00B91C93" w:rsidRPr="00653ED3">
        <w:rPr>
          <w:color w:val="000000" w:themeColor="text1"/>
        </w:rPr>
        <w:t xml:space="preserve">. </w:t>
      </w:r>
    </w:p>
    <w:p w14:paraId="6607D048" w14:textId="77777777" w:rsidR="00B91C93" w:rsidRPr="00653ED3" w:rsidRDefault="00B91C93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54CE3498" w14:textId="49E9E0D2" w:rsidR="00303268" w:rsidRPr="00653ED3" w:rsidRDefault="00303268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653ED3">
        <w:rPr>
          <w:color w:val="000000" w:themeColor="text1"/>
        </w:rPr>
        <w:t>Any contract involving expenditures in excess of</w:t>
      </w:r>
      <w:r w:rsidR="00653ED3" w:rsidRPr="00653ED3">
        <w:rPr>
          <w:color w:val="000000" w:themeColor="text1"/>
        </w:rPr>
        <w:t xml:space="preserve"> </w:t>
      </w:r>
      <w:r w:rsidR="00D47CDF" w:rsidRPr="00653ED3">
        <w:rPr>
          <w:color w:val="000000" w:themeColor="text1"/>
        </w:rPr>
        <w:t xml:space="preserve">$30,000 </w:t>
      </w:r>
      <w:r w:rsidRPr="00653ED3">
        <w:rPr>
          <w:color w:val="000000" w:themeColor="text1"/>
        </w:rPr>
        <w:t>must be reviewed by the board attorney and approved in advance by the board</w:t>
      </w:r>
      <w:r w:rsidR="00F27D00" w:rsidRPr="00653ED3">
        <w:rPr>
          <w:color w:val="000000" w:themeColor="text1"/>
        </w:rPr>
        <w:t xml:space="preserve"> </w:t>
      </w:r>
      <w:r w:rsidR="0062010D" w:rsidRPr="00653ED3">
        <w:rPr>
          <w:color w:val="000000" w:themeColor="text1"/>
        </w:rPr>
        <w:t>unless provided otherwise in board policy</w:t>
      </w:r>
      <w:r w:rsidRPr="00653ED3">
        <w:rPr>
          <w:color w:val="000000" w:themeColor="text1"/>
        </w:rPr>
        <w:t xml:space="preserve">. </w:t>
      </w:r>
      <w:r w:rsidR="00531A02" w:rsidRPr="00653ED3">
        <w:rPr>
          <w:color w:val="000000" w:themeColor="text1"/>
        </w:rPr>
        <w:t xml:space="preserve"> </w:t>
      </w:r>
      <w:r w:rsidR="00FA7342" w:rsidRPr="00653ED3">
        <w:rPr>
          <w:color w:val="000000" w:themeColor="text1"/>
        </w:rPr>
        <w:t>(Approval requirements for construction and repair contracts are established in policy 9120, Bidding for Construction Work.)</w:t>
      </w:r>
      <w:r w:rsidR="0062010D" w:rsidRPr="00653ED3">
        <w:rPr>
          <w:color w:val="000000" w:themeColor="text1"/>
        </w:rPr>
        <w:t xml:space="preserve"> </w:t>
      </w:r>
      <w:r w:rsidR="00531A02" w:rsidRPr="00653ED3">
        <w:rPr>
          <w:color w:val="000000" w:themeColor="text1"/>
        </w:rPr>
        <w:t xml:space="preserve"> </w:t>
      </w:r>
      <w:r w:rsidRPr="00653ED3">
        <w:rPr>
          <w:color w:val="000000" w:themeColor="text1"/>
        </w:rPr>
        <w:t>Unless otherwise</w:t>
      </w:r>
      <w:r w:rsidR="0062010D" w:rsidRPr="00653ED3">
        <w:rPr>
          <w:color w:val="000000" w:themeColor="text1"/>
        </w:rPr>
        <w:t xml:space="preserve"> </w:t>
      </w:r>
      <w:r w:rsidRPr="00653ED3">
        <w:rPr>
          <w:color w:val="000000" w:themeColor="text1"/>
        </w:rPr>
        <w:t xml:space="preserve">prohibited by statute or regulation, </w:t>
      </w:r>
      <w:r w:rsidR="00924426" w:rsidRPr="00653ED3">
        <w:rPr>
          <w:color w:val="000000" w:themeColor="text1"/>
        </w:rPr>
        <w:t xml:space="preserve">the </w:t>
      </w:r>
      <w:r w:rsidR="00127646" w:rsidRPr="00653ED3">
        <w:rPr>
          <w:color w:val="000000" w:themeColor="text1"/>
          <w:szCs w:val="24"/>
        </w:rPr>
        <w:t>executive director</w:t>
      </w:r>
      <w:r w:rsidRPr="00653ED3">
        <w:rPr>
          <w:color w:val="000000" w:themeColor="text1"/>
        </w:rPr>
        <w:t xml:space="preserve"> is authorized to </w:t>
      </w:r>
      <w:proofErr w:type="gramStart"/>
      <w:r w:rsidRPr="00653ED3">
        <w:rPr>
          <w:color w:val="000000" w:themeColor="text1"/>
        </w:rPr>
        <w:t>enter into</w:t>
      </w:r>
      <w:proofErr w:type="gramEnd"/>
      <w:r w:rsidRPr="00653ED3">
        <w:rPr>
          <w:color w:val="000000" w:themeColor="text1"/>
        </w:rPr>
        <w:t xml:space="preserve"> contracts or approve </w:t>
      </w:r>
      <w:r w:rsidR="00D03079" w:rsidRPr="00653ED3">
        <w:rPr>
          <w:color w:val="000000" w:themeColor="text1"/>
        </w:rPr>
        <w:t xml:space="preserve">amendments to contracts </w:t>
      </w:r>
      <w:r w:rsidR="00892D12" w:rsidRPr="00653ED3">
        <w:rPr>
          <w:color w:val="000000" w:themeColor="text1"/>
        </w:rPr>
        <w:t>for materials, equipment, supplies</w:t>
      </w:r>
      <w:r w:rsidR="004C4608" w:rsidRPr="00653ED3">
        <w:rPr>
          <w:color w:val="000000" w:themeColor="text1"/>
        </w:rPr>
        <w:t>, or services</w:t>
      </w:r>
      <w:r w:rsidR="00892D12" w:rsidRPr="00653ED3">
        <w:rPr>
          <w:color w:val="000000" w:themeColor="text1"/>
        </w:rPr>
        <w:t xml:space="preserve"> </w:t>
      </w:r>
      <w:r w:rsidRPr="00653ED3">
        <w:rPr>
          <w:color w:val="000000" w:themeColor="text1"/>
        </w:rPr>
        <w:t xml:space="preserve">involving </w:t>
      </w:r>
      <w:r w:rsidR="00F20E6A" w:rsidRPr="00653ED3">
        <w:rPr>
          <w:color w:val="000000" w:themeColor="text1"/>
        </w:rPr>
        <w:t xml:space="preserve">amounts up to </w:t>
      </w:r>
      <w:r w:rsidR="00D47CDF" w:rsidRPr="00653ED3">
        <w:rPr>
          <w:color w:val="000000" w:themeColor="text1"/>
        </w:rPr>
        <w:t>$30,000</w:t>
      </w:r>
      <w:r w:rsidR="00745CDB" w:rsidRPr="00653ED3">
        <w:rPr>
          <w:color w:val="000000" w:themeColor="text1"/>
          <w:szCs w:val="24"/>
        </w:rPr>
        <w:t>.</w:t>
      </w:r>
      <w:r w:rsidR="00F27D00" w:rsidRPr="00653ED3">
        <w:rPr>
          <w:color w:val="000000" w:themeColor="text1"/>
          <w:szCs w:val="24"/>
        </w:rPr>
        <w:t xml:space="preserve">  </w:t>
      </w:r>
      <w:r w:rsidR="0062010D" w:rsidRPr="00653ED3">
        <w:rPr>
          <w:color w:val="000000" w:themeColor="text1"/>
          <w:szCs w:val="24"/>
        </w:rPr>
        <w:t>However, c</w:t>
      </w:r>
      <w:r w:rsidR="00D03079" w:rsidRPr="00653ED3">
        <w:rPr>
          <w:color w:val="000000" w:themeColor="text1"/>
          <w:szCs w:val="24"/>
        </w:rPr>
        <w:t xml:space="preserve">hange orders for construction and repair contracts are subject to the requirements of </w:t>
      </w:r>
      <w:r w:rsidR="00E454C8" w:rsidRPr="00653ED3">
        <w:rPr>
          <w:color w:val="000000" w:themeColor="text1"/>
          <w:szCs w:val="24"/>
        </w:rPr>
        <w:t>policy 9030</w:t>
      </w:r>
      <w:r w:rsidR="00552FF8" w:rsidRPr="00653ED3">
        <w:rPr>
          <w:color w:val="000000" w:themeColor="text1"/>
          <w:szCs w:val="24"/>
        </w:rPr>
        <w:t>, Facility Construction</w:t>
      </w:r>
      <w:r w:rsidR="0062010D" w:rsidRPr="00653ED3">
        <w:rPr>
          <w:color w:val="000000" w:themeColor="text1"/>
          <w:szCs w:val="24"/>
        </w:rPr>
        <w:t>, not this provision</w:t>
      </w:r>
      <w:r w:rsidR="00E454C8" w:rsidRPr="00653ED3">
        <w:rPr>
          <w:color w:val="000000" w:themeColor="text1"/>
          <w:szCs w:val="24"/>
        </w:rPr>
        <w:t>.</w:t>
      </w:r>
      <w:r w:rsidR="00D03079" w:rsidRPr="00653ED3">
        <w:rPr>
          <w:color w:val="000000" w:themeColor="text1"/>
          <w:szCs w:val="24"/>
        </w:rPr>
        <w:t xml:space="preserve">    </w:t>
      </w:r>
    </w:p>
    <w:p w14:paraId="05C48E47" w14:textId="77777777" w:rsidR="00303268" w:rsidRPr="00653ED3" w:rsidRDefault="00303268" w:rsidP="00F27D00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6FFF15D5" w14:textId="49B5F5D2" w:rsidR="00270BEF" w:rsidRPr="00653ED3" w:rsidRDefault="00270BEF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653ED3">
        <w:rPr>
          <w:color w:val="000000" w:themeColor="text1"/>
          <w:szCs w:val="24"/>
        </w:rPr>
        <w:t>A</w:t>
      </w:r>
      <w:r w:rsidR="00766764" w:rsidRPr="00653ED3">
        <w:rPr>
          <w:color w:val="000000" w:themeColor="text1"/>
          <w:szCs w:val="24"/>
        </w:rPr>
        <w:t xml:space="preserve">t least monthly, the </w:t>
      </w:r>
      <w:r w:rsidR="00127646" w:rsidRPr="00653ED3">
        <w:rPr>
          <w:color w:val="000000" w:themeColor="text1"/>
          <w:szCs w:val="24"/>
        </w:rPr>
        <w:t xml:space="preserve">executive director </w:t>
      </w:r>
      <w:r w:rsidR="00766764" w:rsidRPr="00653ED3">
        <w:rPr>
          <w:color w:val="000000" w:themeColor="text1"/>
          <w:szCs w:val="24"/>
        </w:rPr>
        <w:t xml:space="preserve">shall report to the board all contracts and contract amendments approved </w:t>
      </w:r>
      <w:r w:rsidR="00420E9F" w:rsidRPr="00653ED3">
        <w:rPr>
          <w:color w:val="000000" w:themeColor="text1"/>
          <w:szCs w:val="24"/>
        </w:rPr>
        <w:t>by the</w:t>
      </w:r>
      <w:r w:rsidR="00127646" w:rsidRPr="00653ED3">
        <w:rPr>
          <w:color w:val="000000" w:themeColor="text1"/>
          <w:szCs w:val="24"/>
        </w:rPr>
        <w:t xml:space="preserve"> executive director</w:t>
      </w:r>
      <w:r w:rsidR="00E05643" w:rsidRPr="00653ED3">
        <w:rPr>
          <w:color w:val="000000" w:themeColor="text1"/>
          <w:szCs w:val="24"/>
        </w:rPr>
        <w:t xml:space="preserve"> </w:t>
      </w:r>
      <w:r w:rsidR="00766764" w:rsidRPr="00653ED3">
        <w:rPr>
          <w:color w:val="000000" w:themeColor="text1"/>
          <w:szCs w:val="24"/>
        </w:rPr>
        <w:t xml:space="preserve">under this policy that exceed </w:t>
      </w:r>
      <w:r w:rsidR="00D47CDF" w:rsidRPr="00653ED3">
        <w:rPr>
          <w:color w:val="000000" w:themeColor="text1"/>
        </w:rPr>
        <w:t>$20,000</w:t>
      </w:r>
      <w:r w:rsidR="00766764" w:rsidRPr="00653ED3">
        <w:rPr>
          <w:color w:val="000000" w:themeColor="text1"/>
          <w:szCs w:val="24"/>
        </w:rPr>
        <w:t>.</w:t>
      </w:r>
      <w:r w:rsidRPr="00653ED3">
        <w:rPr>
          <w:color w:val="000000" w:themeColor="text1"/>
          <w:szCs w:val="24"/>
        </w:rPr>
        <w:t xml:space="preserve">  </w:t>
      </w:r>
    </w:p>
    <w:p w14:paraId="27F57355" w14:textId="77777777" w:rsidR="00303268" w:rsidRPr="00653ED3" w:rsidRDefault="00303268" w:rsidP="00F27D00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0E565BC6" w14:textId="77777777" w:rsidR="00303268" w:rsidRPr="00653ED3" w:rsidRDefault="00303268" w:rsidP="00420E9F">
      <w:pPr>
        <w:pStyle w:val="ListParagraph"/>
        <w:widowControl/>
        <w:numPr>
          <w:ilvl w:val="0"/>
          <w:numId w:val="13"/>
        </w:num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653ED3">
        <w:rPr>
          <w:b/>
          <w:smallCaps/>
          <w:color w:val="000000" w:themeColor="text1"/>
        </w:rPr>
        <w:t>Contract Forms</w:t>
      </w:r>
    </w:p>
    <w:p w14:paraId="220B70E1" w14:textId="77777777" w:rsidR="00303268" w:rsidRPr="00653ED3" w:rsidRDefault="00303268" w:rsidP="00F27D00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2BF63930" w14:textId="615F627A" w:rsidR="00303268" w:rsidRPr="00653ED3" w:rsidRDefault="008E3BB5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653ED3">
        <w:rPr>
          <w:color w:val="000000" w:themeColor="text1"/>
        </w:rPr>
        <w:t>The board attorney shall review a</w:t>
      </w:r>
      <w:r w:rsidR="00303268" w:rsidRPr="00653ED3">
        <w:rPr>
          <w:color w:val="000000" w:themeColor="text1"/>
        </w:rPr>
        <w:t xml:space="preserve">ny contract forms developed for use by </w:t>
      </w:r>
      <w:r w:rsidR="006860F0" w:rsidRPr="00653ED3">
        <w:rPr>
          <w:color w:val="000000" w:themeColor="text1"/>
        </w:rPr>
        <w:t>NERSBA</w:t>
      </w:r>
      <w:r w:rsidR="00303268" w:rsidRPr="00653ED3">
        <w:rPr>
          <w:color w:val="000000" w:themeColor="text1"/>
        </w:rPr>
        <w:t>.</w:t>
      </w:r>
    </w:p>
    <w:p w14:paraId="1FFCAAED" w14:textId="77777777" w:rsidR="00303268" w:rsidRPr="00653ED3" w:rsidRDefault="00303268" w:rsidP="00F27D00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3B35FA53" w14:textId="77777777" w:rsidR="00303268" w:rsidRPr="00653ED3" w:rsidRDefault="00303268" w:rsidP="002556A8">
      <w:pPr>
        <w:pStyle w:val="ListParagraph"/>
        <w:widowControl/>
        <w:numPr>
          <w:ilvl w:val="0"/>
          <w:numId w:val="13"/>
        </w:num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653ED3">
        <w:rPr>
          <w:b/>
          <w:smallCaps/>
          <w:color w:val="000000" w:themeColor="text1"/>
        </w:rPr>
        <w:t>Lease Purchase Contracts</w:t>
      </w:r>
    </w:p>
    <w:p w14:paraId="20D10CC8" w14:textId="77777777" w:rsidR="00303268" w:rsidRPr="00653ED3" w:rsidRDefault="00303268" w:rsidP="00F27D00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0EE42B34" w14:textId="58CD7BF5" w:rsidR="00303268" w:rsidRPr="00653ED3" w:rsidRDefault="008E3BB5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653ED3">
        <w:rPr>
          <w:color w:val="000000" w:themeColor="text1"/>
        </w:rPr>
        <w:t xml:space="preserve">The </w:t>
      </w:r>
      <w:r w:rsidR="009E4DBE" w:rsidRPr="00653ED3">
        <w:rPr>
          <w:color w:val="000000" w:themeColor="text1"/>
        </w:rPr>
        <w:t>fiscal agent</w:t>
      </w:r>
      <w:r w:rsidRPr="00653ED3">
        <w:rPr>
          <w:color w:val="000000" w:themeColor="text1"/>
        </w:rPr>
        <w:t xml:space="preserve"> must approve a</w:t>
      </w:r>
      <w:r w:rsidR="00303268" w:rsidRPr="00653ED3">
        <w:rPr>
          <w:color w:val="000000" w:themeColor="text1"/>
        </w:rPr>
        <w:t xml:space="preserve">ny request to enter lease purchase contracts as authorized by G.S. 115C-528, regardless of </w:t>
      </w:r>
      <w:r w:rsidR="00F378DA" w:rsidRPr="00653ED3">
        <w:rPr>
          <w:color w:val="000000" w:themeColor="text1"/>
        </w:rPr>
        <w:t xml:space="preserve">the </w:t>
      </w:r>
      <w:r w:rsidR="00303268" w:rsidRPr="00653ED3">
        <w:rPr>
          <w:color w:val="000000" w:themeColor="text1"/>
        </w:rPr>
        <w:t xml:space="preserve">dollar amount.  After considering the principal and amount of interest, the </w:t>
      </w:r>
      <w:r w:rsidR="00127646" w:rsidRPr="00653ED3">
        <w:rPr>
          <w:color w:val="000000" w:themeColor="text1"/>
          <w:szCs w:val="24"/>
        </w:rPr>
        <w:t xml:space="preserve">executive director </w:t>
      </w:r>
      <w:r w:rsidR="00303268" w:rsidRPr="00653ED3">
        <w:rPr>
          <w:color w:val="000000" w:themeColor="text1"/>
        </w:rPr>
        <w:t>must determine that the lease purchase is a fiscally prudent choice that is consistent with board policy.</w:t>
      </w:r>
    </w:p>
    <w:p w14:paraId="625A157F" w14:textId="77777777" w:rsidR="00303268" w:rsidRPr="00653ED3" w:rsidRDefault="00303268" w:rsidP="00F27D00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34F79E67" w14:textId="745EFBD2" w:rsidR="00303268" w:rsidRPr="00653ED3" w:rsidRDefault="00303268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653ED3">
        <w:rPr>
          <w:color w:val="000000" w:themeColor="text1"/>
        </w:rPr>
        <w:t xml:space="preserve">The </w:t>
      </w:r>
      <w:r w:rsidR="009E4DBE" w:rsidRPr="00653ED3">
        <w:rPr>
          <w:color w:val="000000" w:themeColor="text1"/>
        </w:rPr>
        <w:t>fiscal agent</w:t>
      </w:r>
      <w:r w:rsidRPr="00653ED3">
        <w:rPr>
          <w:color w:val="000000" w:themeColor="text1"/>
        </w:rPr>
        <w:t xml:space="preserve"> </w:t>
      </w:r>
      <w:r w:rsidR="008E3BB5" w:rsidRPr="00653ED3">
        <w:rPr>
          <w:color w:val="000000" w:themeColor="text1"/>
        </w:rPr>
        <w:t xml:space="preserve">shall </w:t>
      </w:r>
      <w:r w:rsidRPr="00653ED3">
        <w:rPr>
          <w:color w:val="000000" w:themeColor="text1"/>
        </w:rPr>
        <w:t>provide the board with periodic reports on lease purchase contracts, including the amount of the principal, interest paid</w:t>
      </w:r>
      <w:r w:rsidR="0092524F" w:rsidRPr="00653ED3">
        <w:rPr>
          <w:color w:val="000000" w:themeColor="text1"/>
        </w:rPr>
        <w:t>,</w:t>
      </w:r>
      <w:r w:rsidRPr="00653ED3">
        <w:rPr>
          <w:color w:val="000000" w:themeColor="text1"/>
        </w:rPr>
        <w:t xml:space="preserve"> and the amount of the outstanding obligation.</w:t>
      </w:r>
    </w:p>
    <w:p w14:paraId="1A849329" w14:textId="77777777" w:rsidR="00303268" w:rsidRPr="00653ED3" w:rsidRDefault="00303268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6B0E5925" w14:textId="77777777" w:rsidR="00303268" w:rsidRPr="00653ED3" w:rsidRDefault="00303268" w:rsidP="002556A8">
      <w:pPr>
        <w:pStyle w:val="ListParagraph"/>
        <w:widowControl/>
        <w:numPr>
          <w:ilvl w:val="0"/>
          <w:numId w:val="13"/>
        </w:numPr>
        <w:tabs>
          <w:tab w:val="left" w:pos="-1440"/>
        </w:tabs>
        <w:ind w:left="720" w:hanging="720"/>
        <w:jc w:val="both"/>
        <w:rPr>
          <w:color w:val="000000" w:themeColor="text1"/>
        </w:rPr>
      </w:pPr>
      <w:r w:rsidRPr="00653ED3">
        <w:rPr>
          <w:b/>
          <w:smallCaps/>
          <w:color w:val="000000" w:themeColor="text1"/>
        </w:rPr>
        <w:t>Other Applicable Policies and Laws</w:t>
      </w:r>
    </w:p>
    <w:p w14:paraId="207EC4B3" w14:textId="77777777" w:rsidR="00303268" w:rsidRPr="00653ED3" w:rsidRDefault="00303268" w:rsidP="00F27D00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3A4CBC01" w14:textId="77777777" w:rsidR="0080189B" w:rsidRPr="00653ED3" w:rsidRDefault="00303268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653ED3">
        <w:rPr>
          <w:color w:val="000000" w:themeColor="text1"/>
        </w:rPr>
        <w:lastRenderedPageBreak/>
        <w:t xml:space="preserve">Purchases </w:t>
      </w:r>
      <w:r w:rsidR="0080189B" w:rsidRPr="00653ED3">
        <w:rPr>
          <w:color w:val="000000" w:themeColor="text1"/>
        </w:rPr>
        <w:t xml:space="preserve">may </w:t>
      </w:r>
      <w:r w:rsidRPr="00653ED3">
        <w:rPr>
          <w:color w:val="000000" w:themeColor="text1"/>
        </w:rPr>
        <w:t xml:space="preserve">be made </w:t>
      </w:r>
      <w:r w:rsidR="0080189B" w:rsidRPr="00653ED3">
        <w:rPr>
          <w:color w:val="000000" w:themeColor="text1"/>
        </w:rPr>
        <w:t xml:space="preserve">through </w:t>
      </w:r>
      <w:r w:rsidRPr="00653ED3">
        <w:rPr>
          <w:color w:val="000000" w:themeColor="text1"/>
        </w:rPr>
        <w:t>the State Division of Purchase and Contract</w:t>
      </w:r>
      <w:r w:rsidR="0080189B" w:rsidRPr="00653ED3">
        <w:rPr>
          <w:color w:val="000000" w:themeColor="text1"/>
        </w:rPr>
        <w:t xml:space="preserve"> in accordance with the Division’s rules and regulations</w:t>
      </w:r>
      <w:r w:rsidR="00A9135A" w:rsidRPr="00653ED3">
        <w:rPr>
          <w:color w:val="000000" w:themeColor="text1"/>
        </w:rPr>
        <w:t>,</w:t>
      </w:r>
      <w:r w:rsidR="0080189B" w:rsidRPr="00653ED3">
        <w:rPr>
          <w:color w:val="000000" w:themeColor="text1"/>
        </w:rPr>
        <w:t xml:space="preserve"> as authorized by G.S. 115C-522</w:t>
      </w:r>
      <w:r w:rsidRPr="00653ED3">
        <w:rPr>
          <w:color w:val="000000" w:themeColor="text1"/>
        </w:rPr>
        <w:t xml:space="preserve">.  </w:t>
      </w:r>
    </w:p>
    <w:p w14:paraId="2CD535F3" w14:textId="77777777" w:rsidR="0080189B" w:rsidRPr="00653ED3" w:rsidRDefault="0080189B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0A837EFA" w14:textId="36A7A316" w:rsidR="00303268" w:rsidRPr="00653ED3" w:rsidRDefault="00303268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653ED3">
        <w:rPr>
          <w:color w:val="000000" w:themeColor="text1"/>
        </w:rPr>
        <w:t xml:space="preserve">All contracts involving construction or repair </w:t>
      </w:r>
      <w:proofErr w:type="gramStart"/>
      <w:r w:rsidRPr="00653ED3">
        <w:rPr>
          <w:color w:val="000000" w:themeColor="text1"/>
        </w:rPr>
        <w:t>work</w:t>
      </w:r>
      <w:proofErr w:type="gramEnd"/>
      <w:r w:rsidRPr="00653ED3">
        <w:rPr>
          <w:color w:val="000000" w:themeColor="text1"/>
        </w:rPr>
        <w:t xml:space="preserve"> or purchase of apparatus, supplies, materials</w:t>
      </w:r>
      <w:r w:rsidR="0092524F" w:rsidRPr="00653ED3">
        <w:rPr>
          <w:color w:val="000000" w:themeColor="text1"/>
        </w:rPr>
        <w:t>,</w:t>
      </w:r>
      <w:r w:rsidRPr="00653ED3">
        <w:rPr>
          <w:color w:val="000000" w:themeColor="text1"/>
        </w:rPr>
        <w:t xml:space="preserve"> or equipment must be undertaken in compliance with Chapter 143 of the North Carolina General Statutes</w:t>
      </w:r>
      <w:r w:rsidR="0080189B" w:rsidRPr="00653ED3">
        <w:rPr>
          <w:color w:val="000000" w:themeColor="text1"/>
        </w:rPr>
        <w:t>,</w:t>
      </w:r>
      <w:r w:rsidRPr="00653ED3">
        <w:rPr>
          <w:color w:val="000000" w:themeColor="text1"/>
        </w:rPr>
        <w:t xml:space="preserve"> </w:t>
      </w:r>
      <w:r w:rsidR="0080189B" w:rsidRPr="00653ED3">
        <w:rPr>
          <w:color w:val="000000" w:themeColor="text1"/>
        </w:rPr>
        <w:t xml:space="preserve">except as provided </w:t>
      </w:r>
      <w:r w:rsidR="00A9135A" w:rsidRPr="00653ED3">
        <w:rPr>
          <w:color w:val="000000" w:themeColor="text1"/>
        </w:rPr>
        <w:t xml:space="preserve">elsewhere </w:t>
      </w:r>
      <w:r w:rsidR="0080189B" w:rsidRPr="00653ED3">
        <w:rPr>
          <w:color w:val="000000" w:themeColor="text1"/>
        </w:rPr>
        <w:t>by state law</w:t>
      </w:r>
      <w:r w:rsidR="00A9135A" w:rsidRPr="00653ED3">
        <w:rPr>
          <w:color w:val="000000" w:themeColor="text1"/>
        </w:rPr>
        <w:t>.</w:t>
      </w:r>
      <w:r w:rsidR="0080189B" w:rsidRPr="00653ED3">
        <w:rPr>
          <w:color w:val="000000" w:themeColor="text1"/>
        </w:rPr>
        <w:t xml:space="preserve"> </w:t>
      </w:r>
      <w:r w:rsidR="00A9135A" w:rsidRPr="00653ED3">
        <w:rPr>
          <w:color w:val="000000" w:themeColor="text1"/>
        </w:rPr>
        <w:t xml:space="preserve"> Contracts </w:t>
      </w:r>
      <w:r w:rsidR="008E3BB5" w:rsidRPr="00653ED3">
        <w:rPr>
          <w:color w:val="000000" w:themeColor="text1"/>
        </w:rPr>
        <w:t>must</w:t>
      </w:r>
      <w:r w:rsidR="00A9135A" w:rsidRPr="00653ED3">
        <w:rPr>
          <w:color w:val="000000" w:themeColor="text1"/>
        </w:rPr>
        <w:t xml:space="preserve"> also comply with applicable </w:t>
      </w:r>
      <w:r w:rsidRPr="00653ED3">
        <w:rPr>
          <w:color w:val="000000" w:themeColor="text1"/>
        </w:rPr>
        <w:t>board</w:t>
      </w:r>
      <w:r w:rsidR="008E3BB5" w:rsidRPr="00653ED3">
        <w:rPr>
          <w:color w:val="000000" w:themeColor="text1"/>
        </w:rPr>
        <w:t xml:space="preserve"> </w:t>
      </w:r>
      <w:r w:rsidR="0080189B" w:rsidRPr="00653ED3">
        <w:rPr>
          <w:color w:val="000000" w:themeColor="text1"/>
        </w:rPr>
        <w:t>policies</w:t>
      </w:r>
      <w:r w:rsidR="008E0ABB" w:rsidRPr="00653ED3">
        <w:rPr>
          <w:color w:val="000000" w:themeColor="text1"/>
        </w:rPr>
        <w:t xml:space="preserve">, including, but not limited to, policies </w:t>
      </w:r>
      <w:r w:rsidR="002A3DBE" w:rsidRPr="00653ED3">
        <w:rPr>
          <w:color w:val="000000" w:themeColor="text1"/>
        </w:rPr>
        <w:t>64</w:t>
      </w:r>
      <w:r w:rsidR="008E0ABB" w:rsidRPr="00653ED3">
        <w:rPr>
          <w:color w:val="000000" w:themeColor="text1"/>
        </w:rPr>
        <w:t xml:space="preserve">30, Purchasing Requirements for Equipment, Materials, and Supplies; 6450, Purchase of Services; </w:t>
      </w:r>
      <w:r w:rsidR="00183CCB" w:rsidRPr="00653ED3">
        <w:rPr>
          <w:color w:val="000000" w:themeColor="text1"/>
        </w:rPr>
        <w:t>9030, Facility Construction</w:t>
      </w:r>
      <w:r w:rsidR="00FA7342" w:rsidRPr="00653ED3">
        <w:rPr>
          <w:color w:val="000000" w:themeColor="text1"/>
        </w:rPr>
        <w:t>;</w:t>
      </w:r>
      <w:r w:rsidR="00183CCB" w:rsidRPr="00653ED3">
        <w:rPr>
          <w:color w:val="000000" w:themeColor="text1"/>
        </w:rPr>
        <w:t xml:space="preserve"> </w:t>
      </w:r>
      <w:r w:rsidR="008E0ABB" w:rsidRPr="00653ED3">
        <w:rPr>
          <w:color w:val="000000" w:themeColor="text1"/>
        </w:rPr>
        <w:t xml:space="preserve">9110, Use and Selection of Architects, Engineers, Surveyors, and Construction Managers </w:t>
      </w:r>
      <w:proofErr w:type="gramStart"/>
      <w:r w:rsidR="00531A02" w:rsidRPr="00653ED3">
        <w:rPr>
          <w:color w:val="000000" w:themeColor="text1"/>
        </w:rPr>
        <w:t>A</w:t>
      </w:r>
      <w:r w:rsidR="008E0ABB" w:rsidRPr="00653ED3">
        <w:rPr>
          <w:color w:val="000000" w:themeColor="text1"/>
        </w:rPr>
        <w:t>t</w:t>
      </w:r>
      <w:proofErr w:type="gramEnd"/>
      <w:r w:rsidR="008E0ABB" w:rsidRPr="00653ED3">
        <w:rPr>
          <w:color w:val="000000" w:themeColor="text1"/>
        </w:rPr>
        <w:t xml:space="preserve"> Risk</w:t>
      </w:r>
      <w:r w:rsidR="009C134F" w:rsidRPr="00653ED3">
        <w:rPr>
          <w:color w:val="000000" w:themeColor="text1"/>
        </w:rPr>
        <w:t>;</w:t>
      </w:r>
      <w:r w:rsidR="008E0ABB" w:rsidRPr="00653ED3">
        <w:rPr>
          <w:color w:val="000000" w:themeColor="text1"/>
        </w:rPr>
        <w:t xml:space="preserve"> and 9120, Bidding for Construction Work</w:t>
      </w:r>
      <w:r w:rsidRPr="00653ED3">
        <w:rPr>
          <w:color w:val="000000" w:themeColor="text1"/>
        </w:rPr>
        <w:t>.</w:t>
      </w:r>
    </w:p>
    <w:p w14:paraId="71AAEC2C" w14:textId="77777777" w:rsidR="00C31184" w:rsidRPr="00653ED3" w:rsidRDefault="00C31184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45334C65" w14:textId="58285EA1" w:rsidR="00C31184" w:rsidRPr="00653ED3" w:rsidRDefault="00C31184" w:rsidP="0030326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653ED3">
        <w:rPr>
          <w:color w:val="000000" w:themeColor="text1"/>
        </w:rPr>
        <w:t xml:space="preserve">All contracts </w:t>
      </w:r>
      <w:r w:rsidR="0084655A" w:rsidRPr="00653ED3">
        <w:rPr>
          <w:color w:val="000000" w:themeColor="text1"/>
        </w:rPr>
        <w:t>subject to the E-V</w:t>
      </w:r>
      <w:r w:rsidR="008B5AA3" w:rsidRPr="00653ED3">
        <w:rPr>
          <w:color w:val="000000" w:themeColor="text1"/>
        </w:rPr>
        <w:t xml:space="preserve">erify requirement will </w:t>
      </w:r>
      <w:r w:rsidRPr="00653ED3">
        <w:rPr>
          <w:color w:val="000000" w:themeColor="text1"/>
        </w:rPr>
        <w:t>contain a provision stating that the contractor and the contractor’s subcontractors must comply with the requirements of Article 2 of Chapter 64 of the General Statutes.</w:t>
      </w:r>
    </w:p>
    <w:p w14:paraId="5C0694A2" w14:textId="77777777" w:rsidR="00303268" w:rsidRPr="00653ED3" w:rsidRDefault="00303268" w:rsidP="0030326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380F1CF" w14:textId="6A457643" w:rsidR="00303268" w:rsidRPr="00653ED3" w:rsidRDefault="00303268" w:rsidP="00303268">
      <w:pPr>
        <w:widowControl/>
        <w:tabs>
          <w:tab w:val="left" w:pos="-1440"/>
        </w:tabs>
        <w:jc w:val="both"/>
        <w:rPr>
          <w:color w:val="000000" w:themeColor="text1"/>
        </w:rPr>
      </w:pPr>
      <w:r w:rsidRPr="00653ED3">
        <w:rPr>
          <w:color w:val="000000" w:themeColor="text1"/>
        </w:rPr>
        <w:t xml:space="preserve">Legal References:  G.S. </w:t>
      </w:r>
      <w:r w:rsidR="00B45669" w:rsidRPr="00653ED3">
        <w:rPr>
          <w:color w:val="000000" w:themeColor="text1"/>
        </w:rPr>
        <w:t xml:space="preserve">64 art. 2; </w:t>
      </w:r>
      <w:r w:rsidRPr="00653ED3">
        <w:rPr>
          <w:color w:val="000000" w:themeColor="text1"/>
        </w:rPr>
        <w:t>115C</w:t>
      </w:r>
      <w:r w:rsidR="00B34834" w:rsidRPr="00653ED3">
        <w:rPr>
          <w:color w:val="000000" w:themeColor="text1"/>
        </w:rPr>
        <w:t xml:space="preserve">-238.66(9), </w:t>
      </w:r>
      <w:r w:rsidRPr="00653ED3">
        <w:rPr>
          <w:color w:val="000000" w:themeColor="text1"/>
        </w:rPr>
        <w:t>-440, -441, -522, -528</w:t>
      </w:r>
      <w:r w:rsidR="0080189B" w:rsidRPr="00653ED3">
        <w:rPr>
          <w:color w:val="000000" w:themeColor="text1"/>
        </w:rPr>
        <w:t>; 143-49</w:t>
      </w:r>
      <w:r w:rsidR="00C65C9A" w:rsidRPr="00653ED3">
        <w:rPr>
          <w:color w:val="000000" w:themeColor="text1"/>
        </w:rPr>
        <w:t xml:space="preserve"> and </w:t>
      </w:r>
      <w:r w:rsidR="00B45669" w:rsidRPr="00653ED3">
        <w:rPr>
          <w:color w:val="000000" w:themeColor="text1"/>
        </w:rPr>
        <w:t>art. 8</w:t>
      </w:r>
      <w:r w:rsidR="00D27D01" w:rsidRPr="00653ED3">
        <w:rPr>
          <w:color w:val="000000" w:themeColor="text1"/>
        </w:rPr>
        <w:t xml:space="preserve">; </w:t>
      </w:r>
      <w:r w:rsidR="0017357F" w:rsidRPr="00653ED3">
        <w:rPr>
          <w:color w:val="000000" w:themeColor="text1"/>
        </w:rPr>
        <w:t>147 art. 6E</w:t>
      </w:r>
      <w:r w:rsidR="0073287D" w:rsidRPr="00653ED3">
        <w:rPr>
          <w:color w:val="000000" w:themeColor="text1"/>
        </w:rPr>
        <w:t>,</w:t>
      </w:r>
      <w:r w:rsidR="001A2B20" w:rsidRPr="00653ED3">
        <w:rPr>
          <w:color w:val="000000" w:themeColor="text1"/>
        </w:rPr>
        <w:t xml:space="preserve"> </w:t>
      </w:r>
      <w:r w:rsidR="0073287D" w:rsidRPr="00653ED3">
        <w:rPr>
          <w:color w:val="000000" w:themeColor="text1"/>
        </w:rPr>
        <w:t xml:space="preserve">art. </w:t>
      </w:r>
      <w:r w:rsidR="001A2B20" w:rsidRPr="00653ED3">
        <w:rPr>
          <w:color w:val="000000" w:themeColor="text1"/>
        </w:rPr>
        <w:t>6G</w:t>
      </w:r>
    </w:p>
    <w:p w14:paraId="04C93558" w14:textId="77777777" w:rsidR="00303268" w:rsidRPr="00653ED3" w:rsidRDefault="00303268" w:rsidP="0030326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36102BB7" w14:textId="6B1061BC" w:rsidR="00303268" w:rsidRPr="00653ED3" w:rsidRDefault="00303268" w:rsidP="00303268">
      <w:pPr>
        <w:widowControl/>
        <w:tabs>
          <w:tab w:val="left" w:pos="-1440"/>
        </w:tabs>
        <w:jc w:val="both"/>
        <w:rPr>
          <w:color w:val="000000" w:themeColor="text1"/>
        </w:rPr>
      </w:pPr>
      <w:r w:rsidRPr="00653ED3">
        <w:rPr>
          <w:color w:val="000000" w:themeColor="text1"/>
        </w:rPr>
        <w:t xml:space="preserve">Cross References: </w:t>
      </w:r>
      <w:r w:rsidR="00531A02" w:rsidRPr="00653ED3">
        <w:rPr>
          <w:color w:val="000000" w:themeColor="text1"/>
        </w:rPr>
        <w:t xml:space="preserve"> </w:t>
      </w:r>
      <w:r w:rsidRPr="00653ED3">
        <w:rPr>
          <w:color w:val="000000" w:themeColor="text1"/>
        </w:rPr>
        <w:t>Pre</w:t>
      </w:r>
      <w:r w:rsidR="00724A24" w:rsidRPr="00653ED3">
        <w:rPr>
          <w:color w:val="000000" w:themeColor="text1"/>
        </w:rPr>
        <w:t>a</w:t>
      </w:r>
      <w:r w:rsidRPr="00653ED3">
        <w:rPr>
          <w:color w:val="000000" w:themeColor="text1"/>
        </w:rPr>
        <w:t xml:space="preserve">udit </w:t>
      </w:r>
      <w:r w:rsidR="00724A24" w:rsidRPr="00653ED3">
        <w:rPr>
          <w:color w:val="000000" w:themeColor="text1"/>
        </w:rPr>
        <w:t xml:space="preserve">and Disbursement </w:t>
      </w:r>
      <w:r w:rsidRPr="00653ED3">
        <w:rPr>
          <w:color w:val="000000" w:themeColor="text1"/>
        </w:rPr>
        <w:t>Certification</w:t>
      </w:r>
      <w:r w:rsidR="00724A24" w:rsidRPr="00653ED3">
        <w:rPr>
          <w:color w:val="000000" w:themeColor="text1"/>
        </w:rPr>
        <w:t>s</w:t>
      </w:r>
      <w:r w:rsidRPr="00653ED3">
        <w:rPr>
          <w:color w:val="000000" w:themeColor="text1"/>
        </w:rPr>
        <w:t xml:space="preserve"> (policy 6421), </w:t>
      </w:r>
      <w:r w:rsidR="002A3DBE" w:rsidRPr="00653ED3">
        <w:rPr>
          <w:color w:val="000000" w:themeColor="text1"/>
        </w:rPr>
        <w:t xml:space="preserve">Purchasing Requirements for Equipment, Materials, and Supplies (policy 6430), Purchase of Services (policy 6450), </w:t>
      </w:r>
      <w:r w:rsidRPr="00653ED3">
        <w:rPr>
          <w:color w:val="000000" w:themeColor="text1"/>
        </w:rPr>
        <w:t>Budget Resolution (policy 8110)</w:t>
      </w:r>
      <w:r w:rsidR="002A3DBE" w:rsidRPr="00653ED3">
        <w:rPr>
          <w:color w:val="000000" w:themeColor="text1"/>
        </w:rPr>
        <w:t xml:space="preserve">, </w:t>
      </w:r>
      <w:r w:rsidR="00183CCB" w:rsidRPr="00653ED3">
        <w:rPr>
          <w:color w:val="000000" w:themeColor="text1"/>
        </w:rPr>
        <w:t xml:space="preserve">Facility Construction (policy 9030), </w:t>
      </w:r>
      <w:r w:rsidR="002A3DBE" w:rsidRPr="00653ED3">
        <w:rPr>
          <w:color w:val="000000" w:themeColor="text1"/>
        </w:rPr>
        <w:t xml:space="preserve">Use and Selection of Architects, Engineers, Surveyors, and Construction Managers </w:t>
      </w:r>
      <w:proofErr w:type="gramStart"/>
      <w:r w:rsidR="00531A02" w:rsidRPr="00653ED3">
        <w:rPr>
          <w:color w:val="000000" w:themeColor="text1"/>
        </w:rPr>
        <w:t>A</w:t>
      </w:r>
      <w:r w:rsidR="002A3DBE" w:rsidRPr="00653ED3">
        <w:rPr>
          <w:color w:val="000000" w:themeColor="text1"/>
        </w:rPr>
        <w:t>t</w:t>
      </w:r>
      <w:proofErr w:type="gramEnd"/>
      <w:r w:rsidR="002A3DBE" w:rsidRPr="00653ED3">
        <w:rPr>
          <w:color w:val="000000" w:themeColor="text1"/>
        </w:rPr>
        <w:t xml:space="preserve"> Risk (policy 9110), Bidding for Construction Work (policy 9120)</w:t>
      </w:r>
    </w:p>
    <w:p w14:paraId="2569CE8B" w14:textId="77777777" w:rsidR="00303268" w:rsidRPr="00653ED3" w:rsidRDefault="00303268" w:rsidP="0030326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672573C6" w14:textId="133704B4" w:rsidR="00CC7931" w:rsidRPr="00653ED3" w:rsidRDefault="00717467" w:rsidP="00C2058B">
      <w:pPr>
        <w:jc w:val="both"/>
        <w:rPr>
          <w:color w:val="000000" w:themeColor="text1"/>
        </w:rPr>
      </w:pPr>
      <w:r w:rsidRPr="00653ED3">
        <w:rPr>
          <w:color w:val="000000" w:themeColor="text1"/>
        </w:rPr>
        <w:t>Adopt</w:t>
      </w:r>
      <w:r w:rsidR="00AE1F02" w:rsidRPr="00653ED3">
        <w:rPr>
          <w:color w:val="000000" w:themeColor="text1"/>
        </w:rPr>
        <w:t>ed</w:t>
      </w:r>
      <w:r w:rsidR="00303268" w:rsidRPr="00653ED3">
        <w:rPr>
          <w:color w:val="000000" w:themeColor="text1"/>
        </w:rPr>
        <w:t>:</w:t>
      </w:r>
      <w:r w:rsidR="00285F0A" w:rsidRPr="00653ED3">
        <w:rPr>
          <w:color w:val="000000" w:themeColor="text1"/>
        </w:rPr>
        <w:t xml:space="preserve"> May 27, 2020</w:t>
      </w:r>
    </w:p>
    <w:p w14:paraId="40BC2A02" w14:textId="1A0FF5E1" w:rsidR="00127646" w:rsidRPr="00653ED3" w:rsidRDefault="00127646" w:rsidP="00C2058B">
      <w:pPr>
        <w:jc w:val="both"/>
        <w:rPr>
          <w:color w:val="000000" w:themeColor="text1"/>
        </w:rPr>
      </w:pPr>
      <w:r w:rsidRPr="00653ED3">
        <w:rPr>
          <w:color w:val="000000" w:themeColor="text1"/>
        </w:rPr>
        <w:t xml:space="preserve">Revised: </w:t>
      </w:r>
      <w:r w:rsidR="00D47CDF" w:rsidRPr="00653ED3">
        <w:rPr>
          <w:color w:val="000000" w:themeColor="text1"/>
        </w:rPr>
        <w:t>June 8, 2022</w:t>
      </w:r>
    </w:p>
    <w:p w14:paraId="71587A86" w14:textId="11DB1F8E" w:rsidR="001F10BC" w:rsidRPr="00D47CDF" w:rsidRDefault="001F10BC" w:rsidP="00C2058B">
      <w:pPr>
        <w:jc w:val="both"/>
        <w:rPr>
          <w:color w:val="000000" w:themeColor="text1"/>
        </w:rPr>
      </w:pPr>
      <w:r w:rsidRPr="006A19CB">
        <w:rPr>
          <w:color w:val="00B050"/>
        </w:rPr>
        <w:t>Revised:</w:t>
      </w:r>
      <w:r>
        <w:rPr>
          <w:color w:val="000000" w:themeColor="text1"/>
        </w:rPr>
        <w:t xml:space="preserve"> </w:t>
      </w:r>
      <w:r w:rsidR="00653ED3">
        <w:rPr>
          <w:color w:val="000000" w:themeColor="text1"/>
        </w:rPr>
        <w:t>July 20, 2022</w:t>
      </w:r>
    </w:p>
    <w:p w14:paraId="22D7657F" w14:textId="77777777" w:rsidR="00AE1F02" w:rsidRPr="00D47CDF" w:rsidRDefault="00AE1F02" w:rsidP="00C2058B">
      <w:pPr>
        <w:jc w:val="both"/>
        <w:rPr>
          <w:color w:val="000000" w:themeColor="text1"/>
        </w:rPr>
      </w:pPr>
    </w:p>
    <w:sectPr w:rsidR="00AE1F02" w:rsidRPr="00D47CDF" w:rsidSect="00285F0A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B6A9" w14:textId="77777777" w:rsidR="00D71A24" w:rsidRDefault="00D71A24">
      <w:r>
        <w:separator/>
      </w:r>
    </w:p>
  </w:endnote>
  <w:endnote w:type="continuationSeparator" w:id="0">
    <w:p w14:paraId="1FA0A297" w14:textId="77777777" w:rsidR="00D71A24" w:rsidRDefault="00D7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92C4" w14:textId="4D5B8494" w:rsidR="004D6AAE" w:rsidRDefault="004D6AAE" w:rsidP="004D6AAE">
    <w:pPr>
      <w:spacing w:line="240" w:lineRule="exact"/>
      <w:ind w:right="-360"/>
    </w:pPr>
  </w:p>
  <w:p w14:paraId="728C2E5C" w14:textId="4AF9F4C9" w:rsidR="004D6AAE" w:rsidRDefault="00717467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A6F674" wp14:editId="27716E84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2133C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8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xvCDQNsAAAAJ&#13;&#10;AQAADwAAAGRycy9kb3ducmV2LnhtbEyPwU7DMBBE70j8g7VI3KhDC1WaxqkqIj6A0EOPbrxNIux1&#13;&#10;ZLtt4OvZ9gKXlUajmZ1XbiZnxRlDHDwpeJ5lIJBabwbqFOw+359yEDFpMtp6QgXfGGFT3d+VujD+&#13;&#10;Qh94blInuIRioRX0KY2FlLHt0ek48yMSe0cfnE4sQydN0Bcud1bOs2wpnR6IP/R6xLce26/m5BQ0&#13;&#10;PrP1tF3Y5id/2de+zcfwGpV6fJjqNZ/tGkTCKf0l4MrA+6HiYQd/IhOFVcA0ScGcGdhcLZasDzct&#13;&#10;q1L+J6h+AQ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Mbwg0D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06DB725E" w14:textId="7BCDDE0F" w:rsidR="004D6AAE" w:rsidRPr="00717467" w:rsidRDefault="00E05643" w:rsidP="00717467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</w:rPr>
    </w:pPr>
    <w:r w:rsidRPr="00DA5A6C">
      <w:rPr>
        <w:b/>
        <w:noProof/>
      </w:rPr>
      <w:t>NE REGIONAL SCHOOL BOARD OF DIRECTORS POLICY MANUAL</w:t>
    </w:r>
    <w:r w:rsidR="00717467">
      <w:rPr>
        <w:b/>
      </w:rPr>
      <w:tab/>
    </w:r>
    <w:r w:rsidR="00717467" w:rsidRPr="00717467">
      <w:t xml:space="preserve">Page </w:t>
    </w:r>
    <w:r w:rsidR="00717467" w:rsidRPr="00717467">
      <w:rPr>
        <w:bCs/>
      </w:rPr>
      <w:fldChar w:fldCharType="begin"/>
    </w:r>
    <w:r w:rsidR="00717467" w:rsidRPr="00717467">
      <w:rPr>
        <w:bCs/>
      </w:rPr>
      <w:instrText xml:space="preserve"> PAGE  \* Arabic  \* MERGEFORMAT </w:instrText>
    </w:r>
    <w:r w:rsidR="00717467" w:rsidRPr="00717467">
      <w:rPr>
        <w:bCs/>
      </w:rPr>
      <w:fldChar w:fldCharType="separate"/>
    </w:r>
    <w:r w:rsidR="00B34834">
      <w:rPr>
        <w:bCs/>
        <w:noProof/>
      </w:rPr>
      <w:t>2</w:t>
    </w:r>
    <w:r w:rsidR="00717467" w:rsidRPr="00717467">
      <w:rPr>
        <w:bCs/>
      </w:rPr>
      <w:fldChar w:fldCharType="end"/>
    </w:r>
    <w:r w:rsidR="00717467" w:rsidRPr="00717467">
      <w:t xml:space="preserve"> of </w:t>
    </w:r>
    <w:r w:rsidR="00717467" w:rsidRPr="00717467">
      <w:rPr>
        <w:bCs/>
      </w:rPr>
      <w:fldChar w:fldCharType="begin"/>
    </w:r>
    <w:r w:rsidR="00717467" w:rsidRPr="00717467">
      <w:rPr>
        <w:bCs/>
      </w:rPr>
      <w:instrText xml:space="preserve"> NUMPAGES  \* Arabic  \* MERGEFORMAT </w:instrText>
    </w:r>
    <w:r w:rsidR="00717467" w:rsidRPr="00717467">
      <w:rPr>
        <w:bCs/>
      </w:rPr>
      <w:fldChar w:fldCharType="separate"/>
    </w:r>
    <w:r w:rsidR="00B34834">
      <w:rPr>
        <w:bCs/>
        <w:noProof/>
      </w:rPr>
      <w:t>2</w:t>
    </w:r>
    <w:r w:rsidR="00717467" w:rsidRPr="00717467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5285" w14:textId="77777777" w:rsidR="00D71A24" w:rsidRDefault="00D71A24">
      <w:r>
        <w:separator/>
      </w:r>
    </w:p>
  </w:footnote>
  <w:footnote w:type="continuationSeparator" w:id="0">
    <w:p w14:paraId="67760176" w14:textId="77777777" w:rsidR="00D71A24" w:rsidRDefault="00D7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B5DF" w14:textId="7880F652" w:rsidR="004D6AAE" w:rsidRDefault="004D6AAE" w:rsidP="004D6AAE">
    <w:pPr>
      <w:pStyle w:val="FootnoteText"/>
      <w:rPr>
        <w:i/>
      </w:rPr>
    </w:pPr>
  </w:p>
  <w:p w14:paraId="0AA41BE2" w14:textId="77777777" w:rsidR="004D6AAE" w:rsidRDefault="004D6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6A97" w14:textId="77777777" w:rsidR="00346D7E" w:rsidRDefault="00346D7E" w:rsidP="00346D7E">
    <w:pPr>
      <w:tabs>
        <w:tab w:val="left" w:pos="6840"/>
        <w:tab w:val="right" w:pos="9360"/>
      </w:tabs>
      <w:rPr>
        <w:i/>
      </w:rPr>
    </w:pPr>
    <w:r>
      <w:rPr>
        <w:i/>
        <w:sz w:val="20"/>
      </w:rPr>
      <w:tab/>
      <w:t>Policy Code:</w:t>
    </w:r>
    <w:r>
      <w:rPr>
        <w:sz w:val="20"/>
      </w:rPr>
      <w:tab/>
    </w:r>
    <w:r>
      <w:rPr>
        <w:b/>
      </w:rPr>
      <w:t>6420</w:t>
    </w:r>
  </w:p>
  <w:p w14:paraId="39D5199E" w14:textId="77777777" w:rsidR="00346D7E" w:rsidRDefault="00346D7E" w:rsidP="00346D7E">
    <w:pPr>
      <w:tabs>
        <w:tab w:val="left" w:pos="6840"/>
        <w:tab w:val="right" w:pos="9360"/>
      </w:tabs>
      <w:spacing w:line="109" w:lineRule="exact"/>
    </w:pPr>
  </w:p>
  <w:p w14:paraId="3F44986B" w14:textId="77777777" w:rsidR="00346D7E" w:rsidRDefault="00185AD2" w:rsidP="00346D7E">
    <w:pPr>
      <w:tabs>
        <w:tab w:val="left" w:pos="-1440"/>
        <w:tab w:val="left" w:pos="0"/>
      </w:tabs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C5E5D1E" wp14:editId="7B274BB2">
              <wp:simplePos x="0" y="0"/>
              <wp:positionH relativeFrom="column">
                <wp:posOffset>0</wp:posOffset>
              </wp:positionH>
              <wp:positionV relativeFrom="paragraph">
                <wp:posOffset>-8890</wp:posOffset>
              </wp:positionV>
              <wp:extent cx="5943600" cy="0"/>
              <wp:effectExtent l="28575" t="29210" r="28575" b="3746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F9821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468pt,-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yGjygEAAHsDAAAOAAAAZHJzL2Uyb0RvYy54bWysU02P2yAQvVfqf0DcGzvb7nZrxdlDtttL&#13;&#10;2kba9AdMANtogUFAYuffdyAf3ba3qj4gYGYe770ZLx4ma9hBhajRtXw+qzlTTqDUrm/5j+3Tu3vO&#13;&#10;YgInwaBTLT+qyB+Wb98sRt+oGxzQSBUYgbjYjL7lQ0q+qaooBmUhztArR8EOg4VEx9BXMsBI6NZU&#13;&#10;N3V9V40YpA8oVIx0+3gK8mXB7zol0veuiyox03LilsoayrrLa7VcQNMH8IMWZxrwDywsaEePXqEe&#13;&#10;IQHbB/0XlNUiYMQuzQTaCrtOC1U0kJp5/Yea5wG8KlrInOivNsX/Byu+HTaBaUm948yBpRattVPs&#13;&#10;Pjsz+thQwsptQtYmJvfs1yheInO4GsD1qjDcHj2VzXNF9VtJPkRP+LvxK0rKgX3CYtPUBZshyQA2&#13;&#10;lW4cr91QU2KCLm8/fXh/V1PTxCVWQXMp9CGmLwoty5uWG+JcgOGwjikTgeaSkt9x+KSNKc02jo0E&#13;&#10;/nF+m6GtJ+lp0G5LA/BSICIaLXN6Loyh361MYAfIA1S+opMir9MC7p0s8IMC+fm8T6DNaU90jDvb&#13;&#10;kx05ebtDedyEi23U4cL7PI15hF6fS/Wvf2b5EwAA//8DAFBLAwQUAAYACAAAACEAzKqPPuIAAAAL&#13;&#10;AQAADwAAAGRycy9kb3ducmV2LnhtbEyPQU/CQBCF7yb+h82YeCGwRQyppVtiUC8eTAAPcFu6Y9vY&#13;&#10;nS27C63+eod40Msk817mzfvy5WBbcUYfGkcKppMEBFLpTEOVgvftyzgFEaImo1tHqOALAyyL66tc&#13;&#10;Z8b1tMbzJlaCQyhkWkEdY5dJGcoarQ4T1yGx9+G81ZFXX0njdc/htpV3STKXVjfEH2rd4arG8nNz&#13;&#10;sgrMOoTn1ZB+z9786/G4S0f7fjtS6vZmeFrweFyAiDjEvwu4MHB/KLjYwZ3IBNEqYJqoYDy9B8Hu&#13;&#10;w2zOwuFXkEUu/zMUPwAAAP//AwBQSwECLQAUAAYACAAAACEAtoM4kv4AAADhAQAAEwAAAAAAAAAA&#13;&#10;AAAAAAAAAAAAW0NvbnRlbnRfVHlwZXNdLnhtbFBLAQItABQABgAIAAAAIQA4/SH/1gAAAJQBAAAL&#13;&#10;AAAAAAAAAAAAAAAAAC8BAABfcmVscy8ucmVsc1BLAQItABQABgAIAAAAIQD+VyGjygEAAHsDAAAO&#13;&#10;AAAAAAAAAAAAAAAAAC4CAABkcnMvZTJvRG9jLnhtbFBLAQItABQABgAIAAAAIQDMqo8+4gAAAAsB&#13;&#10;AAAPAAAAAAAAAAAAAAAAACQEAABkcnMvZG93bnJldi54bWxQSwUGAAAAAAQABADzAAAAMwUAAAAA&#13;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E81DD3"/>
    <w:multiLevelType w:val="hybridMultilevel"/>
    <w:tmpl w:val="D59C80F8"/>
    <w:lvl w:ilvl="0" w:tplc="95DEFF8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8992228">
    <w:abstractNumId w:val="2"/>
  </w:num>
  <w:num w:numId="2" w16cid:durableId="566384904">
    <w:abstractNumId w:val="3"/>
  </w:num>
  <w:num w:numId="3" w16cid:durableId="399788726">
    <w:abstractNumId w:val="12"/>
  </w:num>
  <w:num w:numId="4" w16cid:durableId="1415860399">
    <w:abstractNumId w:val="9"/>
  </w:num>
  <w:num w:numId="5" w16cid:durableId="261956510">
    <w:abstractNumId w:val="8"/>
  </w:num>
  <w:num w:numId="6" w16cid:durableId="2088304928">
    <w:abstractNumId w:val="6"/>
  </w:num>
  <w:num w:numId="7" w16cid:durableId="1457600919">
    <w:abstractNumId w:val="5"/>
  </w:num>
  <w:num w:numId="8" w16cid:durableId="560406175">
    <w:abstractNumId w:val="1"/>
  </w:num>
  <w:num w:numId="9" w16cid:durableId="1015616998">
    <w:abstractNumId w:val="4"/>
  </w:num>
  <w:num w:numId="10" w16cid:durableId="1548562721">
    <w:abstractNumId w:val="0"/>
  </w:num>
  <w:num w:numId="11" w16cid:durableId="306790065">
    <w:abstractNumId w:val="10"/>
  </w:num>
  <w:num w:numId="12" w16cid:durableId="969701246">
    <w:abstractNumId w:val="7"/>
  </w:num>
  <w:num w:numId="13" w16cid:durableId="1271545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351B8"/>
    <w:rsid w:val="00053EA1"/>
    <w:rsid w:val="00066A55"/>
    <w:rsid w:val="000738AC"/>
    <w:rsid w:val="00076675"/>
    <w:rsid w:val="00096083"/>
    <w:rsid w:val="000D087E"/>
    <w:rsid w:val="000D78EA"/>
    <w:rsid w:val="000F0D03"/>
    <w:rsid w:val="00116FEC"/>
    <w:rsid w:val="001259EA"/>
    <w:rsid w:val="00127646"/>
    <w:rsid w:val="001418EC"/>
    <w:rsid w:val="00146FF2"/>
    <w:rsid w:val="001624DA"/>
    <w:rsid w:val="0017357F"/>
    <w:rsid w:val="00183CCB"/>
    <w:rsid w:val="00185AD2"/>
    <w:rsid w:val="001A2B20"/>
    <w:rsid w:val="001D3311"/>
    <w:rsid w:val="001E6B5C"/>
    <w:rsid w:val="001F0D84"/>
    <w:rsid w:val="001F10BC"/>
    <w:rsid w:val="0021708E"/>
    <w:rsid w:val="00227FA9"/>
    <w:rsid w:val="002304F4"/>
    <w:rsid w:val="002540BA"/>
    <w:rsid w:val="002556A8"/>
    <w:rsid w:val="00270BEF"/>
    <w:rsid w:val="0027240E"/>
    <w:rsid w:val="0027481C"/>
    <w:rsid w:val="00285F0A"/>
    <w:rsid w:val="002A2747"/>
    <w:rsid w:val="002A3DBE"/>
    <w:rsid w:val="002A7713"/>
    <w:rsid w:val="002B2385"/>
    <w:rsid w:val="002C666D"/>
    <w:rsid w:val="002D2788"/>
    <w:rsid w:val="002E15F6"/>
    <w:rsid w:val="00303268"/>
    <w:rsid w:val="003225CE"/>
    <w:rsid w:val="00322E45"/>
    <w:rsid w:val="00346D7E"/>
    <w:rsid w:val="00347599"/>
    <w:rsid w:val="003657C5"/>
    <w:rsid w:val="00367464"/>
    <w:rsid w:val="00392B3B"/>
    <w:rsid w:val="003C698E"/>
    <w:rsid w:val="003D1329"/>
    <w:rsid w:val="004031E5"/>
    <w:rsid w:val="00404EC8"/>
    <w:rsid w:val="00420E9F"/>
    <w:rsid w:val="00430A17"/>
    <w:rsid w:val="00451F1A"/>
    <w:rsid w:val="00461294"/>
    <w:rsid w:val="00470711"/>
    <w:rsid w:val="00476F7E"/>
    <w:rsid w:val="00480304"/>
    <w:rsid w:val="00484ACF"/>
    <w:rsid w:val="00497B44"/>
    <w:rsid w:val="004B3947"/>
    <w:rsid w:val="004B509F"/>
    <w:rsid w:val="004C4608"/>
    <w:rsid w:val="004D6AAE"/>
    <w:rsid w:val="004E6377"/>
    <w:rsid w:val="004F5C4A"/>
    <w:rsid w:val="0053064E"/>
    <w:rsid w:val="00531A02"/>
    <w:rsid w:val="00551A9E"/>
    <w:rsid w:val="00552FF8"/>
    <w:rsid w:val="005C1606"/>
    <w:rsid w:val="005C395D"/>
    <w:rsid w:val="005C4DAD"/>
    <w:rsid w:val="005F4E93"/>
    <w:rsid w:val="00607CC9"/>
    <w:rsid w:val="006159E8"/>
    <w:rsid w:val="0062010D"/>
    <w:rsid w:val="00633299"/>
    <w:rsid w:val="00646A5B"/>
    <w:rsid w:val="00653ED3"/>
    <w:rsid w:val="0065416C"/>
    <w:rsid w:val="00681FE2"/>
    <w:rsid w:val="006854A2"/>
    <w:rsid w:val="006860F0"/>
    <w:rsid w:val="0069693D"/>
    <w:rsid w:val="006A19CB"/>
    <w:rsid w:val="006B2BCE"/>
    <w:rsid w:val="006B5C84"/>
    <w:rsid w:val="006D65A7"/>
    <w:rsid w:val="006E3D48"/>
    <w:rsid w:val="0070080E"/>
    <w:rsid w:val="00710F2B"/>
    <w:rsid w:val="00717467"/>
    <w:rsid w:val="007178C3"/>
    <w:rsid w:val="00724A24"/>
    <w:rsid w:val="0073287D"/>
    <w:rsid w:val="00737838"/>
    <w:rsid w:val="00745157"/>
    <w:rsid w:val="00745CDB"/>
    <w:rsid w:val="00754D41"/>
    <w:rsid w:val="00766764"/>
    <w:rsid w:val="00787FB8"/>
    <w:rsid w:val="007A533F"/>
    <w:rsid w:val="007B23A6"/>
    <w:rsid w:val="0080189B"/>
    <w:rsid w:val="00811BA5"/>
    <w:rsid w:val="00811BD0"/>
    <w:rsid w:val="008439CC"/>
    <w:rsid w:val="008461E3"/>
    <w:rsid w:val="0084655A"/>
    <w:rsid w:val="00863289"/>
    <w:rsid w:val="00892D12"/>
    <w:rsid w:val="008B5AA3"/>
    <w:rsid w:val="008E0ABB"/>
    <w:rsid w:val="008E3BB5"/>
    <w:rsid w:val="0091258A"/>
    <w:rsid w:val="00924426"/>
    <w:rsid w:val="0092524F"/>
    <w:rsid w:val="00962F9F"/>
    <w:rsid w:val="00977E41"/>
    <w:rsid w:val="009969ED"/>
    <w:rsid w:val="009C134F"/>
    <w:rsid w:val="009E3DF7"/>
    <w:rsid w:val="009E4DBE"/>
    <w:rsid w:val="00A07A96"/>
    <w:rsid w:val="00A16E32"/>
    <w:rsid w:val="00A40B21"/>
    <w:rsid w:val="00A476D9"/>
    <w:rsid w:val="00A50D6F"/>
    <w:rsid w:val="00A519E3"/>
    <w:rsid w:val="00A77391"/>
    <w:rsid w:val="00A779B7"/>
    <w:rsid w:val="00A857D0"/>
    <w:rsid w:val="00A863EC"/>
    <w:rsid w:val="00A903C5"/>
    <w:rsid w:val="00A9135A"/>
    <w:rsid w:val="00AB5B2D"/>
    <w:rsid w:val="00AC087A"/>
    <w:rsid w:val="00AC62DB"/>
    <w:rsid w:val="00AE1F02"/>
    <w:rsid w:val="00AE58CE"/>
    <w:rsid w:val="00AF28DF"/>
    <w:rsid w:val="00AF7B81"/>
    <w:rsid w:val="00B07F91"/>
    <w:rsid w:val="00B33E8A"/>
    <w:rsid w:val="00B34834"/>
    <w:rsid w:val="00B37C99"/>
    <w:rsid w:val="00B45669"/>
    <w:rsid w:val="00B720F3"/>
    <w:rsid w:val="00B83D7F"/>
    <w:rsid w:val="00B8591B"/>
    <w:rsid w:val="00B8729F"/>
    <w:rsid w:val="00B91C93"/>
    <w:rsid w:val="00BF3C46"/>
    <w:rsid w:val="00BF5915"/>
    <w:rsid w:val="00C2058B"/>
    <w:rsid w:val="00C3059C"/>
    <w:rsid w:val="00C31184"/>
    <w:rsid w:val="00C65C9A"/>
    <w:rsid w:val="00C67824"/>
    <w:rsid w:val="00C803E3"/>
    <w:rsid w:val="00C80C50"/>
    <w:rsid w:val="00C93CC2"/>
    <w:rsid w:val="00CA3BA6"/>
    <w:rsid w:val="00CB0ACF"/>
    <w:rsid w:val="00CC6537"/>
    <w:rsid w:val="00CC7931"/>
    <w:rsid w:val="00CE4760"/>
    <w:rsid w:val="00D03079"/>
    <w:rsid w:val="00D2213A"/>
    <w:rsid w:val="00D24EFF"/>
    <w:rsid w:val="00D250FF"/>
    <w:rsid w:val="00D27D01"/>
    <w:rsid w:val="00D47CDF"/>
    <w:rsid w:val="00D55EC3"/>
    <w:rsid w:val="00D668B6"/>
    <w:rsid w:val="00D71A24"/>
    <w:rsid w:val="00DB2B85"/>
    <w:rsid w:val="00DB5547"/>
    <w:rsid w:val="00DC381E"/>
    <w:rsid w:val="00E05643"/>
    <w:rsid w:val="00E131EB"/>
    <w:rsid w:val="00E17B7A"/>
    <w:rsid w:val="00E41E60"/>
    <w:rsid w:val="00E454C8"/>
    <w:rsid w:val="00E5336E"/>
    <w:rsid w:val="00E573BB"/>
    <w:rsid w:val="00E8645F"/>
    <w:rsid w:val="00E94EA7"/>
    <w:rsid w:val="00EB1233"/>
    <w:rsid w:val="00EC0E97"/>
    <w:rsid w:val="00EC5071"/>
    <w:rsid w:val="00ED4D9B"/>
    <w:rsid w:val="00F20E6A"/>
    <w:rsid w:val="00F222F2"/>
    <w:rsid w:val="00F22DCD"/>
    <w:rsid w:val="00F27D00"/>
    <w:rsid w:val="00F378DA"/>
    <w:rsid w:val="00F40069"/>
    <w:rsid w:val="00F44F88"/>
    <w:rsid w:val="00F45579"/>
    <w:rsid w:val="00F51D8A"/>
    <w:rsid w:val="00F8786D"/>
    <w:rsid w:val="00FA7342"/>
    <w:rsid w:val="00FB0219"/>
    <w:rsid w:val="00FC37F9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51327E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969ED"/>
    <w:rPr>
      <w:rFonts w:ascii="Times New Roman" w:hAnsi="Times New Roman"/>
      <w:sz w:val="24"/>
      <w:szCs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03268"/>
    <w:pPr>
      <w:tabs>
        <w:tab w:val="left" w:pos="-1440"/>
      </w:tabs>
      <w:jc w:val="both"/>
    </w:pPr>
    <w:rPr>
      <w:rFonts w:ascii="CG Times" w:hAnsi="CG Times"/>
    </w:rPr>
  </w:style>
  <w:style w:type="character" w:customStyle="1" w:styleId="StyleFootnoteReference14pt">
    <w:name w:val="Style Footnote Reference + 14 pt"/>
    <w:rsid w:val="009969ED"/>
    <w:rPr>
      <w:rFonts w:ascii="Times New Roman" w:hAnsi="Times New Roman"/>
      <w:sz w:val="24"/>
      <w:szCs w:val="24"/>
      <w:vertAlign w:val="superscript"/>
    </w:rPr>
  </w:style>
  <w:style w:type="character" w:customStyle="1" w:styleId="FootnoteTextChar">
    <w:name w:val="Footnote Text Char"/>
    <w:link w:val="FootnoteText"/>
    <w:semiHidden/>
    <w:rsid w:val="00116FEC"/>
    <w:rPr>
      <w:snapToGrid w:val="0"/>
    </w:rPr>
  </w:style>
  <w:style w:type="paragraph" w:styleId="ListParagraph">
    <w:name w:val="List Paragraph"/>
    <w:basedOn w:val="Normal"/>
    <w:uiPriority w:val="34"/>
    <w:qFormat/>
    <w:rsid w:val="00255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D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E63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053E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3E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3EA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53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3EA1"/>
    <w:rPr>
      <w:b/>
      <w:bCs/>
      <w:snapToGrid w:val="0"/>
    </w:rPr>
  </w:style>
  <w:style w:type="character" w:styleId="LineNumber">
    <w:name w:val="line number"/>
    <w:basedOn w:val="DefaultParagraphFont"/>
    <w:semiHidden/>
    <w:unhideWhenUsed/>
    <w:rsid w:val="0012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2FDF-7A7E-594F-8DB3-5D4837F3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597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9</cp:revision>
  <cp:lastPrinted>2018-03-22T14:46:00Z</cp:lastPrinted>
  <dcterms:created xsi:type="dcterms:W3CDTF">2020-02-19T03:10:00Z</dcterms:created>
  <dcterms:modified xsi:type="dcterms:W3CDTF">2022-07-22T00:40:00Z</dcterms:modified>
</cp:coreProperties>
</file>