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603B9" w14:textId="77777777" w:rsidR="00D02F1A" w:rsidRPr="00AF2E47" w:rsidRDefault="00D02F1A" w:rsidP="008E0678">
      <w:pPr>
        <w:widowControl/>
        <w:tabs>
          <w:tab w:val="left" w:pos="6840"/>
          <w:tab w:val="right" w:pos="9360"/>
        </w:tabs>
        <w:rPr>
          <w:color w:val="000000" w:themeColor="text1"/>
        </w:rPr>
      </w:pPr>
      <w:r w:rsidRPr="00AF2E47">
        <w:rPr>
          <w:b/>
          <w:color w:val="000000" w:themeColor="text1"/>
          <w:sz w:val="28"/>
        </w:rPr>
        <w:t>HEARINGS BEFORE THE BOARD</w:t>
      </w:r>
      <w:r w:rsidRPr="00AF2E47">
        <w:rPr>
          <w:color w:val="000000" w:themeColor="text1"/>
          <w:sz w:val="28"/>
        </w:rPr>
        <w:tab/>
      </w:r>
      <w:r w:rsidRPr="00AF2E47">
        <w:rPr>
          <w:i/>
          <w:color w:val="000000" w:themeColor="text1"/>
          <w:sz w:val="20"/>
        </w:rPr>
        <w:t>Policy Code:</w:t>
      </w:r>
      <w:r w:rsidRPr="00AF2E47">
        <w:rPr>
          <w:color w:val="000000" w:themeColor="text1"/>
          <w:sz w:val="20"/>
        </w:rPr>
        <w:tab/>
      </w:r>
      <w:r w:rsidRPr="00AF2E47">
        <w:rPr>
          <w:b/>
          <w:color w:val="000000" w:themeColor="text1"/>
        </w:rPr>
        <w:t>2500</w:t>
      </w:r>
    </w:p>
    <w:p w14:paraId="1449B1D7" w14:textId="77777777" w:rsidR="00D02F1A" w:rsidRPr="00AF2E47" w:rsidRDefault="00EB5B17" w:rsidP="00D02F1A">
      <w:pPr>
        <w:widowControl/>
        <w:tabs>
          <w:tab w:val="left" w:pos="6840"/>
          <w:tab w:val="right" w:pos="9360"/>
        </w:tabs>
        <w:spacing w:line="109" w:lineRule="exact"/>
        <w:rPr>
          <w:color w:val="000000" w:themeColor="text1"/>
        </w:rPr>
      </w:pPr>
      <w:r w:rsidRPr="00AF2E47">
        <w:rPr>
          <w:noProof/>
          <w:snapToGrid/>
          <w:color w:val="000000" w:themeColor="text1"/>
        </w:rPr>
        <mc:AlternateContent>
          <mc:Choice Requires="wps">
            <w:drawing>
              <wp:anchor distT="0" distB="0" distL="114300" distR="114300" simplePos="0" relativeHeight="251657728" behindDoc="0" locked="0" layoutInCell="1" allowOverlap="1" wp14:anchorId="1F452977" wp14:editId="3B5485E9">
                <wp:simplePos x="0" y="0"/>
                <wp:positionH relativeFrom="column">
                  <wp:posOffset>0</wp:posOffset>
                </wp:positionH>
                <wp:positionV relativeFrom="paragraph">
                  <wp:posOffset>46990</wp:posOffset>
                </wp:positionV>
                <wp:extent cx="5943600" cy="0"/>
                <wp:effectExtent l="0" t="19050" r="19050" b="3810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55C9A"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pt" to="468pt,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" strokeweight="4.5pt">
                <v:stroke linestyle="thinThick"/>
              </v:line>
            </w:pict>
          </mc:Fallback>
        </mc:AlternateContent>
      </w:r>
    </w:p>
    <w:p w14:paraId="6A385294" w14:textId="77777777" w:rsidR="00D02F1A" w:rsidRPr="00AF2E47" w:rsidRDefault="00D02F1A" w:rsidP="00D02F1A">
      <w:pPr>
        <w:widowControl/>
        <w:tabs>
          <w:tab w:val="left" w:pos="-1440"/>
        </w:tabs>
        <w:jc w:val="both"/>
        <w:rPr>
          <w:color w:val="000000" w:themeColor="text1"/>
        </w:rPr>
      </w:pPr>
    </w:p>
    <w:p w14:paraId="0DC4F0EE" w14:textId="77777777" w:rsidR="00D02F1A" w:rsidRPr="00AF2E47" w:rsidRDefault="00D02F1A" w:rsidP="00D02F1A">
      <w:pPr>
        <w:widowControl/>
        <w:tabs>
          <w:tab w:val="left" w:pos="-1440"/>
        </w:tabs>
        <w:jc w:val="both"/>
        <w:rPr>
          <w:color w:val="000000" w:themeColor="text1"/>
        </w:rPr>
        <w:sectPr w:rsidR="00D02F1A" w:rsidRPr="00AF2E47" w:rsidSect="0018279A">
          <w:headerReference w:type="default" r:id="rId7"/>
          <w:footerReference w:type="default" r:id="rId8"/>
          <w:pgSz w:w="12240" w:h="15840" w:code="1"/>
          <w:pgMar w:top="1440" w:right="1440" w:bottom="1440" w:left="1440" w:header="720" w:footer="720" w:gutter="0"/>
          <w:cols w:space="720"/>
          <w:docGrid w:linePitch="360"/>
        </w:sectPr>
      </w:pPr>
    </w:p>
    <w:p w14:paraId="575B82EC" w14:textId="77777777" w:rsidR="00D02F1A" w:rsidRPr="00AF2E47" w:rsidRDefault="00D02F1A" w:rsidP="00D02F1A">
      <w:pPr>
        <w:widowControl/>
        <w:tabs>
          <w:tab w:val="left" w:pos="-1440"/>
        </w:tabs>
        <w:jc w:val="both"/>
        <w:rPr>
          <w:color w:val="000000" w:themeColor="text1"/>
        </w:rPr>
      </w:pPr>
      <w:r w:rsidRPr="00AF2E47">
        <w:rPr>
          <w:color w:val="000000" w:themeColor="text1"/>
        </w:rPr>
        <w:t>The board is guided by generally accepted standards of fairness in establishing processes for hearings before the board.  Given the board</w:t>
      </w:r>
      <w:r w:rsidR="00AC1FB4" w:rsidRPr="00AF2E47">
        <w:rPr>
          <w:color w:val="000000" w:themeColor="text1"/>
        </w:rPr>
        <w:t>’</w:t>
      </w:r>
      <w:r w:rsidRPr="00AF2E47">
        <w:rPr>
          <w:color w:val="000000" w:themeColor="text1"/>
        </w:rPr>
        <w:t xml:space="preserve">s considerable responsibilities for overseeing the educational program and operations of the school, the board also strives to be efficient in carrying out its various functions, including conducting hearings.  </w:t>
      </w:r>
    </w:p>
    <w:p w14:paraId="6CBA74DE" w14:textId="77777777" w:rsidR="00D02F1A" w:rsidRPr="00AF2E47" w:rsidRDefault="00D02F1A" w:rsidP="00D02F1A">
      <w:pPr>
        <w:widowControl/>
        <w:tabs>
          <w:tab w:val="left" w:pos="-1440"/>
        </w:tabs>
        <w:jc w:val="both"/>
        <w:rPr>
          <w:color w:val="000000" w:themeColor="text1"/>
        </w:rPr>
      </w:pPr>
    </w:p>
    <w:p w14:paraId="48226062" w14:textId="77777777" w:rsidR="00D02F1A" w:rsidRPr="00AF2E47" w:rsidRDefault="00D02F1A" w:rsidP="00D02F1A">
      <w:pPr>
        <w:widowControl/>
        <w:tabs>
          <w:tab w:val="left" w:pos="-1440"/>
        </w:tabs>
        <w:jc w:val="both"/>
        <w:rPr>
          <w:color w:val="000000" w:themeColor="text1"/>
        </w:rPr>
      </w:pPr>
      <w:r w:rsidRPr="00AF2E47">
        <w:rPr>
          <w:color w:val="000000" w:themeColor="text1"/>
        </w:rPr>
        <w:t>Unless other hearing processes are required by law or board policy</w:t>
      </w:r>
      <w:r w:rsidR="00560F87" w:rsidRPr="00AF2E47">
        <w:rPr>
          <w:color w:val="000000" w:themeColor="text1"/>
        </w:rPr>
        <w:t xml:space="preserve"> (for example, see policy 4370, Student Discipline Hearing Procedures)</w:t>
      </w:r>
      <w:r w:rsidRPr="00AF2E47">
        <w:rPr>
          <w:color w:val="000000" w:themeColor="text1"/>
        </w:rPr>
        <w:t xml:space="preserve">, the following procedures will apply in board hearings.  The board reserves the right to modify the procedures described in this policy as necessary in any </w:t>
      </w:r>
      <w:proofErr w:type="gramStart"/>
      <w:r w:rsidRPr="00AF2E47">
        <w:rPr>
          <w:color w:val="000000" w:themeColor="text1"/>
        </w:rPr>
        <w:t>particular hearing</w:t>
      </w:r>
      <w:proofErr w:type="gramEnd"/>
      <w:r w:rsidRPr="00AF2E47">
        <w:rPr>
          <w:color w:val="000000" w:themeColor="text1"/>
        </w:rPr>
        <w:t xml:space="preserve"> in order to be fair</w:t>
      </w:r>
      <w:r w:rsidR="004024AD" w:rsidRPr="00AF2E47">
        <w:rPr>
          <w:color w:val="000000" w:themeColor="text1"/>
        </w:rPr>
        <w:t xml:space="preserve"> and</w:t>
      </w:r>
      <w:r w:rsidRPr="00AF2E47">
        <w:rPr>
          <w:color w:val="000000" w:themeColor="text1"/>
        </w:rPr>
        <w:t xml:space="preserve"> efficient, </w:t>
      </w:r>
      <w:r w:rsidR="002156BC" w:rsidRPr="00AF2E47">
        <w:rPr>
          <w:color w:val="000000" w:themeColor="text1"/>
        </w:rPr>
        <w:t xml:space="preserve">in order to </w:t>
      </w:r>
      <w:r w:rsidRPr="00AF2E47">
        <w:rPr>
          <w:color w:val="000000" w:themeColor="text1"/>
        </w:rPr>
        <w:t xml:space="preserve">meet legal requirements or for any other reason the board deems sufficient.  </w:t>
      </w:r>
    </w:p>
    <w:p w14:paraId="69D873A1" w14:textId="77777777" w:rsidR="00D02F1A" w:rsidRPr="00AF2E47" w:rsidRDefault="00D02F1A" w:rsidP="00D02F1A">
      <w:pPr>
        <w:widowControl/>
        <w:tabs>
          <w:tab w:val="left" w:pos="-1440"/>
        </w:tabs>
        <w:jc w:val="both"/>
        <w:rPr>
          <w:color w:val="000000" w:themeColor="text1"/>
        </w:rPr>
      </w:pPr>
    </w:p>
    <w:p w14:paraId="2FD8D423" w14:textId="77777777" w:rsidR="00D02F1A" w:rsidRPr="00AF2E47" w:rsidRDefault="00D02F1A" w:rsidP="00B46107">
      <w:pPr>
        <w:pStyle w:val="ListParagraph"/>
        <w:widowControl/>
        <w:numPr>
          <w:ilvl w:val="0"/>
          <w:numId w:val="4"/>
        </w:numPr>
        <w:tabs>
          <w:tab w:val="left" w:pos="-1440"/>
        </w:tabs>
        <w:ind w:left="720" w:hanging="720"/>
        <w:jc w:val="both"/>
        <w:rPr>
          <w:color w:val="000000" w:themeColor="text1"/>
        </w:rPr>
      </w:pPr>
      <w:r w:rsidRPr="00AF2E47">
        <w:rPr>
          <w:color w:val="000000" w:themeColor="text1"/>
        </w:rPr>
        <w:t>A hearing will be open to the public unless a closed session is permitted by law.</w:t>
      </w:r>
    </w:p>
    <w:p w14:paraId="2C4F04BA" w14:textId="77777777" w:rsidR="00D02F1A" w:rsidRPr="00AF2E47" w:rsidRDefault="00D02F1A" w:rsidP="00D02F1A">
      <w:pPr>
        <w:widowControl/>
        <w:tabs>
          <w:tab w:val="left" w:pos="-1440"/>
        </w:tabs>
        <w:jc w:val="both"/>
        <w:rPr>
          <w:color w:val="000000" w:themeColor="text1"/>
        </w:rPr>
      </w:pPr>
    </w:p>
    <w:p w14:paraId="6E752E62" w14:textId="77777777" w:rsidR="00D02F1A" w:rsidRPr="00AF2E47" w:rsidRDefault="00D02F1A" w:rsidP="00D02F1A">
      <w:pPr>
        <w:widowControl/>
        <w:tabs>
          <w:tab w:val="left" w:pos="-1440"/>
        </w:tabs>
        <w:ind w:left="720"/>
        <w:jc w:val="both"/>
        <w:rPr>
          <w:color w:val="000000" w:themeColor="text1"/>
        </w:rPr>
      </w:pPr>
      <w:r w:rsidRPr="00AF2E47">
        <w:rPr>
          <w:color w:val="000000" w:themeColor="text1"/>
        </w:rPr>
        <w:t xml:space="preserve">It is the express policy of the State and this board to make hearings open to the public except for certain purposes specified in the Open Meetings Law.  </w:t>
      </w:r>
    </w:p>
    <w:p w14:paraId="20814523" w14:textId="77777777" w:rsidR="00D02F1A" w:rsidRPr="00AF2E47" w:rsidRDefault="00D02F1A" w:rsidP="00D02F1A">
      <w:pPr>
        <w:widowControl/>
        <w:tabs>
          <w:tab w:val="left" w:pos="-1440"/>
        </w:tabs>
        <w:jc w:val="both"/>
        <w:rPr>
          <w:color w:val="000000" w:themeColor="text1"/>
        </w:rPr>
      </w:pPr>
    </w:p>
    <w:p w14:paraId="1A4619F9" w14:textId="77777777" w:rsidR="00D02F1A" w:rsidRPr="00AF2E47" w:rsidRDefault="00D02F1A" w:rsidP="00D02F1A">
      <w:pPr>
        <w:widowControl/>
        <w:tabs>
          <w:tab w:val="left" w:pos="-1440"/>
        </w:tabs>
        <w:ind w:left="720"/>
        <w:jc w:val="both"/>
        <w:rPr>
          <w:color w:val="000000" w:themeColor="text1"/>
        </w:rPr>
      </w:pPr>
      <w:r w:rsidRPr="00AF2E47">
        <w:rPr>
          <w:color w:val="000000" w:themeColor="text1"/>
        </w:rPr>
        <w:t>Grievance appeals pursuant to policies 1740/4010</w:t>
      </w:r>
      <w:r w:rsidR="004024AD" w:rsidRPr="00AF2E47">
        <w:rPr>
          <w:color w:val="000000" w:themeColor="text1"/>
        </w:rPr>
        <w:t xml:space="preserve">, </w:t>
      </w:r>
      <w:r w:rsidRPr="00AF2E47">
        <w:rPr>
          <w:color w:val="000000" w:themeColor="text1"/>
        </w:rPr>
        <w:t>Student and Parent Grievance Procedure</w:t>
      </w:r>
      <w:r w:rsidR="004024AD" w:rsidRPr="00AF2E47">
        <w:rPr>
          <w:color w:val="000000" w:themeColor="text1"/>
        </w:rPr>
        <w:t>,</w:t>
      </w:r>
      <w:r w:rsidRPr="00AF2E47">
        <w:rPr>
          <w:color w:val="000000" w:themeColor="text1"/>
        </w:rPr>
        <w:t xml:space="preserve"> and 1750/7220</w:t>
      </w:r>
      <w:r w:rsidR="004024AD" w:rsidRPr="00AF2E47">
        <w:rPr>
          <w:color w:val="000000" w:themeColor="text1"/>
        </w:rPr>
        <w:t>,</w:t>
      </w:r>
      <w:r w:rsidRPr="00AF2E47">
        <w:rPr>
          <w:color w:val="000000" w:themeColor="text1"/>
        </w:rPr>
        <w:t xml:space="preserve"> Grievance Procedure for Employees</w:t>
      </w:r>
      <w:r w:rsidR="004024AD" w:rsidRPr="00AF2E47">
        <w:rPr>
          <w:color w:val="000000" w:themeColor="text1"/>
        </w:rPr>
        <w:t>,</w:t>
      </w:r>
      <w:r w:rsidRPr="00AF2E47">
        <w:rPr>
          <w:color w:val="000000" w:themeColor="text1"/>
        </w:rPr>
        <w:t xml:space="preserve"> typically will be heard in </w:t>
      </w:r>
      <w:r w:rsidR="008A351B" w:rsidRPr="00AF2E47">
        <w:rPr>
          <w:color w:val="000000" w:themeColor="text1"/>
        </w:rPr>
        <w:t>closed sessions in order to prev</w:t>
      </w:r>
      <w:r w:rsidRPr="00AF2E47">
        <w:rPr>
          <w:color w:val="000000" w:themeColor="text1"/>
        </w:rPr>
        <w:t xml:space="preserve">ent the disclosure of confidential information.  Closed sessions </w:t>
      </w:r>
      <w:r w:rsidR="00366CE7" w:rsidRPr="00AF2E47">
        <w:rPr>
          <w:color w:val="000000" w:themeColor="text1"/>
        </w:rPr>
        <w:t>will</w:t>
      </w:r>
      <w:r w:rsidR="00F044AB" w:rsidRPr="00AF2E47">
        <w:rPr>
          <w:color w:val="000000" w:themeColor="text1"/>
        </w:rPr>
        <w:t xml:space="preserve"> </w:t>
      </w:r>
      <w:r w:rsidRPr="00AF2E47">
        <w:rPr>
          <w:color w:val="000000" w:themeColor="text1"/>
        </w:rPr>
        <w:t>be conducted in accordance with policy 2320</w:t>
      </w:r>
      <w:r w:rsidR="006E428A" w:rsidRPr="00AF2E47">
        <w:rPr>
          <w:color w:val="000000" w:themeColor="text1"/>
        </w:rPr>
        <w:t>, Compliance</w:t>
      </w:r>
      <w:r w:rsidRPr="00AF2E47">
        <w:rPr>
          <w:color w:val="000000" w:themeColor="text1"/>
        </w:rPr>
        <w:t xml:space="preserve"> with the Open Meetings Law.</w:t>
      </w:r>
    </w:p>
    <w:p w14:paraId="0E5F1929" w14:textId="77777777" w:rsidR="00D02F1A" w:rsidRPr="00AF2E47" w:rsidRDefault="00D02F1A" w:rsidP="00D02F1A">
      <w:pPr>
        <w:widowControl/>
        <w:tabs>
          <w:tab w:val="left" w:pos="-1440"/>
        </w:tabs>
        <w:jc w:val="both"/>
        <w:rPr>
          <w:color w:val="000000" w:themeColor="text1"/>
        </w:rPr>
      </w:pPr>
    </w:p>
    <w:p w14:paraId="7154FA1B" w14:textId="77777777" w:rsidR="00D02F1A" w:rsidRPr="00AF2E47" w:rsidRDefault="00D02F1A" w:rsidP="00D02F1A">
      <w:pPr>
        <w:widowControl/>
        <w:tabs>
          <w:tab w:val="left" w:pos="-1440"/>
        </w:tabs>
        <w:ind w:left="720"/>
        <w:jc w:val="both"/>
        <w:rPr>
          <w:color w:val="000000" w:themeColor="text1"/>
        </w:rPr>
      </w:pPr>
      <w:r w:rsidRPr="00AF2E47">
        <w:rPr>
          <w:color w:val="000000" w:themeColor="text1"/>
        </w:rPr>
        <w:t>The board will consider requests made by a parent, student</w:t>
      </w:r>
      <w:r w:rsidR="00560F87" w:rsidRPr="00AF2E47">
        <w:rPr>
          <w:color w:val="000000" w:themeColor="text1"/>
        </w:rPr>
        <w:t>,</w:t>
      </w:r>
      <w:r w:rsidRPr="00AF2E47">
        <w:rPr>
          <w:color w:val="000000" w:themeColor="text1"/>
        </w:rPr>
        <w:t xml:space="preserve"> or employee to conduct a hearing in open session that is permitted by law to be held in closed session.  However, the board will make the final determination of whether a hearing will be held in open or closed session.  </w:t>
      </w:r>
    </w:p>
    <w:p w14:paraId="640BD132" w14:textId="77777777" w:rsidR="00D02F1A" w:rsidRPr="00AF2E47" w:rsidRDefault="00D02F1A" w:rsidP="00D02F1A">
      <w:pPr>
        <w:widowControl/>
        <w:tabs>
          <w:tab w:val="left" w:pos="-1440"/>
        </w:tabs>
        <w:jc w:val="both"/>
        <w:rPr>
          <w:color w:val="000000" w:themeColor="text1"/>
        </w:rPr>
      </w:pPr>
    </w:p>
    <w:p w14:paraId="346560E1" w14:textId="5CFA6BB6" w:rsidR="00D02F1A" w:rsidRPr="00AF2E47" w:rsidRDefault="00D02F1A" w:rsidP="00B46107">
      <w:pPr>
        <w:pStyle w:val="ListParagraph"/>
        <w:widowControl/>
        <w:numPr>
          <w:ilvl w:val="0"/>
          <w:numId w:val="4"/>
        </w:numPr>
        <w:tabs>
          <w:tab w:val="left" w:pos="-1440"/>
        </w:tabs>
        <w:ind w:left="720" w:hanging="720"/>
        <w:jc w:val="both"/>
        <w:rPr>
          <w:color w:val="000000" w:themeColor="text1"/>
        </w:rPr>
      </w:pPr>
      <w:r w:rsidRPr="00AF2E47">
        <w:rPr>
          <w:color w:val="000000" w:themeColor="text1"/>
        </w:rPr>
        <w:t xml:space="preserve">The </w:t>
      </w:r>
      <w:r w:rsidR="00EE1DCC" w:rsidRPr="00AF2E47">
        <w:rPr>
          <w:color w:val="000000" w:themeColor="text1"/>
        </w:rPr>
        <w:t xml:space="preserve">executive director </w:t>
      </w:r>
      <w:r w:rsidRPr="00AF2E47">
        <w:rPr>
          <w:color w:val="000000" w:themeColor="text1"/>
        </w:rPr>
        <w:t xml:space="preserve">is responsible for providing sufficient notice of the time and place </w:t>
      </w:r>
      <w:r w:rsidR="0076569E" w:rsidRPr="00AF2E47">
        <w:rPr>
          <w:color w:val="000000" w:themeColor="text1"/>
        </w:rPr>
        <w:t xml:space="preserve">that </w:t>
      </w:r>
      <w:r w:rsidRPr="00AF2E47">
        <w:rPr>
          <w:color w:val="000000" w:themeColor="text1"/>
        </w:rPr>
        <w:t xml:space="preserve">a hearing will be held and the nature of the hearing that will be available.  </w:t>
      </w:r>
    </w:p>
    <w:p w14:paraId="304258ED" w14:textId="77777777" w:rsidR="00D02F1A" w:rsidRPr="00AF2E47" w:rsidRDefault="00D02F1A" w:rsidP="00D02F1A">
      <w:pPr>
        <w:widowControl/>
        <w:tabs>
          <w:tab w:val="left" w:pos="-1440"/>
        </w:tabs>
        <w:jc w:val="both"/>
        <w:rPr>
          <w:color w:val="000000" w:themeColor="text1"/>
        </w:rPr>
      </w:pPr>
    </w:p>
    <w:p w14:paraId="7C5A56FB" w14:textId="79902FF5" w:rsidR="00D02F1A" w:rsidRPr="00AF2E47" w:rsidRDefault="00D02F1A" w:rsidP="00D02F1A">
      <w:pPr>
        <w:widowControl/>
        <w:tabs>
          <w:tab w:val="left" w:pos="-1440"/>
        </w:tabs>
        <w:ind w:left="720"/>
        <w:jc w:val="both"/>
        <w:rPr>
          <w:color w:val="000000" w:themeColor="text1"/>
        </w:rPr>
      </w:pPr>
      <w:r w:rsidRPr="00AF2E47">
        <w:rPr>
          <w:color w:val="000000" w:themeColor="text1"/>
        </w:rPr>
        <w:t xml:space="preserve">In order to resolve complaints expeditiously, board hearings will be scheduled as promptly as </w:t>
      </w:r>
      <w:proofErr w:type="gramStart"/>
      <w:r w:rsidRPr="00AF2E47">
        <w:rPr>
          <w:color w:val="000000" w:themeColor="text1"/>
        </w:rPr>
        <w:t>possible</w:t>
      </w:r>
      <w:proofErr w:type="gramEnd"/>
      <w:r w:rsidRPr="00AF2E47">
        <w:rPr>
          <w:color w:val="000000" w:themeColor="text1"/>
        </w:rPr>
        <w:t xml:space="preserve"> and notice given to the parties.  The </w:t>
      </w:r>
      <w:r w:rsidR="00EE1DCC" w:rsidRPr="00AF2E47">
        <w:rPr>
          <w:color w:val="000000" w:themeColor="text1"/>
        </w:rPr>
        <w:t>executive director</w:t>
      </w:r>
      <w:r w:rsidR="00560F87" w:rsidRPr="00AF2E47">
        <w:rPr>
          <w:color w:val="000000" w:themeColor="text1"/>
        </w:rPr>
        <w:t xml:space="preserve"> </w:t>
      </w:r>
      <w:r w:rsidRPr="00AF2E47">
        <w:rPr>
          <w:color w:val="000000" w:themeColor="text1"/>
        </w:rPr>
        <w:t xml:space="preserve">should provide as much notice as is feasible given the </w:t>
      </w:r>
      <w:proofErr w:type="gramStart"/>
      <w:r w:rsidRPr="00AF2E47">
        <w:rPr>
          <w:color w:val="000000" w:themeColor="text1"/>
        </w:rPr>
        <w:t>particular circumstances</w:t>
      </w:r>
      <w:proofErr w:type="gramEnd"/>
      <w:r w:rsidRPr="00AF2E47">
        <w:rPr>
          <w:color w:val="000000" w:themeColor="text1"/>
        </w:rPr>
        <w:t xml:space="preserve">.  The </w:t>
      </w:r>
      <w:r w:rsidR="00EE1DCC" w:rsidRPr="00AF2E47">
        <w:rPr>
          <w:color w:val="000000" w:themeColor="text1"/>
        </w:rPr>
        <w:t xml:space="preserve">executive director </w:t>
      </w:r>
      <w:r w:rsidR="00682A8A" w:rsidRPr="00AF2E47">
        <w:rPr>
          <w:color w:val="000000" w:themeColor="text1"/>
        </w:rPr>
        <w:t>shall</w:t>
      </w:r>
      <w:r w:rsidRPr="00AF2E47">
        <w:rPr>
          <w:color w:val="000000" w:themeColor="text1"/>
        </w:rPr>
        <w:t xml:space="preserve"> provide a copy of this policy and, when possible, specify time limitations on the oral presentation if different from what is provided in </w:t>
      </w:r>
      <w:r w:rsidR="00921063" w:rsidRPr="00AF2E47">
        <w:rPr>
          <w:color w:val="000000" w:themeColor="text1"/>
        </w:rPr>
        <w:t>number</w:t>
      </w:r>
      <w:r w:rsidRPr="00AF2E47">
        <w:rPr>
          <w:color w:val="000000" w:themeColor="text1"/>
        </w:rPr>
        <w:t xml:space="preserve"> </w:t>
      </w:r>
      <w:r w:rsidR="007104F7" w:rsidRPr="00AF2E47">
        <w:rPr>
          <w:color w:val="000000" w:themeColor="text1"/>
        </w:rPr>
        <w:t>5</w:t>
      </w:r>
      <w:r w:rsidRPr="00AF2E47">
        <w:rPr>
          <w:color w:val="000000" w:themeColor="text1"/>
        </w:rPr>
        <w:t xml:space="preserve"> of this policy.  </w:t>
      </w:r>
    </w:p>
    <w:p w14:paraId="30C7E80D" w14:textId="77777777" w:rsidR="00D02F1A" w:rsidRPr="00AF2E47" w:rsidRDefault="00D02F1A" w:rsidP="00D02F1A">
      <w:pPr>
        <w:widowControl/>
        <w:tabs>
          <w:tab w:val="left" w:pos="-1440"/>
        </w:tabs>
        <w:ind w:left="720" w:hanging="720"/>
        <w:jc w:val="both"/>
        <w:rPr>
          <w:color w:val="000000" w:themeColor="text1"/>
        </w:rPr>
      </w:pPr>
    </w:p>
    <w:p w14:paraId="001E00C9" w14:textId="77777777" w:rsidR="00D02F1A" w:rsidRPr="00AF2E47" w:rsidRDefault="00D02F1A" w:rsidP="00B46107">
      <w:pPr>
        <w:pStyle w:val="ListParagraph"/>
        <w:widowControl/>
        <w:numPr>
          <w:ilvl w:val="0"/>
          <w:numId w:val="4"/>
        </w:numPr>
        <w:tabs>
          <w:tab w:val="left" w:pos="-1440"/>
        </w:tabs>
        <w:ind w:left="720" w:hanging="720"/>
        <w:jc w:val="both"/>
        <w:rPr>
          <w:color w:val="000000" w:themeColor="text1"/>
        </w:rPr>
      </w:pPr>
      <w:r w:rsidRPr="00AF2E47">
        <w:rPr>
          <w:color w:val="000000" w:themeColor="text1"/>
        </w:rPr>
        <w:t xml:space="preserve">Individual hearings will be held unless the board determines that a group hearing would be a more effective process for hearing and addressing the matter.  </w:t>
      </w:r>
    </w:p>
    <w:p w14:paraId="1A10CC21" w14:textId="77777777" w:rsidR="00D02F1A" w:rsidRPr="00AF2E47" w:rsidRDefault="00D02F1A" w:rsidP="00D02F1A">
      <w:pPr>
        <w:widowControl/>
        <w:tabs>
          <w:tab w:val="left" w:pos="-1440"/>
        </w:tabs>
        <w:jc w:val="both"/>
        <w:rPr>
          <w:color w:val="000000" w:themeColor="text1"/>
        </w:rPr>
      </w:pPr>
    </w:p>
    <w:p w14:paraId="1173CECE" w14:textId="77777777" w:rsidR="00D02F1A" w:rsidRPr="00AF2E47" w:rsidRDefault="004024AD" w:rsidP="00D02F1A">
      <w:pPr>
        <w:widowControl/>
        <w:tabs>
          <w:tab w:val="left" w:pos="-1440"/>
        </w:tabs>
        <w:ind w:left="720"/>
        <w:jc w:val="both"/>
        <w:rPr>
          <w:color w:val="000000" w:themeColor="text1"/>
        </w:rPr>
      </w:pPr>
      <w:r w:rsidRPr="00AF2E47">
        <w:rPr>
          <w:color w:val="000000" w:themeColor="text1"/>
        </w:rPr>
        <w:t xml:space="preserve">When </w:t>
      </w:r>
      <w:r w:rsidR="00D02F1A" w:rsidRPr="00AF2E47">
        <w:rPr>
          <w:color w:val="000000" w:themeColor="text1"/>
        </w:rPr>
        <w:t xml:space="preserve">two or more individuals share the same or </w:t>
      </w:r>
      <w:r w:rsidR="0076569E" w:rsidRPr="00AF2E47">
        <w:rPr>
          <w:color w:val="000000" w:themeColor="text1"/>
        </w:rPr>
        <w:t xml:space="preserve">a </w:t>
      </w:r>
      <w:r w:rsidR="00D02F1A" w:rsidRPr="00AF2E47">
        <w:rPr>
          <w:color w:val="000000" w:themeColor="text1"/>
        </w:rPr>
        <w:t>similar concern or are involved in the same matter to be heard by the board, the board may consider whether to conduct a group hearing.  The board may consider factors such as generally accepted standards of fairness, the need for efficiency</w:t>
      </w:r>
      <w:r w:rsidR="00560F87" w:rsidRPr="00AF2E47">
        <w:rPr>
          <w:color w:val="000000" w:themeColor="text1"/>
        </w:rPr>
        <w:t>,</w:t>
      </w:r>
      <w:r w:rsidR="00D02F1A" w:rsidRPr="00AF2E47">
        <w:rPr>
          <w:color w:val="000000" w:themeColor="text1"/>
        </w:rPr>
        <w:t xml:space="preserve"> and the ability to prevent the disclosure of confidential information. </w:t>
      </w:r>
      <w:r w:rsidR="00682A8A" w:rsidRPr="00AF2E47">
        <w:rPr>
          <w:color w:val="000000" w:themeColor="text1"/>
        </w:rPr>
        <w:t xml:space="preserve"> </w:t>
      </w:r>
      <w:r w:rsidR="00D02F1A" w:rsidRPr="00AF2E47">
        <w:rPr>
          <w:color w:val="000000" w:themeColor="text1"/>
        </w:rPr>
        <w:lastRenderedPageBreak/>
        <w:t>The board will consider requests for group or individual hearings and will make the final determination.</w:t>
      </w:r>
    </w:p>
    <w:p w14:paraId="22D17B40" w14:textId="77777777" w:rsidR="00D02F1A" w:rsidRPr="00AF2E47" w:rsidRDefault="00D02F1A" w:rsidP="00D02F1A">
      <w:pPr>
        <w:widowControl/>
        <w:tabs>
          <w:tab w:val="left" w:pos="-1440"/>
        </w:tabs>
        <w:jc w:val="both"/>
        <w:rPr>
          <w:color w:val="000000" w:themeColor="text1"/>
        </w:rPr>
      </w:pPr>
    </w:p>
    <w:p w14:paraId="59721E0C" w14:textId="77777777" w:rsidR="00D02F1A" w:rsidRPr="00AF2E47" w:rsidRDefault="00D02F1A" w:rsidP="00B46107">
      <w:pPr>
        <w:pStyle w:val="ListParagraph"/>
        <w:widowControl/>
        <w:numPr>
          <w:ilvl w:val="0"/>
          <w:numId w:val="4"/>
        </w:numPr>
        <w:tabs>
          <w:tab w:val="left" w:pos="-1440"/>
        </w:tabs>
        <w:ind w:left="720" w:hanging="720"/>
        <w:jc w:val="both"/>
        <w:rPr>
          <w:color w:val="000000" w:themeColor="text1"/>
        </w:rPr>
      </w:pPr>
      <w:r w:rsidRPr="00AF2E47">
        <w:rPr>
          <w:color w:val="000000" w:themeColor="text1"/>
        </w:rPr>
        <w:t xml:space="preserve">Unless otherwise required by law, the board may designate a panel of </w:t>
      </w:r>
      <w:r w:rsidR="00C931D4" w:rsidRPr="00AF2E47">
        <w:rPr>
          <w:color w:val="000000" w:themeColor="text1"/>
        </w:rPr>
        <w:t>three</w:t>
      </w:r>
      <w:r w:rsidRPr="00AF2E47">
        <w:rPr>
          <w:color w:val="000000" w:themeColor="text1"/>
        </w:rPr>
        <w:t xml:space="preserve"> board members to hear and act on behalf of the board.  </w:t>
      </w:r>
    </w:p>
    <w:p w14:paraId="09F78F93" w14:textId="77777777" w:rsidR="00D02F1A" w:rsidRPr="00AF2E47" w:rsidRDefault="00D02F1A" w:rsidP="00D02F1A">
      <w:pPr>
        <w:widowControl/>
        <w:tabs>
          <w:tab w:val="left" w:pos="-1440"/>
        </w:tabs>
        <w:jc w:val="both"/>
        <w:rPr>
          <w:color w:val="000000" w:themeColor="text1"/>
        </w:rPr>
      </w:pPr>
    </w:p>
    <w:p w14:paraId="794BAC60" w14:textId="2F0CE705" w:rsidR="00D02F1A" w:rsidRPr="00AF2E47" w:rsidRDefault="00D02F1A" w:rsidP="00D02F1A">
      <w:pPr>
        <w:widowControl/>
        <w:tabs>
          <w:tab w:val="left" w:pos="-1440"/>
        </w:tabs>
        <w:ind w:left="720"/>
        <w:jc w:val="both"/>
        <w:rPr>
          <w:color w:val="000000" w:themeColor="text1"/>
        </w:rPr>
      </w:pPr>
      <w:r w:rsidRPr="00AF2E47">
        <w:rPr>
          <w:color w:val="000000" w:themeColor="text1"/>
        </w:rPr>
        <w:t xml:space="preserve">The </w:t>
      </w:r>
      <w:r w:rsidR="00EE1DCC" w:rsidRPr="00AF2E47">
        <w:rPr>
          <w:color w:val="000000" w:themeColor="text1"/>
        </w:rPr>
        <w:t>executive director</w:t>
      </w:r>
      <w:r w:rsidR="00560F87" w:rsidRPr="00AF2E47">
        <w:rPr>
          <w:color w:val="000000" w:themeColor="text1"/>
        </w:rPr>
        <w:t xml:space="preserve"> </w:t>
      </w:r>
      <w:r w:rsidR="00920F37" w:rsidRPr="00AF2E47">
        <w:rPr>
          <w:color w:val="000000" w:themeColor="text1"/>
        </w:rPr>
        <w:t>shall</w:t>
      </w:r>
      <w:r w:rsidRPr="00AF2E47">
        <w:rPr>
          <w:color w:val="000000" w:themeColor="text1"/>
        </w:rPr>
        <w:t xml:space="preserve"> confer with the chairperson of the board to determine whether the full board or a panel of the board will conduct a hearing.  The board also may establish a panel to hear certain types of appeals, such as student grievances.  </w:t>
      </w:r>
    </w:p>
    <w:p w14:paraId="6720E4FF" w14:textId="77777777" w:rsidR="00D02F1A" w:rsidRPr="00AF2E47" w:rsidRDefault="00D02F1A" w:rsidP="00D02F1A">
      <w:pPr>
        <w:widowControl/>
        <w:tabs>
          <w:tab w:val="left" w:pos="-1440"/>
        </w:tabs>
        <w:jc w:val="both"/>
        <w:rPr>
          <w:color w:val="000000" w:themeColor="text1"/>
        </w:rPr>
      </w:pPr>
    </w:p>
    <w:p w14:paraId="73FDE9DE" w14:textId="77777777" w:rsidR="00D02F1A" w:rsidRPr="00AF2E47" w:rsidRDefault="00D02F1A" w:rsidP="00B46107">
      <w:pPr>
        <w:pStyle w:val="ListParagraph"/>
        <w:widowControl/>
        <w:numPr>
          <w:ilvl w:val="0"/>
          <w:numId w:val="4"/>
        </w:numPr>
        <w:tabs>
          <w:tab w:val="left" w:pos="-1440"/>
        </w:tabs>
        <w:ind w:left="720" w:hanging="720"/>
        <w:jc w:val="both"/>
        <w:rPr>
          <w:color w:val="000000" w:themeColor="text1"/>
        </w:rPr>
      </w:pPr>
      <w:r w:rsidRPr="00AF2E47">
        <w:rPr>
          <w:color w:val="000000" w:themeColor="text1"/>
        </w:rPr>
        <w:t xml:space="preserve">All parties involved in the hearing may submit written position statements and will be given the opportunity for a limited oral presentation.  </w:t>
      </w:r>
    </w:p>
    <w:p w14:paraId="6F01E4AE" w14:textId="77777777" w:rsidR="00D02F1A" w:rsidRPr="00AF2E47" w:rsidRDefault="00D02F1A" w:rsidP="00D02F1A">
      <w:pPr>
        <w:widowControl/>
        <w:tabs>
          <w:tab w:val="left" w:pos="-1440"/>
        </w:tabs>
        <w:jc w:val="both"/>
        <w:rPr>
          <w:color w:val="000000" w:themeColor="text1"/>
        </w:rPr>
      </w:pPr>
    </w:p>
    <w:p w14:paraId="36AECAF1" w14:textId="77777777" w:rsidR="00D02F1A" w:rsidRPr="00AF2E47" w:rsidRDefault="00D02F1A" w:rsidP="00D02F1A">
      <w:pPr>
        <w:widowControl/>
        <w:tabs>
          <w:tab w:val="left" w:pos="-1440"/>
        </w:tabs>
        <w:ind w:left="720"/>
        <w:jc w:val="both"/>
        <w:rPr>
          <w:color w:val="000000" w:themeColor="text1"/>
        </w:rPr>
      </w:pPr>
      <w:r w:rsidRPr="00AF2E47">
        <w:rPr>
          <w:color w:val="000000" w:themeColor="text1"/>
        </w:rPr>
        <w:t xml:space="preserve">Written statements may be submitted at the hearing or in advance of the hearing unless otherwise specified.  All parties will be given the opportunity to address the board </w:t>
      </w:r>
      <w:r w:rsidR="005B4E87" w:rsidRPr="00AF2E47">
        <w:rPr>
          <w:color w:val="000000" w:themeColor="text1"/>
        </w:rPr>
        <w:t xml:space="preserve">orally </w:t>
      </w:r>
      <w:r w:rsidRPr="00AF2E47">
        <w:rPr>
          <w:color w:val="000000" w:themeColor="text1"/>
        </w:rPr>
        <w:t xml:space="preserve">as well.  The board may establish time limitations for oral presentations for different types of hearings or may set the time limitation for a particular hearing.  Unless a different time frame is established in the notice, </w:t>
      </w:r>
      <w:r w:rsidR="000C1372" w:rsidRPr="00AF2E47">
        <w:rPr>
          <w:color w:val="000000" w:themeColor="text1"/>
        </w:rPr>
        <w:t xml:space="preserve">in </w:t>
      </w:r>
      <w:r w:rsidRPr="00AF2E47">
        <w:rPr>
          <w:color w:val="000000" w:themeColor="text1"/>
        </w:rPr>
        <w:t>applicable board policies</w:t>
      </w:r>
      <w:r w:rsidR="00560F87" w:rsidRPr="00AF2E47">
        <w:rPr>
          <w:color w:val="000000" w:themeColor="text1"/>
        </w:rPr>
        <w:t>,</w:t>
      </w:r>
      <w:r w:rsidRPr="00AF2E47">
        <w:rPr>
          <w:color w:val="000000" w:themeColor="text1"/>
        </w:rPr>
        <w:t xml:space="preserve"> or at the hearing, each party will be offered 15 minutes to present his or her position to the board.  </w:t>
      </w:r>
    </w:p>
    <w:p w14:paraId="6AAC5065" w14:textId="77777777" w:rsidR="00D02F1A" w:rsidRPr="00AF2E47" w:rsidRDefault="00D02F1A" w:rsidP="00D02F1A">
      <w:pPr>
        <w:widowControl/>
        <w:tabs>
          <w:tab w:val="left" w:pos="-1440"/>
        </w:tabs>
        <w:jc w:val="both"/>
        <w:rPr>
          <w:color w:val="000000" w:themeColor="text1"/>
        </w:rPr>
      </w:pPr>
    </w:p>
    <w:p w14:paraId="6F953284" w14:textId="77777777" w:rsidR="00D02F1A" w:rsidRPr="00AF2E47" w:rsidRDefault="00D02F1A" w:rsidP="00B46107">
      <w:pPr>
        <w:pStyle w:val="ListParagraph"/>
        <w:widowControl/>
        <w:numPr>
          <w:ilvl w:val="0"/>
          <w:numId w:val="4"/>
        </w:numPr>
        <w:tabs>
          <w:tab w:val="left" w:pos="-1440"/>
        </w:tabs>
        <w:ind w:left="720" w:hanging="720"/>
        <w:jc w:val="both"/>
        <w:rPr>
          <w:color w:val="000000" w:themeColor="text1"/>
        </w:rPr>
      </w:pPr>
      <w:r w:rsidRPr="00AF2E47">
        <w:rPr>
          <w:color w:val="000000" w:themeColor="text1"/>
        </w:rPr>
        <w:t>The board may limit oral presentation to be made by the parties themselves</w:t>
      </w:r>
      <w:r w:rsidR="00920F37" w:rsidRPr="00AF2E47">
        <w:rPr>
          <w:color w:val="000000" w:themeColor="text1"/>
        </w:rPr>
        <w:t>;</w:t>
      </w:r>
      <w:r w:rsidRPr="00AF2E47">
        <w:rPr>
          <w:color w:val="000000" w:themeColor="text1"/>
        </w:rPr>
        <w:t xml:space="preserve"> other witnesses may be excluded.    </w:t>
      </w:r>
    </w:p>
    <w:p w14:paraId="49BFED82" w14:textId="77777777" w:rsidR="00D02F1A" w:rsidRPr="00AF2E47" w:rsidRDefault="00D02F1A" w:rsidP="00D02F1A">
      <w:pPr>
        <w:widowControl/>
        <w:tabs>
          <w:tab w:val="left" w:pos="-1440"/>
        </w:tabs>
        <w:ind w:left="720"/>
        <w:jc w:val="both"/>
        <w:rPr>
          <w:color w:val="000000" w:themeColor="text1"/>
        </w:rPr>
      </w:pPr>
    </w:p>
    <w:p w14:paraId="6307824B" w14:textId="0961C1CC" w:rsidR="00D02F1A" w:rsidRPr="00AF2E47" w:rsidRDefault="00D02F1A" w:rsidP="00D02F1A">
      <w:pPr>
        <w:widowControl/>
        <w:tabs>
          <w:tab w:val="left" w:pos="-1440"/>
        </w:tabs>
        <w:ind w:left="720"/>
        <w:jc w:val="both"/>
        <w:rPr>
          <w:color w:val="000000" w:themeColor="text1"/>
        </w:rPr>
      </w:pPr>
      <w:r w:rsidRPr="00AF2E47">
        <w:rPr>
          <w:color w:val="000000" w:themeColor="text1"/>
        </w:rPr>
        <w:t xml:space="preserve">The board believes that in most instances, </w:t>
      </w:r>
      <w:r w:rsidR="005B4E87" w:rsidRPr="00AF2E47">
        <w:rPr>
          <w:color w:val="000000" w:themeColor="text1"/>
        </w:rPr>
        <w:t>permitting the parties to speak before the board enables a fair presentation of the parties’ positions.</w:t>
      </w:r>
      <w:r w:rsidRPr="00AF2E47">
        <w:rPr>
          <w:color w:val="000000" w:themeColor="text1"/>
        </w:rPr>
        <w:t xml:space="preserve">  The board may designate types of hearings in which parties may or may not be represented by legal counsel.  Any individual intending to be represented by legal counsel must notify the </w:t>
      </w:r>
      <w:r w:rsidR="00EE1DCC" w:rsidRPr="00AF2E47">
        <w:rPr>
          <w:color w:val="000000" w:themeColor="text1"/>
        </w:rPr>
        <w:t xml:space="preserve">executive director </w:t>
      </w:r>
      <w:r w:rsidRPr="00AF2E47">
        <w:rPr>
          <w:color w:val="000000" w:themeColor="text1"/>
        </w:rPr>
        <w:t>in advance of the hearing so that there will be an opportunity to clarify whether legal counsel may be used and to provide the</w:t>
      </w:r>
      <w:r w:rsidR="00EE1DCC" w:rsidRPr="00AF2E47">
        <w:rPr>
          <w:color w:val="000000" w:themeColor="text1"/>
        </w:rPr>
        <w:t xml:space="preserve"> executive director</w:t>
      </w:r>
      <w:r w:rsidR="00560F87" w:rsidRPr="00AF2E47">
        <w:rPr>
          <w:color w:val="000000" w:themeColor="text1"/>
        </w:rPr>
        <w:t xml:space="preserve"> </w:t>
      </w:r>
      <w:r w:rsidRPr="00AF2E47">
        <w:rPr>
          <w:color w:val="000000" w:themeColor="text1"/>
        </w:rPr>
        <w:t xml:space="preserve">and board the opportunity to be represented by legal counsel.  If necessary, the meeting may be rescheduled </w:t>
      </w:r>
      <w:r w:rsidR="005B4E87" w:rsidRPr="00AF2E47">
        <w:rPr>
          <w:color w:val="000000" w:themeColor="text1"/>
        </w:rPr>
        <w:t>to enable</w:t>
      </w:r>
      <w:r w:rsidRPr="00AF2E47">
        <w:rPr>
          <w:color w:val="000000" w:themeColor="text1"/>
        </w:rPr>
        <w:t xml:space="preserve"> the board and/or </w:t>
      </w:r>
      <w:r w:rsidR="00AF2E47">
        <w:rPr>
          <w:color w:val="000000" w:themeColor="text1"/>
        </w:rPr>
        <w:t>executive director</w:t>
      </w:r>
      <w:r w:rsidR="00560F87" w:rsidRPr="00AF2E47">
        <w:rPr>
          <w:color w:val="000000" w:themeColor="text1"/>
        </w:rPr>
        <w:t xml:space="preserve"> </w:t>
      </w:r>
      <w:r w:rsidR="005B4E87" w:rsidRPr="00AF2E47">
        <w:rPr>
          <w:color w:val="000000" w:themeColor="text1"/>
        </w:rPr>
        <w:t xml:space="preserve">to </w:t>
      </w:r>
      <w:r w:rsidRPr="00AF2E47">
        <w:rPr>
          <w:color w:val="000000" w:themeColor="text1"/>
        </w:rPr>
        <w:t xml:space="preserve">secure legal counsel for the hearing.  </w:t>
      </w:r>
    </w:p>
    <w:p w14:paraId="321E70EE" w14:textId="77777777" w:rsidR="00D02F1A" w:rsidRPr="00AF2E47" w:rsidRDefault="00D02F1A" w:rsidP="00D02F1A">
      <w:pPr>
        <w:widowControl/>
        <w:tabs>
          <w:tab w:val="left" w:pos="-1440"/>
        </w:tabs>
        <w:jc w:val="both"/>
        <w:rPr>
          <w:color w:val="000000" w:themeColor="text1"/>
        </w:rPr>
      </w:pPr>
    </w:p>
    <w:p w14:paraId="54DF33B3" w14:textId="77777777" w:rsidR="00D02F1A" w:rsidRPr="00AF2E47" w:rsidRDefault="00D02F1A" w:rsidP="00B46107">
      <w:pPr>
        <w:pStyle w:val="ListParagraph"/>
        <w:widowControl/>
        <w:numPr>
          <w:ilvl w:val="0"/>
          <w:numId w:val="4"/>
        </w:numPr>
        <w:tabs>
          <w:tab w:val="left" w:pos="-1440"/>
        </w:tabs>
        <w:ind w:left="720" w:hanging="720"/>
        <w:jc w:val="both"/>
        <w:rPr>
          <w:color w:val="000000" w:themeColor="text1"/>
        </w:rPr>
      </w:pPr>
      <w:r w:rsidRPr="00AF2E47">
        <w:rPr>
          <w:color w:val="000000" w:themeColor="text1"/>
        </w:rPr>
        <w:t xml:space="preserve">Legal </w:t>
      </w:r>
      <w:r w:rsidR="007231CD" w:rsidRPr="00AF2E47">
        <w:rPr>
          <w:color w:val="000000" w:themeColor="text1"/>
        </w:rPr>
        <w:t>rules of evidence</w:t>
      </w:r>
      <w:r w:rsidRPr="00AF2E47">
        <w:rPr>
          <w:color w:val="000000" w:themeColor="text1"/>
        </w:rPr>
        <w:t xml:space="preserve"> do not apply to information considered by the board.  </w:t>
      </w:r>
    </w:p>
    <w:p w14:paraId="11CF40AF" w14:textId="77777777" w:rsidR="00D02F1A" w:rsidRPr="00AF2E47" w:rsidRDefault="00D02F1A" w:rsidP="00D02F1A">
      <w:pPr>
        <w:widowControl/>
        <w:tabs>
          <w:tab w:val="left" w:pos="-1440"/>
        </w:tabs>
        <w:jc w:val="both"/>
        <w:rPr>
          <w:color w:val="000000" w:themeColor="text1"/>
        </w:rPr>
      </w:pPr>
    </w:p>
    <w:p w14:paraId="56F12734" w14:textId="77777777" w:rsidR="00D02F1A" w:rsidRPr="00AF2E47" w:rsidRDefault="00D02F1A" w:rsidP="00D02F1A">
      <w:pPr>
        <w:widowControl/>
        <w:tabs>
          <w:tab w:val="left" w:pos="-1440"/>
        </w:tabs>
        <w:ind w:left="720"/>
        <w:jc w:val="both"/>
        <w:rPr>
          <w:color w:val="000000" w:themeColor="text1"/>
        </w:rPr>
      </w:pPr>
      <w:r w:rsidRPr="00AF2E47">
        <w:rPr>
          <w:color w:val="000000" w:themeColor="text1"/>
        </w:rPr>
        <w:t>The board may consider any information that a reasonably prudent person would consider in conducting the serious affairs of a business.</w:t>
      </w:r>
    </w:p>
    <w:p w14:paraId="7C79E77B" w14:textId="77777777" w:rsidR="00514E6A" w:rsidRPr="00AF2E47" w:rsidRDefault="00514E6A" w:rsidP="00D02F1A">
      <w:pPr>
        <w:widowControl/>
        <w:tabs>
          <w:tab w:val="left" w:pos="-1440"/>
        </w:tabs>
        <w:ind w:left="720"/>
        <w:jc w:val="both"/>
        <w:rPr>
          <w:color w:val="000000" w:themeColor="text1"/>
        </w:rPr>
      </w:pPr>
    </w:p>
    <w:p w14:paraId="6BB2419B" w14:textId="77777777" w:rsidR="00D02F1A" w:rsidRPr="00AF2E47" w:rsidRDefault="00D02F1A" w:rsidP="00B46107">
      <w:pPr>
        <w:pStyle w:val="ListParagraph"/>
        <w:widowControl/>
        <w:numPr>
          <w:ilvl w:val="0"/>
          <w:numId w:val="4"/>
        </w:numPr>
        <w:tabs>
          <w:tab w:val="left" w:pos="-1080"/>
        </w:tabs>
        <w:ind w:left="720" w:hanging="720"/>
        <w:jc w:val="both"/>
        <w:rPr>
          <w:color w:val="000000" w:themeColor="text1"/>
        </w:rPr>
      </w:pPr>
      <w:r w:rsidRPr="00AF2E47">
        <w:rPr>
          <w:color w:val="000000" w:themeColor="text1"/>
        </w:rPr>
        <w:t xml:space="preserve">In reviewing any appeal of a decision of school personnel, the board will determine whether the administrative record </w:t>
      </w:r>
      <w:proofErr w:type="gramStart"/>
      <w:r w:rsidRPr="00AF2E47">
        <w:rPr>
          <w:color w:val="000000" w:themeColor="text1"/>
        </w:rPr>
        <w:t>as a whole provides</w:t>
      </w:r>
      <w:proofErr w:type="gramEnd"/>
      <w:r w:rsidRPr="00AF2E47">
        <w:rPr>
          <w:color w:val="000000" w:themeColor="text1"/>
        </w:rPr>
        <w:t xml:space="preserve"> sufficient evidence to justify the</w:t>
      </w:r>
      <w:r w:rsidR="000E06F0" w:rsidRPr="00AF2E47">
        <w:rPr>
          <w:color w:val="000000" w:themeColor="text1"/>
        </w:rPr>
        <w:t xml:space="preserve"> </w:t>
      </w:r>
      <w:r w:rsidRPr="00AF2E47">
        <w:rPr>
          <w:color w:val="000000" w:themeColor="text1"/>
        </w:rPr>
        <w:t>decision</w:t>
      </w:r>
      <w:r w:rsidR="00E76015" w:rsidRPr="00AF2E47">
        <w:rPr>
          <w:color w:val="000000" w:themeColor="text1"/>
        </w:rPr>
        <w:t>.</w:t>
      </w:r>
      <w:r w:rsidRPr="00AF2E47">
        <w:rPr>
          <w:color w:val="000000" w:themeColor="text1"/>
        </w:rPr>
        <w:t xml:space="preserve"> </w:t>
      </w:r>
      <w:r w:rsidR="000A424E" w:rsidRPr="00AF2E47">
        <w:rPr>
          <w:color w:val="000000" w:themeColor="text1"/>
        </w:rPr>
        <w:t xml:space="preserve"> </w:t>
      </w:r>
      <w:r w:rsidR="00E76015" w:rsidRPr="00AF2E47">
        <w:rPr>
          <w:color w:val="000000" w:themeColor="text1"/>
        </w:rPr>
        <w:t>N</w:t>
      </w:r>
      <w:r w:rsidRPr="00AF2E47">
        <w:rPr>
          <w:color w:val="000000" w:themeColor="text1"/>
        </w:rPr>
        <w:t xml:space="preserve">ew evidence will not be permitted unless necessary to prevent a threat of substantial unfairness.  </w:t>
      </w:r>
    </w:p>
    <w:p w14:paraId="308BD51D" w14:textId="77777777" w:rsidR="00D02F1A" w:rsidRPr="00AF2E47" w:rsidRDefault="00D02F1A" w:rsidP="00D02F1A">
      <w:pPr>
        <w:widowControl/>
        <w:tabs>
          <w:tab w:val="left" w:pos="-1080"/>
        </w:tabs>
        <w:jc w:val="both"/>
        <w:rPr>
          <w:color w:val="000000" w:themeColor="text1"/>
        </w:rPr>
      </w:pPr>
    </w:p>
    <w:p w14:paraId="7F7B9279" w14:textId="047B1397" w:rsidR="00D02F1A" w:rsidRPr="00AF2E47" w:rsidRDefault="00D02F1A" w:rsidP="00D02F1A">
      <w:pPr>
        <w:widowControl/>
        <w:tabs>
          <w:tab w:val="left" w:pos="-1080"/>
        </w:tabs>
        <w:ind w:left="720"/>
        <w:jc w:val="both"/>
        <w:rPr>
          <w:color w:val="000000" w:themeColor="text1"/>
        </w:rPr>
      </w:pPr>
      <w:r w:rsidRPr="00AF2E47">
        <w:rPr>
          <w:color w:val="000000" w:themeColor="text1"/>
        </w:rPr>
        <w:t xml:space="preserve">The board will review the administrative record, including any administrative proceedings, and will provide an opportunity for </w:t>
      </w:r>
      <w:r w:rsidR="003F6744" w:rsidRPr="00AF2E47">
        <w:rPr>
          <w:color w:val="000000" w:themeColor="text1"/>
        </w:rPr>
        <w:t xml:space="preserve">the </w:t>
      </w:r>
      <w:r w:rsidR="00AF2E47" w:rsidRPr="00AF2E47">
        <w:rPr>
          <w:color w:val="000000" w:themeColor="text1"/>
        </w:rPr>
        <w:t>executive director</w:t>
      </w:r>
      <w:r w:rsidR="00560F87" w:rsidRPr="00AF2E47">
        <w:rPr>
          <w:color w:val="000000" w:themeColor="text1"/>
        </w:rPr>
        <w:t xml:space="preserve"> </w:t>
      </w:r>
      <w:r w:rsidR="003F6744" w:rsidRPr="00AF2E47">
        <w:rPr>
          <w:color w:val="000000" w:themeColor="text1"/>
        </w:rPr>
        <w:t xml:space="preserve">and the party contesting the decision to make </w:t>
      </w:r>
      <w:r w:rsidR="000C1372" w:rsidRPr="00AF2E47">
        <w:rPr>
          <w:color w:val="000000" w:themeColor="text1"/>
        </w:rPr>
        <w:t>a limited oral presentation of their positions</w:t>
      </w:r>
      <w:r w:rsidR="003F6744" w:rsidRPr="00AF2E47">
        <w:rPr>
          <w:color w:val="000000" w:themeColor="text1"/>
        </w:rPr>
        <w:t>.</w:t>
      </w:r>
      <w:r w:rsidRPr="00AF2E47">
        <w:rPr>
          <w:color w:val="000000" w:themeColor="text1"/>
        </w:rPr>
        <w:t xml:space="preserve">  The submission of </w:t>
      </w:r>
      <w:r w:rsidRPr="00AF2E47">
        <w:rPr>
          <w:color w:val="000000" w:themeColor="text1"/>
        </w:rPr>
        <w:lastRenderedPageBreak/>
        <w:t xml:space="preserve">documentary evidence and presentation of additional witnesses will be allowed at the discretion of the board.  </w:t>
      </w:r>
    </w:p>
    <w:p w14:paraId="42AF1D19" w14:textId="77777777" w:rsidR="00D02F1A" w:rsidRPr="00AF2E47" w:rsidRDefault="00D02F1A" w:rsidP="00D02F1A">
      <w:pPr>
        <w:widowControl/>
        <w:tabs>
          <w:tab w:val="left" w:pos="-1080"/>
        </w:tabs>
        <w:jc w:val="both"/>
        <w:rPr>
          <w:color w:val="000000" w:themeColor="text1"/>
        </w:rPr>
      </w:pPr>
    </w:p>
    <w:p w14:paraId="52FC2CB6" w14:textId="3C05BA8A" w:rsidR="00D02F1A" w:rsidRPr="00AF2E47" w:rsidRDefault="00D02F1A" w:rsidP="00B46107">
      <w:pPr>
        <w:pStyle w:val="ListParagraph"/>
        <w:widowControl/>
        <w:numPr>
          <w:ilvl w:val="0"/>
          <w:numId w:val="4"/>
        </w:numPr>
        <w:tabs>
          <w:tab w:val="left" w:pos="-1080"/>
        </w:tabs>
        <w:ind w:left="720" w:hanging="720"/>
        <w:jc w:val="both"/>
        <w:rPr>
          <w:color w:val="000000" w:themeColor="text1"/>
        </w:rPr>
      </w:pPr>
      <w:r w:rsidRPr="00AF2E47">
        <w:rPr>
          <w:color w:val="000000" w:themeColor="text1"/>
        </w:rPr>
        <w:t xml:space="preserve">The </w:t>
      </w:r>
      <w:r w:rsidR="00EE1DCC" w:rsidRPr="00AF2E47">
        <w:rPr>
          <w:color w:val="000000" w:themeColor="text1"/>
        </w:rPr>
        <w:t>executive director</w:t>
      </w:r>
      <w:r w:rsidR="00560F87" w:rsidRPr="00AF2E47">
        <w:rPr>
          <w:color w:val="000000" w:themeColor="text1"/>
        </w:rPr>
        <w:t xml:space="preserve"> </w:t>
      </w:r>
      <w:r w:rsidRPr="00AF2E47">
        <w:rPr>
          <w:color w:val="000000" w:themeColor="text1"/>
        </w:rPr>
        <w:t xml:space="preserve">is responsible for making a record of the hearing.  </w:t>
      </w:r>
    </w:p>
    <w:p w14:paraId="2F4C19C9" w14:textId="77777777" w:rsidR="00D02F1A" w:rsidRPr="00AF2E47" w:rsidRDefault="00D02F1A" w:rsidP="00D02F1A">
      <w:pPr>
        <w:widowControl/>
        <w:tabs>
          <w:tab w:val="left" w:pos="-1080"/>
        </w:tabs>
        <w:jc w:val="both"/>
        <w:rPr>
          <w:color w:val="000000" w:themeColor="text1"/>
        </w:rPr>
      </w:pPr>
    </w:p>
    <w:p w14:paraId="1585FB6E" w14:textId="668235FB" w:rsidR="00D02F1A" w:rsidRPr="00AF2E47" w:rsidRDefault="00D02F1A" w:rsidP="00D02F1A">
      <w:pPr>
        <w:widowControl/>
        <w:tabs>
          <w:tab w:val="left" w:pos="-1080"/>
        </w:tabs>
        <w:ind w:left="720"/>
        <w:jc w:val="both"/>
        <w:rPr>
          <w:color w:val="000000" w:themeColor="text1"/>
        </w:rPr>
      </w:pPr>
      <w:r w:rsidRPr="00AF2E47">
        <w:rPr>
          <w:color w:val="000000" w:themeColor="text1"/>
        </w:rPr>
        <w:t xml:space="preserve">The </w:t>
      </w:r>
      <w:r w:rsidR="00EE1DCC" w:rsidRPr="00AF2E47">
        <w:rPr>
          <w:color w:val="000000" w:themeColor="text1"/>
        </w:rPr>
        <w:t>executive director</w:t>
      </w:r>
      <w:r w:rsidR="00560F87" w:rsidRPr="00AF2E47">
        <w:rPr>
          <w:color w:val="000000" w:themeColor="text1"/>
        </w:rPr>
        <w:t xml:space="preserve"> </w:t>
      </w:r>
      <w:r w:rsidR="007F265A" w:rsidRPr="00AF2E47">
        <w:rPr>
          <w:color w:val="000000" w:themeColor="text1"/>
        </w:rPr>
        <w:t>shall</w:t>
      </w:r>
      <w:r w:rsidRPr="00AF2E47">
        <w:rPr>
          <w:color w:val="000000" w:themeColor="text1"/>
        </w:rPr>
        <w:t xml:space="preserve"> make any record required by law.  At a minimum, the board record will incorporate the administrative record provided to the board for review and any written documents submitted by the parties.  The record also will provide the decision of the board and the basis for the decision when such information is required or specified in law or board policy.  </w:t>
      </w:r>
    </w:p>
    <w:p w14:paraId="500B6268" w14:textId="77777777" w:rsidR="00D02F1A" w:rsidRPr="00AF2E47" w:rsidRDefault="00D02F1A" w:rsidP="00D02F1A">
      <w:pPr>
        <w:widowControl/>
        <w:tabs>
          <w:tab w:val="left" w:pos="-1080"/>
        </w:tabs>
        <w:jc w:val="both"/>
        <w:rPr>
          <w:color w:val="000000" w:themeColor="text1"/>
        </w:rPr>
      </w:pPr>
    </w:p>
    <w:p w14:paraId="5FCB1981" w14:textId="77777777" w:rsidR="00D02F1A" w:rsidRPr="00AF2E47" w:rsidRDefault="00D02F1A" w:rsidP="00D02F1A">
      <w:pPr>
        <w:widowControl/>
        <w:tabs>
          <w:tab w:val="left" w:pos="-1080"/>
        </w:tabs>
        <w:jc w:val="both"/>
        <w:rPr>
          <w:color w:val="000000" w:themeColor="text1"/>
        </w:rPr>
      </w:pPr>
      <w:r w:rsidRPr="00AF2E47">
        <w:rPr>
          <w:color w:val="000000" w:themeColor="text1"/>
        </w:rPr>
        <w:t>Legal References:  G.S. 143-</w:t>
      </w:r>
      <w:r w:rsidR="003D55BD" w:rsidRPr="00AF2E47">
        <w:rPr>
          <w:color w:val="000000" w:themeColor="text1"/>
        </w:rPr>
        <w:t>3</w:t>
      </w:r>
      <w:r w:rsidRPr="00AF2E47">
        <w:rPr>
          <w:color w:val="000000" w:themeColor="text1"/>
        </w:rPr>
        <w:t>18.11</w:t>
      </w:r>
      <w:r w:rsidR="008B011A" w:rsidRPr="00AF2E47">
        <w:rPr>
          <w:color w:val="000000" w:themeColor="text1"/>
        </w:rPr>
        <w:t xml:space="preserve"> </w:t>
      </w:r>
    </w:p>
    <w:p w14:paraId="0D9E4F05" w14:textId="77777777" w:rsidR="00D02F1A" w:rsidRPr="00AF2E47" w:rsidRDefault="00D02F1A" w:rsidP="00D02F1A">
      <w:pPr>
        <w:widowControl/>
        <w:tabs>
          <w:tab w:val="left" w:pos="-1080"/>
        </w:tabs>
        <w:jc w:val="both"/>
        <w:rPr>
          <w:color w:val="000000" w:themeColor="text1"/>
        </w:rPr>
      </w:pPr>
    </w:p>
    <w:p w14:paraId="0D4A2E8A" w14:textId="2C5DCDE7" w:rsidR="00D02F1A" w:rsidRPr="00AF2E47" w:rsidRDefault="00D02F1A" w:rsidP="00EE1DCC">
      <w:pPr>
        <w:widowControl/>
        <w:rPr>
          <w:snapToGrid/>
          <w:color w:val="000000" w:themeColor="text1"/>
          <w:szCs w:val="24"/>
        </w:rPr>
      </w:pPr>
      <w:r w:rsidRPr="00AF2E47">
        <w:rPr>
          <w:color w:val="000000" w:themeColor="text1"/>
        </w:rPr>
        <w:t xml:space="preserve">Cross References:  </w:t>
      </w:r>
      <w:r w:rsidR="00EE1DCC" w:rsidRPr="00AF2E47">
        <w:rPr>
          <w:snapToGrid/>
          <w:color w:val="000000" w:themeColor="text1"/>
          <w:szCs w:val="24"/>
        </w:rPr>
        <w:t xml:space="preserve">Discrimination and Harassment Prohibited by Federal Law (policy </w:t>
      </w:r>
      <w:hyperlink r:id="rId9" w:history="1">
        <w:r w:rsidR="00EE1DCC" w:rsidRPr="00AF2E47">
          <w:rPr>
            <w:snapToGrid/>
            <w:color w:val="000000" w:themeColor="text1"/>
            <w:szCs w:val="24"/>
            <w:u w:val="single"/>
          </w:rPr>
          <w:t>1710/4020/7230</w:t>
        </w:r>
      </w:hyperlink>
      <w:r w:rsidR="00EE1DCC" w:rsidRPr="00AF2E47">
        <w:rPr>
          <w:snapToGrid/>
          <w:color w:val="000000" w:themeColor="text1"/>
          <w:szCs w:val="24"/>
        </w:rPr>
        <w:t xml:space="preserve">), Title IX Sexual Harassment Grievance Process (policy </w:t>
      </w:r>
      <w:hyperlink r:id="rId10" w:history="1">
        <w:r w:rsidR="00EE1DCC" w:rsidRPr="00AF2E47">
          <w:rPr>
            <w:snapToGrid/>
            <w:color w:val="000000" w:themeColor="text1"/>
            <w:szCs w:val="24"/>
            <w:u w:val="single"/>
          </w:rPr>
          <w:t>1726/4036/7237</w:t>
        </w:r>
      </w:hyperlink>
      <w:r w:rsidR="00EE1DCC" w:rsidRPr="00AF2E47">
        <w:rPr>
          <w:snapToGrid/>
          <w:color w:val="000000" w:themeColor="text1"/>
          <w:szCs w:val="24"/>
        </w:rPr>
        <w:t xml:space="preserve">), Student and Parent Grievance Procedure (policy </w:t>
      </w:r>
      <w:hyperlink r:id="rId11" w:history="1">
        <w:r w:rsidR="00EE1DCC" w:rsidRPr="00AF2E47">
          <w:rPr>
            <w:snapToGrid/>
            <w:color w:val="000000" w:themeColor="text1"/>
            <w:szCs w:val="24"/>
            <w:u w:val="single"/>
          </w:rPr>
          <w:t>1740/4010</w:t>
        </w:r>
      </w:hyperlink>
      <w:r w:rsidR="00EE1DCC" w:rsidRPr="00AF2E47">
        <w:rPr>
          <w:snapToGrid/>
          <w:color w:val="000000" w:themeColor="text1"/>
          <w:szCs w:val="24"/>
        </w:rPr>
        <w:t xml:space="preserve">), Grievance Procedure for Employees (policy </w:t>
      </w:r>
      <w:hyperlink r:id="rId12" w:history="1">
        <w:r w:rsidR="00EE1DCC" w:rsidRPr="00AF2E47">
          <w:rPr>
            <w:snapToGrid/>
            <w:color w:val="000000" w:themeColor="text1"/>
            <w:szCs w:val="24"/>
            <w:u w:val="single"/>
          </w:rPr>
          <w:t>1750/7220</w:t>
        </w:r>
      </w:hyperlink>
      <w:r w:rsidR="00EE1DCC" w:rsidRPr="00AF2E47">
        <w:rPr>
          <w:snapToGrid/>
          <w:color w:val="000000" w:themeColor="text1"/>
          <w:szCs w:val="24"/>
        </w:rPr>
        <w:t xml:space="preserve">), Remote Participation in Board Meetings (policy </w:t>
      </w:r>
      <w:hyperlink r:id="rId13" w:history="1">
        <w:r w:rsidR="00EE1DCC" w:rsidRPr="00AF2E47">
          <w:rPr>
            <w:snapToGrid/>
            <w:color w:val="000000" w:themeColor="text1"/>
            <w:szCs w:val="24"/>
            <w:u w:val="single"/>
          </w:rPr>
          <w:t>2302</w:t>
        </w:r>
      </w:hyperlink>
      <w:r w:rsidR="00EE1DCC" w:rsidRPr="00AF2E47">
        <w:rPr>
          <w:snapToGrid/>
          <w:color w:val="000000" w:themeColor="text1"/>
          <w:szCs w:val="24"/>
        </w:rPr>
        <w:t xml:space="preserve">), Compliance with the Open Meetings Law (policy </w:t>
      </w:r>
      <w:hyperlink r:id="rId14" w:history="1">
        <w:r w:rsidR="00EE1DCC" w:rsidRPr="00AF2E47">
          <w:rPr>
            <w:snapToGrid/>
            <w:color w:val="000000" w:themeColor="text1"/>
            <w:szCs w:val="24"/>
            <w:u w:val="single"/>
          </w:rPr>
          <w:t>2320</w:t>
        </w:r>
      </w:hyperlink>
      <w:r w:rsidR="00EE1DCC" w:rsidRPr="00AF2E47">
        <w:rPr>
          <w:snapToGrid/>
          <w:color w:val="000000" w:themeColor="text1"/>
          <w:szCs w:val="24"/>
        </w:rPr>
        <w:t xml:space="preserve">), Long-Term Suspension, 365-Day Suspension, Expulsion (policy </w:t>
      </w:r>
      <w:hyperlink r:id="rId15" w:history="1">
        <w:r w:rsidR="00EE1DCC" w:rsidRPr="00AF2E47">
          <w:rPr>
            <w:snapToGrid/>
            <w:color w:val="000000" w:themeColor="text1"/>
            <w:szCs w:val="24"/>
            <w:u w:val="single"/>
          </w:rPr>
          <w:t>4353</w:t>
        </w:r>
      </w:hyperlink>
      <w:r w:rsidR="00EE1DCC" w:rsidRPr="00AF2E47">
        <w:rPr>
          <w:snapToGrid/>
          <w:color w:val="000000" w:themeColor="text1"/>
          <w:szCs w:val="24"/>
        </w:rPr>
        <w:t xml:space="preserve">), Requests for Readmission of Students Suspended for 365 Days or Expelled (policy </w:t>
      </w:r>
      <w:hyperlink r:id="rId16" w:history="1">
        <w:r w:rsidR="00EE1DCC" w:rsidRPr="00AF2E47">
          <w:rPr>
            <w:snapToGrid/>
            <w:color w:val="000000" w:themeColor="text1"/>
            <w:szCs w:val="24"/>
            <w:u w:val="single"/>
          </w:rPr>
          <w:t>4362</w:t>
        </w:r>
      </w:hyperlink>
      <w:r w:rsidR="00EE1DCC" w:rsidRPr="00AF2E47">
        <w:rPr>
          <w:snapToGrid/>
          <w:color w:val="000000" w:themeColor="text1"/>
          <w:szCs w:val="24"/>
        </w:rPr>
        <w:t xml:space="preserve">), Teacher Contracts (policy </w:t>
      </w:r>
      <w:hyperlink r:id="rId17" w:history="1">
        <w:r w:rsidR="00EE1DCC" w:rsidRPr="00AF2E47">
          <w:rPr>
            <w:snapToGrid/>
            <w:color w:val="000000" w:themeColor="text1"/>
            <w:szCs w:val="24"/>
            <w:u w:val="single"/>
          </w:rPr>
          <w:t>7410</w:t>
        </w:r>
      </w:hyperlink>
      <w:r w:rsidR="00EE1DCC" w:rsidRPr="00AF2E47">
        <w:rPr>
          <w:snapToGrid/>
          <w:color w:val="000000" w:themeColor="text1"/>
          <w:szCs w:val="24"/>
        </w:rPr>
        <w:t xml:space="preserve">), School Administrator Contracts (policy </w:t>
      </w:r>
      <w:hyperlink r:id="rId18" w:history="1">
        <w:r w:rsidR="00EE1DCC" w:rsidRPr="00AF2E47">
          <w:rPr>
            <w:snapToGrid/>
            <w:color w:val="000000" w:themeColor="text1"/>
            <w:szCs w:val="24"/>
            <w:u w:val="single"/>
          </w:rPr>
          <w:t>7425</w:t>
        </w:r>
      </w:hyperlink>
      <w:r w:rsidR="00EE1DCC" w:rsidRPr="00AF2E47">
        <w:rPr>
          <w:snapToGrid/>
          <w:color w:val="000000" w:themeColor="text1"/>
          <w:szCs w:val="24"/>
        </w:rPr>
        <w:t xml:space="preserve">), Classified Personnel: Suspension and Dismissal (policy </w:t>
      </w:r>
      <w:hyperlink r:id="rId19" w:history="1">
        <w:r w:rsidR="00EE1DCC" w:rsidRPr="00AF2E47">
          <w:rPr>
            <w:snapToGrid/>
            <w:color w:val="000000" w:themeColor="text1"/>
            <w:szCs w:val="24"/>
            <w:u w:val="single"/>
          </w:rPr>
          <w:t>7940</w:t>
        </w:r>
      </w:hyperlink>
      <w:r w:rsidR="00EE1DCC" w:rsidRPr="00AF2E47">
        <w:rPr>
          <w:snapToGrid/>
          <w:color w:val="000000" w:themeColor="text1"/>
          <w:szCs w:val="24"/>
        </w:rPr>
        <w:t>)</w:t>
      </w:r>
    </w:p>
    <w:p w14:paraId="71E80EB0" w14:textId="77777777" w:rsidR="00D02F1A" w:rsidRPr="00AF2E47" w:rsidRDefault="00D02F1A" w:rsidP="00D02F1A">
      <w:pPr>
        <w:widowControl/>
        <w:tabs>
          <w:tab w:val="left" w:pos="-1080"/>
        </w:tabs>
        <w:jc w:val="both"/>
        <w:rPr>
          <w:color w:val="000000" w:themeColor="text1"/>
        </w:rPr>
      </w:pPr>
    </w:p>
    <w:p w14:paraId="6E887CBB" w14:textId="50954A7A" w:rsidR="00955D35" w:rsidRPr="00AF2E47" w:rsidRDefault="006A5E43" w:rsidP="00955D35">
      <w:pPr>
        <w:jc w:val="both"/>
        <w:rPr>
          <w:color w:val="000000" w:themeColor="text1"/>
        </w:rPr>
      </w:pPr>
      <w:r w:rsidRPr="00AF2E47">
        <w:rPr>
          <w:color w:val="000000" w:themeColor="text1"/>
        </w:rPr>
        <w:t>Adopt</w:t>
      </w:r>
      <w:r w:rsidR="000C1372" w:rsidRPr="00AF2E47">
        <w:rPr>
          <w:color w:val="000000" w:themeColor="text1"/>
        </w:rPr>
        <w:t>ed</w:t>
      </w:r>
      <w:r w:rsidR="00D02F1A" w:rsidRPr="00AF2E47">
        <w:rPr>
          <w:color w:val="000000" w:themeColor="text1"/>
        </w:rPr>
        <w:t>:</w:t>
      </w:r>
      <w:r w:rsidR="00955D35" w:rsidRPr="00AF2E47">
        <w:rPr>
          <w:color w:val="000000" w:themeColor="text1"/>
        </w:rPr>
        <w:t xml:space="preserve"> February 19, 2020</w:t>
      </w:r>
    </w:p>
    <w:p w14:paraId="0A570FDA" w14:textId="0878C106" w:rsidR="00EE1DCC" w:rsidRPr="00AF2E47" w:rsidRDefault="00EE1DCC" w:rsidP="00955D35">
      <w:pPr>
        <w:jc w:val="both"/>
        <w:rPr>
          <w:color w:val="000000" w:themeColor="text1"/>
        </w:rPr>
      </w:pPr>
      <w:r w:rsidRPr="00AF2E47">
        <w:rPr>
          <w:color w:val="000000" w:themeColor="text1"/>
        </w:rPr>
        <w:t>Revised:</w:t>
      </w:r>
      <w:r w:rsidR="00AF2E47" w:rsidRPr="00AF2E47">
        <w:rPr>
          <w:color w:val="000000" w:themeColor="text1"/>
        </w:rPr>
        <w:t xml:space="preserve"> May 18, 2022</w:t>
      </w:r>
    </w:p>
    <w:p w14:paraId="05260973" w14:textId="77777777" w:rsidR="000C1372" w:rsidRPr="002915DA" w:rsidRDefault="000C1372" w:rsidP="00D02F1A"/>
    <w:sectPr w:rsidR="000C1372" w:rsidRPr="002915DA" w:rsidSect="001A2DA0">
      <w:headerReference w:type="default" r:id="rId20"/>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2DC5A" w14:textId="77777777" w:rsidR="001800EF" w:rsidRDefault="001800EF">
      <w:r>
        <w:separator/>
      </w:r>
    </w:p>
  </w:endnote>
  <w:endnote w:type="continuationSeparator" w:id="0">
    <w:p w14:paraId="52021649" w14:textId="77777777" w:rsidR="001800EF" w:rsidRDefault="00180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20B0604020202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95439" w14:textId="77777777" w:rsidR="00FB6A3D" w:rsidRDefault="00FB6A3D" w:rsidP="00FB6A3D">
    <w:pPr>
      <w:spacing w:line="240" w:lineRule="exact"/>
      <w:ind w:left="720" w:right="-1440"/>
    </w:pPr>
  </w:p>
  <w:p w14:paraId="5B810D56" w14:textId="77777777" w:rsidR="00FB6A3D" w:rsidRDefault="006A5E43" w:rsidP="00FB6A3D">
    <w:pPr>
      <w:spacing w:line="180" w:lineRule="exact"/>
      <w:ind w:left="720" w:right="-1440"/>
    </w:pPr>
    <w:r>
      <w:rPr>
        <w:noProof/>
        <w:snapToGrid/>
      </w:rPr>
      <mc:AlternateContent>
        <mc:Choice Requires="wps">
          <w:drawing>
            <wp:anchor distT="0" distB="0" distL="114300" distR="114300" simplePos="0" relativeHeight="251658240" behindDoc="0" locked="0" layoutInCell="1" allowOverlap="1" wp14:anchorId="13163818" wp14:editId="5672AC83">
              <wp:simplePos x="0" y="0"/>
              <wp:positionH relativeFrom="column">
                <wp:posOffset>0</wp:posOffset>
              </wp:positionH>
              <wp:positionV relativeFrom="paragraph">
                <wp:posOffset>53340</wp:posOffset>
              </wp:positionV>
              <wp:extent cx="5943600" cy="0"/>
              <wp:effectExtent l="0" t="19050" r="19050" b="3810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1300D" id="Line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68pt,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" strokeweight="4.5pt">
              <v:stroke linestyle="thickThin"/>
            </v:line>
          </w:pict>
        </mc:Fallback>
      </mc:AlternateContent>
    </w:r>
  </w:p>
  <w:p w14:paraId="00E97530" w14:textId="77777777" w:rsidR="008E0678" w:rsidRPr="006A5E43" w:rsidRDefault="00560F87" w:rsidP="006A5E43">
    <w:pPr>
      <w:tabs>
        <w:tab w:val="right" w:pos="9360"/>
      </w:tabs>
      <w:autoSpaceDE w:val="0"/>
      <w:autoSpaceDN w:val="0"/>
      <w:adjustRightInd w:val="0"/>
      <w:ind w:right="720"/>
      <w:jc w:val="both"/>
      <w:rPr>
        <w:szCs w:val="24"/>
      </w:rPr>
    </w:pPr>
    <w:r>
      <w:rPr>
        <w:b/>
        <w:szCs w:val="24"/>
      </w:rPr>
      <w:t>NE REGIONAL SCHOOL BOARD OF DIRECTORS</w:t>
    </w:r>
    <w:r w:rsidRPr="00001E91">
      <w:rPr>
        <w:b/>
        <w:szCs w:val="24"/>
      </w:rPr>
      <w:t xml:space="preserve"> POLICY MANUAL</w:t>
    </w:r>
    <w:r w:rsidR="006A5E43">
      <w:rPr>
        <w:b/>
        <w:szCs w:val="24"/>
      </w:rPr>
      <w:tab/>
    </w:r>
    <w:r w:rsidR="006A5E43" w:rsidRPr="006A5E43">
      <w:rPr>
        <w:szCs w:val="24"/>
      </w:rPr>
      <w:t xml:space="preserve">Page </w:t>
    </w:r>
    <w:r w:rsidR="006A5E43" w:rsidRPr="006A5E43">
      <w:rPr>
        <w:szCs w:val="24"/>
      </w:rPr>
      <w:fldChar w:fldCharType="begin"/>
    </w:r>
    <w:r w:rsidR="006A5E43" w:rsidRPr="006A5E43">
      <w:rPr>
        <w:szCs w:val="24"/>
      </w:rPr>
      <w:instrText xml:space="preserve"> PAGE  \* Arabic  \* MERGEFORMAT </w:instrText>
    </w:r>
    <w:r w:rsidR="006A5E43" w:rsidRPr="006A5E43">
      <w:rPr>
        <w:szCs w:val="24"/>
      </w:rPr>
      <w:fldChar w:fldCharType="separate"/>
    </w:r>
    <w:r>
      <w:rPr>
        <w:noProof/>
        <w:szCs w:val="24"/>
      </w:rPr>
      <w:t>3</w:t>
    </w:r>
    <w:r w:rsidR="006A5E43" w:rsidRPr="006A5E43">
      <w:rPr>
        <w:szCs w:val="24"/>
      </w:rPr>
      <w:fldChar w:fldCharType="end"/>
    </w:r>
    <w:r w:rsidR="006A5E43" w:rsidRPr="006A5E43">
      <w:rPr>
        <w:szCs w:val="24"/>
      </w:rPr>
      <w:t xml:space="preserve"> of </w:t>
    </w:r>
    <w:r w:rsidR="006A5E43" w:rsidRPr="006A5E43">
      <w:rPr>
        <w:szCs w:val="24"/>
      </w:rPr>
      <w:fldChar w:fldCharType="begin"/>
    </w:r>
    <w:r w:rsidR="006A5E43" w:rsidRPr="006A5E43">
      <w:rPr>
        <w:szCs w:val="24"/>
      </w:rPr>
      <w:instrText xml:space="preserve"> NUMPAGES  \* Arabic  \* MERGEFORMAT </w:instrText>
    </w:r>
    <w:r w:rsidR="006A5E43" w:rsidRPr="006A5E43">
      <w:rPr>
        <w:szCs w:val="24"/>
      </w:rPr>
      <w:fldChar w:fldCharType="separate"/>
    </w:r>
    <w:r>
      <w:rPr>
        <w:noProof/>
        <w:szCs w:val="24"/>
      </w:rPr>
      <w:t>3</w:t>
    </w:r>
    <w:r w:rsidR="006A5E43" w:rsidRPr="006A5E43">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200A8" w14:textId="77777777" w:rsidR="001800EF" w:rsidRDefault="001800EF">
      <w:r>
        <w:separator/>
      </w:r>
    </w:p>
  </w:footnote>
  <w:footnote w:type="continuationSeparator" w:id="0">
    <w:p w14:paraId="0600F9A2" w14:textId="77777777" w:rsidR="001800EF" w:rsidRDefault="00180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1ABD0" w14:textId="77777777" w:rsidR="008E0678" w:rsidRDefault="008E0678" w:rsidP="00B6425C">
    <w:pPr>
      <w:pStyle w:val="FootnoteText"/>
      <w:rPr>
        <w:i/>
      </w:rPr>
    </w:pPr>
  </w:p>
  <w:p w14:paraId="59493D6D" w14:textId="77777777" w:rsidR="008E0678" w:rsidRDefault="008E0678" w:rsidP="00B642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DCDAD" w14:textId="77777777" w:rsidR="008E0678" w:rsidRDefault="008E0678" w:rsidP="008A351B">
    <w:pPr>
      <w:tabs>
        <w:tab w:val="left" w:pos="6840"/>
        <w:tab w:val="right" w:pos="9360"/>
      </w:tabs>
      <w:ind w:firstLine="6840"/>
      <w:rPr>
        <w:rFonts w:ascii="CG Times (W1)" w:hAnsi="CG Times (W1)"/>
      </w:rPr>
    </w:pPr>
    <w:r w:rsidRPr="002915DA">
      <w:rPr>
        <w:i/>
        <w:sz w:val="20"/>
      </w:rPr>
      <w:t>Policy Code:</w:t>
    </w:r>
    <w:r>
      <w:rPr>
        <w:rFonts w:ascii="CG Times (W1)" w:hAnsi="CG Times (W1)"/>
      </w:rPr>
      <w:tab/>
    </w:r>
    <w:r w:rsidRPr="002915DA">
      <w:rPr>
        <w:b/>
      </w:rPr>
      <w:t>2500</w:t>
    </w:r>
  </w:p>
  <w:p w14:paraId="66B83B14" w14:textId="77777777" w:rsidR="008E0678" w:rsidRDefault="005F0377" w:rsidP="008A351B">
    <w:pPr>
      <w:tabs>
        <w:tab w:val="left" w:pos="6840"/>
        <w:tab w:val="right" w:pos="9360"/>
      </w:tabs>
      <w:spacing w:line="109" w:lineRule="exact"/>
      <w:rPr>
        <w:rFonts w:ascii="CG Times (W1)" w:hAnsi="CG Times (W1)"/>
      </w:rPr>
    </w:pPr>
    <w:r>
      <w:rPr>
        <w:noProof/>
        <w:snapToGrid/>
      </w:rPr>
      <mc:AlternateContent>
        <mc:Choice Requires="wps">
          <w:drawing>
            <wp:anchor distT="0" distB="0" distL="114300" distR="114300" simplePos="0" relativeHeight="251657216" behindDoc="0" locked="0" layoutInCell="0" allowOverlap="1" wp14:anchorId="0850F57C" wp14:editId="24E64BFF">
              <wp:simplePos x="0" y="0"/>
              <wp:positionH relativeFrom="column">
                <wp:posOffset>0</wp:posOffset>
              </wp:positionH>
              <wp:positionV relativeFrom="paragraph">
                <wp:posOffset>62865</wp:posOffset>
              </wp:positionV>
              <wp:extent cx="5943600" cy="0"/>
              <wp:effectExtent l="28575" t="34290" r="28575" b="3238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B93FA"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5pt" to="468pt,4.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" o:allowincell="f" strokeweight="4.5pt">
              <v:stroke linestyle="thinThick"/>
            </v:line>
          </w:pict>
        </mc:Fallback>
      </mc:AlternateContent>
    </w:r>
  </w:p>
  <w:p w14:paraId="44BF4C87" w14:textId="77777777" w:rsidR="008E0678" w:rsidRDefault="008E0678" w:rsidP="008A351B">
    <w:pPr>
      <w:widowControl/>
      <w:tabs>
        <w:tab w:val="left" w:pos="7200"/>
        <w:tab w:val="right" w:pos="93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B7D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67D27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7681F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D7D68A0"/>
    <w:multiLevelType w:val="hybridMultilevel"/>
    <w:tmpl w:val="66AAF3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20444689">
    <w:abstractNumId w:val="0"/>
  </w:num>
  <w:num w:numId="2" w16cid:durableId="894970415">
    <w:abstractNumId w:val="1"/>
  </w:num>
  <w:num w:numId="3" w16cid:durableId="2035812745">
    <w:abstractNumId w:val="2"/>
  </w:num>
  <w:num w:numId="4" w16cid:durableId="10818311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13"/>
    <w:rsid w:val="00017ECC"/>
    <w:rsid w:val="0002198A"/>
    <w:rsid w:val="00027F49"/>
    <w:rsid w:val="00030316"/>
    <w:rsid w:val="00035FF5"/>
    <w:rsid w:val="0003771D"/>
    <w:rsid w:val="00040166"/>
    <w:rsid w:val="00044549"/>
    <w:rsid w:val="00053DEE"/>
    <w:rsid w:val="000738AC"/>
    <w:rsid w:val="00076675"/>
    <w:rsid w:val="000A3788"/>
    <w:rsid w:val="000A424E"/>
    <w:rsid w:val="000B442A"/>
    <w:rsid w:val="000B7F80"/>
    <w:rsid w:val="000C1372"/>
    <w:rsid w:val="000E06F0"/>
    <w:rsid w:val="00102776"/>
    <w:rsid w:val="001028CA"/>
    <w:rsid w:val="00113927"/>
    <w:rsid w:val="00131035"/>
    <w:rsid w:val="00164FCC"/>
    <w:rsid w:val="001800EF"/>
    <w:rsid w:val="00181AC9"/>
    <w:rsid w:val="0018279A"/>
    <w:rsid w:val="001968E3"/>
    <w:rsid w:val="001A2DA0"/>
    <w:rsid w:val="001D3311"/>
    <w:rsid w:val="001F0D84"/>
    <w:rsid w:val="0021509E"/>
    <w:rsid w:val="002156BC"/>
    <w:rsid w:val="0022493A"/>
    <w:rsid w:val="00246362"/>
    <w:rsid w:val="00273058"/>
    <w:rsid w:val="002915DA"/>
    <w:rsid w:val="002A66DD"/>
    <w:rsid w:val="002A7713"/>
    <w:rsid w:val="002B2520"/>
    <w:rsid w:val="002D3A22"/>
    <w:rsid w:val="002D5592"/>
    <w:rsid w:val="0032384F"/>
    <w:rsid w:val="00340F7D"/>
    <w:rsid w:val="00366CE7"/>
    <w:rsid w:val="003673A0"/>
    <w:rsid w:val="00370F9A"/>
    <w:rsid w:val="003932D0"/>
    <w:rsid w:val="003C698E"/>
    <w:rsid w:val="003D1F4D"/>
    <w:rsid w:val="003D55BD"/>
    <w:rsid w:val="003F6744"/>
    <w:rsid w:val="004024AD"/>
    <w:rsid w:val="0042036A"/>
    <w:rsid w:val="004B5E23"/>
    <w:rsid w:val="004C3E4C"/>
    <w:rsid w:val="004D6AAE"/>
    <w:rsid w:val="004F18B1"/>
    <w:rsid w:val="005004E6"/>
    <w:rsid w:val="00514E6A"/>
    <w:rsid w:val="00550D6C"/>
    <w:rsid w:val="00560F87"/>
    <w:rsid w:val="005949B4"/>
    <w:rsid w:val="005B4E87"/>
    <w:rsid w:val="005B6376"/>
    <w:rsid w:val="005C4DAD"/>
    <w:rsid w:val="005F0377"/>
    <w:rsid w:val="00601481"/>
    <w:rsid w:val="00605FEC"/>
    <w:rsid w:val="006159E8"/>
    <w:rsid w:val="00633299"/>
    <w:rsid w:val="00637DEA"/>
    <w:rsid w:val="006437CB"/>
    <w:rsid w:val="006516B1"/>
    <w:rsid w:val="00653E5A"/>
    <w:rsid w:val="0067377A"/>
    <w:rsid w:val="00682A8A"/>
    <w:rsid w:val="00692AAD"/>
    <w:rsid w:val="006946DC"/>
    <w:rsid w:val="006A5E43"/>
    <w:rsid w:val="006A6209"/>
    <w:rsid w:val="006D0754"/>
    <w:rsid w:val="006D1230"/>
    <w:rsid w:val="006E428A"/>
    <w:rsid w:val="006F246B"/>
    <w:rsid w:val="006F4F11"/>
    <w:rsid w:val="00705AA3"/>
    <w:rsid w:val="007104F7"/>
    <w:rsid w:val="00712A80"/>
    <w:rsid w:val="007231CD"/>
    <w:rsid w:val="00745157"/>
    <w:rsid w:val="0076569E"/>
    <w:rsid w:val="0078379B"/>
    <w:rsid w:val="00794477"/>
    <w:rsid w:val="007B6F17"/>
    <w:rsid w:val="007C6DB3"/>
    <w:rsid w:val="007D0497"/>
    <w:rsid w:val="007F265A"/>
    <w:rsid w:val="007F4C04"/>
    <w:rsid w:val="00884758"/>
    <w:rsid w:val="00894A44"/>
    <w:rsid w:val="008A351B"/>
    <w:rsid w:val="008B011A"/>
    <w:rsid w:val="008C3F2C"/>
    <w:rsid w:val="008E0678"/>
    <w:rsid w:val="008E7870"/>
    <w:rsid w:val="00920F37"/>
    <w:rsid w:val="00921063"/>
    <w:rsid w:val="009535AF"/>
    <w:rsid w:val="00955D35"/>
    <w:rsid w:val="00964702"/>
    <w:rsid w:val="009A2785"/>
    <w:rsid w:val="00A35416"/>
    <w:rsid w:val="00A35B59"/>
    <w:rsid w:val="00A568CF"/>
    <w:rsid w:val="00A62505"/>
    <w:rsid w:val="00A65084"/>
    <w:rsid w:val="00A863EC"/>
    <w:rsid w:val="00A93BC8"/>
    <w:rsid w:val="00AC1FB4"/>
    <w:rsid w:val="00AF28DF"/>
    <w:rsid w:val="00AF2E47"/>
    <w:rsid w:val="00B156CF"/>
    <w:rsid w:val="00B31ADF"/>
    <w:rsid w:val="00B334D4"/>
    <w:rsid w:val="00B366E6"/>
    <w:rsid w:val="00B46107"/>
    <w:rsid w:val="00B52F00"/>
    <w:rsid w:val="00B6425C"/>
    <w:rsid w:val="00B77B02"/>
    <w:rsid w:val="00B92DC2"/>
    <w:rsid w:val="00B96657"/>
    <w:rsid w:val="00B978E6"/>
    <w:rsid w:val="00C4352B"/>
    <w:rsid w:val="00C64F25"/>
    <w:rsid w:val="00C83889"/>
    <w:rsid w:val="00C931D4"/>
    <w:rsid w:val="00CA426B"/>
    <w:rsid w:val="00CB0ACF"/>
    <w:rsid w:val="00CB2B4C"/>
    <w:rsid w:val="00CC7931"/>
    <w:rsid w:val="00CF59B6"/>
    <w:rsid w:val="00D02F1A"/>
    <w:rsid w:val="00D11395"/>
    <w:rsid w:val="00D33559"/>
    <w:rsid w:val="00D85DE6"/>
    <w:rsid w:val="00DA37F9"/>
    <w:rsid w:val="00DF5999"/>
    <w:rsid w:val="00E0650E"/>
    <w:rsid w:val="00E07E18"/>
    <w:rsid w:val="00E131EB"/>
    <w:rsid w:val="00E24B75"/>
    <w:rsid w:val="00E41E60"/>
    <w:rsid w:val="00E618E0"/>
    <w:rsid w:val="00E76015"/>
    <w:rsid w:val="00EA6FF0"/>
    <w:rsid w:val="00EB2FE2"/>
    <w:rsid w:val="00EB5B17"/>
    <w:rsid w:val="00EC5071"/>
    <w:rsid w:val="00ED4D9B"/>
    <w:rsid w:val="00EE1DCC"/>
    <w:rsid w:val="00EF2106"/>
    <w:rsid w:val="00F044AB"/>
    <w:rsid w:val="00F22DCD"/>
    <w:rsid w:val="00F44F88"/>
    <w:rsid w:val="00F45650"/>
    <w:rsid w:val="00F74888"/>
    <w:rsid w:val="00F8786D"/>
    <w:rsid w:val="00FB6A3D"/>
    <w:rsid w:val="00FE4A79"/>
    <w:rsid w:val="00FF0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2F9DB7B"/>
  <w15:docId w15:val="{106C2313-DD70-6241-9302-66F0F81B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9E8"/>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159E8"/>
  </w:style>
  <w:style w:type="paragraph" w:customStyle="1" w:styleId="a">
    <w:name w:val="_"/>
    <w:basedOn w:val="Normal"/>
    <w:rsid w:val="006159E8"/>
    <w:pPr>
      <w:ind w:left="720" w:hanging="720"/>
    </w:pPr>
    <w:rPr>
      <w:rFonts w:ascii="CG Times" w:hAnsi="CG Times"/>
    </w:rPr>
  </w:style>
  <w:style w:type="paragraph" w:styleId="FootnoteText">
    <w:name w:val="footnote text"/>
    <w:basedOn w:val="Normal"/>
    <w:semiHidden/>
    <w:rsid w:val="006159E8"/>
    <w:rPr>
      <w:sz w:val="20"/>
    </w:rPr>
  </w:style>
  <w:style w:type="paragraph" w:styleId="Header">
    <w:name w:val="header"/>
    <w:basedOn w:val="Normal"/>
    <w:rsid w:val="005C4DAD"/>
    <w:pPr>
      <w:tabs>
        <w:tab w:val="center" w:pos="4320"/>
        <w:tab w:val="right" w:pos="8640"/>
      </w:tabs>
    </w:pPr>
  </w:style>
  <w:style w:type="paragraph" w:styleId="Footer">
    <w:name w:val="footer"/>
    <w:basedOn w:val="Normal"/>
    <w:rsid w:val="005C4DAD"/>
    <w:pPr>
      <w:tabs>
        <w:tab w:val="center" w:pos="4320"/>
        <w:tab w:val="right" w:pos="8640"/>
      </w:tabs>
    </w:pPr>
  </w:style>
  <w:style w:type="character" w:styleId="PageNumber">
    <w:name w:val="page number"/>
    <w:basedOn w:val="DefaultParagraphFont"/>
    <w:rsid w:val="005C4DAD"/>
  </w:style>
  <w:style w:type="paragraph" w:styleId="BalloonText">
    <w:name w:val="Balloon Text"/>
    <w:basedOn w:val="Normal"/>
    <w:semiHidden/>
    <w:rsid w:val="000738AC"/>
    <w:rPr>
      <w:rFonts w:ascii="Tahoma" w:hAnsi="Tahoma" w:cs="Tahoma"/>
      <w:sz w:val="16"/>
      <w:szCs w:val="16"/>
    </w:rPr>
  </w:style>
  <w:style w:type="character" w:customStyle="1" w:styleId="StyleFootnoteReference12pt">
    <w:name w:val="Style Footnote Reference + 12pt"/>
    <w:rsid w:val="00E24B75"/>
    <w:rPr>
      <w:rFonts w:ascii="Times New Roman" w:hAnsi="Times New Roman"/>
      <w:sz w:val="24"/>
      <w:vertAlign w:val="superscript"/>
    </w:rPr>
  </w:style>
  <w:style w:type="paragraph" w:styleId="Revision">
    <w:name w:val="Revision"/>
    <w:hidden/>
    <w:uiPriority w:val="99"/>
    <w:semiHidden/>
    <w:rsid w:val="008E7870"/>
    <w:rPr>
      <w:snapToGrid w:val="0"/>
      <w:sz w:val="24"/>
    </w:rPr>
  </w:style>
  <w:style w:type="character" w:styleId="CommentReference">
    <w:name w:val="annotation reference"/>
    <w:rsid w:val="005B6376"/>
    <w:rPr>
      <w:sz w:val="16"/>
      <w:szCs w:val="16"/>
    </w:rPr>
  </w:style>
  <w:style w:type="paragraph" w:styleId="CommentText">
    <w:name w:val="annotation text"/>
    <w:basedOn w:val="Normal"/>
    <w:link w:val="CommentTextChar"/>
    <w:rsid w:val="005B6376"/>
    <w:rPr>
      <w:sz w:val="20"/>
    </w:rPr>
  </w:style>
  <w:style w:type="character" w:customStyle="1" w:styleId="CommentTextChar">
    <w:name w:val="Comment Text Char"/>
    <w:link w:val="CommentText"/>
    <w:rsid w:val="005B6376"/>
    <w:rPr>
      <w:snapToGrid w:val="0"/>
    </w:rPr>
  </w:style>
  <w:style w:type="paragraph" w:styleId="CommentSubject">
    <w:name w:val="annotation subject"/>
    <w:basedOn w:val="CommentText"/>
    <w:next w:val="CommentText"/>
    <w:link w:val="CommentSubjectChar"/>
    <w:rsid w:val="005B6376"/>
    <w:rPr>
      <w:b/>
      <w:bCs/>
    </w:rPr>
  </w:style>
  <w:style w:type="character" w:customStyle="1" w:styleId="CommentSubjectChar">
    <w:name w:val="Comment Subject Char"/>
    <w:link w:val="CommentSubject"/>
    <w:rsid w:val="005B6376"/>
    <w:rPr>
      <w:b/>
      <w:bCs/>
      <w:snapToGrid w:val="0"/>
    </w:rPr>
  </w:style>
  <w:style w:type="paragraph" w:styleId="ListParagraph">
    <w:name w:val="List Paragraph"/>
    <w:basedOn w:val="Normal"/>
    <w:uiPriority w:val="34"/>
    <w:qFormat/>
    <w:rsid w:val="00B46107"/>
    <w:pPr>
      <w:ind w:left="720"/>
      <w:contextualSpacing/>
    </w:pPr>
  </w:style>
  <w:style w:type="character" w:styleId="LineNumber">
    <w:name w:val="line number"/>
    <w:basedOn w:val="DefaultParagraphFont"/>
    <w:semiHidden/>
    <w:unhideWhenUsed/>
    <w:rsid w:val="000B442A"/>
  </w:style>
  <w:style w:type="character" w:styleId="Hyperlink">
    <w:name w:val="Hyperlink"/>
    <w:basedOn w:val="DefaultParagraphFont"/>
    <w:uiPriority w:val="99"/>
    <w:semiHidden/>
    <w:unhideWhenUsed/>
    <w:rsid w:val="00EE1D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989924">
      <w:bodyDiv w:val="1"/>
      <w:marLeft w:val="0"/>
      <w:marRight w:val="0"/>
      <w:marTop w:val="0"/>
      <w:marBottom w:val="0"/>
      <w:divBdr>
        <w:top w:val="none" w:sz="0" w:space="0" w:color="auto"/>
        <w:left w:val="none" w:sz="0" w:space="0" w:color="auto"/>
        <w:bottom w:val="none" w:sz="0" w:space="0" w:color="auto"/>
        <w:right w:val="none" w:sz="0" w:space="0" w:color="auto"/>
      </w:divBdr>
    </w:div>
    <w:div w:id="112245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javascript:doJump(140531)" TargetMode="External"/><Relationship Id="rId18" Type="http://schemas.openxmlformats.org/officeDocument/2006/relationships/hyperlink" Target="javascript:doJump(14081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javascript:doJump(140507)" TargetMode="External"/><Relationship Id="rId17" Type="http://schemas.openxmlformats.org/officeDocument/2006/relationships/hyperlink" Target="javascript:doJump(140811)" TargetMode="External"/><Relationship Id="rId2" Type="http://schemas.openxmlformats.org/officeDocument/2006/relationships/styles" Target="styles.xml"/><Relationship Id="rId16" Type="http://schemas.openxmlformats.org/officeDocument/2006/relationships/hyperlink" Target="javascript:doJump(140671)"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doJump(140505)" TargetMode="External"/><Relationship Id="rId5" Type="http://schemas.openxmlformats.org/officeDocument/2006/relationships/footnotes" Target="footnotes.xml"/><Relationship Id="rId15" Type="http://schemas.openxmlformats.org/officeDocument/2006/relationships/hyperlink" Target="javascript:doJump(140670)" TargetMode="External"/><Relationship Id="rId10" Type="http://schemas.openxmlformats.org/officeDocument/2006/relationships/hyperlink" Target="javascript:doJump(909735)" TargetMode="External"/><Relationship Id="rId19" Type="http://schemas.openxmlformats.org/officeDocument/2006/relationships/hyperlink" Target="javascript:doJump(140852)" TargetMode="External"/><Relationship Id="rId4" Type="http://schemas.openxmlformats.org/officeDocument/2006/relationships/webSettings" Target="webSettings.xml"/><Relationship Id="rId9" Type="http://schemas.openxmlformats.org/officeDocument/2006/relationships/hyperlink" Target="javascript:doJump(909594)" TargetMode="External"/><Relationship Id="rId14" Type="http://schemas.openxmlformats.org/officeDocument/2006/relationships/hyperlink" Target="javascript:doJump(14053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1088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LEGAL STATUS</vt:lpstr>
    </vt:vector>
  </TitlesOfParts>
  <Company>NCSBA</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STATUS</dc:title>
  <dc:creator>Kendra</dc:creator>
  <cp:lastModifiedBy>Larry Price</cp:lastModifiedBy>
  <cp:revision>10</cp:revision>
  <cp:lastPrinted>2013-12-16T19:07:00Z</cp:lastPrinted>
  <dcterms:created xsi:type="dcterms:W3CDTF">2019-12-18T03:32:00Z</dcterms:created>
  <dcterms:modified xsi:type="dcterms:W3CDTF">2022-05-23T00:03:00Z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-1649473000</vt:i4>
  </property>
  <property fmtid="{D5CDD505-2E9C-101B-9397-08002B2CF9AE}" pid="3" name="_EmailSubject">
    <vt:lpwstr>the 2000s</vt:lpwstr>
  </property>
  <property fmtid="{D5CDD505-2E9C-101B-9397-08002B2CF9AE}" pid="4" name="_AuthorEmail">
    <vt:lpwstr>mryan@ncsba.org</vt:lpwstr>
  </property>
  <property fmtid="{D5CDD505-2E9C-101B-9397-08002B2CF9AE}" pid="5" name="_AuthorEmailDisplayName">
    <vt:lpwstr>Molly Ryan</vt:lpwstr>
  </property>
  <property fmtid="{D5CDD505-2E9C-101B-9397-08002B2CF9AE}" pid="6" name="_ReviewingToolsShownOnce">
    <vt:lpwstr/>
  </property>
</Properties>
</file>