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C8CA" w14:textId="77777777" w:rsidR="00B15C04" w:rsidRPr="00255E45" w:rsidRDefault="00B15C04" w:rsidP="00B15C04">
      <w:pPr>
        <w:tabs>
          <w:tab w:val="left" w:pos="6840"/>
          <w:tab w:val="right" w:pos="9360"/>
        </w:tabs>
        <w:rPr>
          <w:b/>
          <w:color w:val="000000" w:themeColor="text1"/>
          <w:sz w:val="28"/>
        </w:rPr>
      </w:pPr>
      <w:r w:rsidRPr="00385E4B">
        <w:rPr>
          <w:b/>
          <w:sz w:val="28"/>
        </w:rPr>
        <w:t>PARE</w:t>
      </w:r>
      <w:r w:rsidRPr="00255E45">
        <w:rPr>
          <w:b/>
          <w:color w:val="000000" w:themeColor="text1"/>
          <w:sz w:val="28"/>
        </w:rPr>
        <w:t xml:space="preserve">NTAL INSPECTION </w:t>
      </w:r>
      <w:r w:rsidR="00EE7EAA" w:rsidRPr="00255E45">
        <w:rPr>
          <w:b/>
          <w:color w:val="000000" w:themeColor="text1"/>
          <w:sz w:val="28"/>
        </w:rPr>
        <w:t xml:space="preserve">OF </w:t>
      </w:r>
      <w:r w:rsidRPr="00255E45">
        <w:rPr>
          <w:b/>
          <w:color w:val="000000" w:themeColor="text1"/>
          <w:sz w:val="28"/>
        </w:rPr>
        <w:t xml:space="preserve">AND </w:t>
      </w:r>
    </w:p>
    <w:p w14:paraId="683CA92C" w14:textId="77777777" w:rsidR="00B15C04" w:rsidRPr="00255E45" w:rsidRDefault="00B15C04" w:rsidP="00B15C04">
      <w:pPr>
        <w:tabs>
          <w:tab w:val="left" w:pos="6840"/>
          <w:tab w:val="right" w:pos="9360"/>
        </w:tabs>
        <w:rPr>
          <w:color w:val="000000" w:themeColor="text1"/>
        </w:rPr>
      </w:pPr>
      <w:r w:rsidRPr="00255E45">
        <w:rPr>
          <w:b/>
          <w:color w:val="000000" w:themeColor="text1"/>
          <w:sz w:val="28"/>
        </w:rPr>
        <w:t>OBJECTION TO INSTRUCTIONAL MATERIALS</w:t>
      </w:r>
      <w:r w:rsidRPr="00255E45">
        <w:rPr>
          <w:color w:val="000000" w:themeColor="text1"/>
          <w:sz w:val="20"/>
        </w:rPr>
        <w:tab/>
      </w:r>
      <w:r w:rsidRPr="00255E45">
        <w:rPr>
          <w:i/>
          <w:color w:val="000000" w:themeColor="text1"/>
          <w:sz w:val="20"/>
        </w:rPr>
        <w:t>Policy Code:</w:t>
      </w:r>
      <w:r w:rsidRPr="00255E45">
        <w:rPr>
          <w:color w:val="000000" w:themeColor="text1"/>
        </w:rPr>
        <w:tab/>
      </w:r>
      <w:r w:rsidRPr="00255E45">
        <w:rPr>
          <w:b/>
          <w:color w:val="000000" w:themeColor="text1"/>
        </w:rPr>
        <w:t>3210</w:t>
      </w:r>
    </w:p>
    <w:p w14:paraId="7A32FB3C" w14:textId="77777777" w:rsidR="00B15C04" w:rsidRPr="00255E45" w:rsidRDefault="00254032" w:rsidP="00B15C04">
      <w:pPr>
        <w:tabs>
          <w:tab w:val="left" w:pos="6840"/>
          <w:tab w:val="right" w:pos="9360"/>
        </w:tabs>
        <w:spacing w:line="109" w:lineRule="exact"/>
        <w:rPr>
          <w:color w:val="000000" w:themeColor="text1"/>
        </w:rPr>
      </w:pPr>
      <w:r w:rsidRPr="00255E45">
        <w:rPr>
          <w:noProof/>
          <w:snapToGrid/>
          <w:color w:val="000000" w:themeColor="text1"/>
        </w:rPr>
        <mc:AlternateContent>
          <mc:Choice Requires="wps">
            <w:drawing>
              <wp:anchor distT="4294967295" distB="4294967295" distL="114300" distR="114300" simplePos="0" relativeHeight="251657216" behindDoc="0" locked="0" layoutInCell="0" allowOverlap="1" wp14:anchorId="38BC0638" wp14:editId="204764D8">
                <wp:simplePos x="0" y="0"/>
                <wp:positionH relativeFrom="column">
                  <wp:posOffset>0</wp:posOffset>
                </wp:positionH>
                <wp:positionV relativeFrom="paragraph">
                  <wp:posOffset>40639</wp:posOffset>
                </wp:positionV>
                <wp:extent cx="5943600" cy="0"/>
                <wp:effectExtent l="0" t="19050" r="19050" b="381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DEA6B" id="Line 4"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NM0ywEAAHsDAAAOAAAAZHJzL2Uyb0RvYy54bWysU01z2yAQvXem/4HhXktO47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" o:allowincell="f" strokeweight="4.5pt">
                <v:stroke linestyle="thinThick"/>
              </v:line>
            </w:pict>
          </mc:Fallback>
        </mc:AlternateContent>
      </w:r>
    </w:p>
    <w:p w14:paraId="10DD2F7A" w14:textId="77777777" w:rsidR="00B15C04" w:rsidRPr="00255E45" w:rsidRDefault="00B15C04" w:rsidP="00B15C04">
      <w:pPr>
        <w:tabs>
          <w:tab w:val="left" w:pos="6840"/>
          <w:tab w:val="right" w:pos="9360"/>
        </w:tabs>
        <w:jc w:val="both"/>
        <w:rPr>
          <w:color w:val="000000" w:themeColor="text1"/>
        </w:rPr>
      </w:pPr>
    </w:p>
    <w:p w14:paraId="10730668" w14:textId="77777777" w:rsidR="004B2E81" w:rsidRPr="00255E45" w:rsidRDefault="004B2E81" w:rsidP="00B15C04">
      <w:pPr>
        <w:tabs>
          <w:tab w:val="left" w:pos="6840"/>
          <w:tab w:val="right" w:pos="9360"/>
        </w:tabs>
        <w:jc w:val="both"/>
        <w:rPr>
          <w:color w:val="000000" w:themeColor="text1"/>
        </w:rPr>
        <w:sectPr w:rsidR="004B2E81" w:rsidRPr="00255E45" w:rsidSect="00227EDE">
          <w:footerReference w:type="default" r:id="rId8"/>
          <w:pgSz w:w="12240" w:h="15840" w:code="1"/>
          <w:pgMar w:top="1440" w:right="1440" w:bottom="1440" w:left="1440" w:header="720" w:footer="720" w:gutter="0"/>
          <w:cols w:space="720"/>
          <w:docGrid w:linePitch="360"/>
        </w:sectPr>
      </w:pPr>
    </w:p>
    <w:p w14:paraId="27C98844" w14:textId="77777777" w:rsidR="00AD5B66" w:rsidRPr="00255E45" w:rsidRDefault="00AD5B66" w:rsidP="00B15C04">
      <w:pPr>
        <w:tabs>
          <w:tab w:val="left" w:pos="6840"/>
          <w:tab w:val="right" w:pos="9360"/>
        </w:tabs>
        <w:jc w:val="both"/>
        <w:rPr>
          <w:color w:val="000000" w:themeColor="text1"/>
        </w:rPr>
      </w:pPr>
    </w:p>
    <w:p w14:paraId="797D734A" w14:textId="77777777" w:rsidR="00B15C04" w:rsidRPr="00255E45" w:rsidRDefault="00B15C04" w:rsidP="00B15C04">
      <w:pPr>
        <w:tabs>
          <w:tab w:val="left" w:pos="6840"/>
          <w:tab w:val="right" w:pos="9360"/>
        </w:tabs>
        <w:jc w:val="both"/>
        <w:rPr>
          <w:color w:val="000000" w:themeColor="text1"/>
        </w:rPr>
      </w:pPr>
      <w:r w:rsidRPr="00255E45">
        <w:rPr>
          <w:color w:val="000000" w:themeColor="text1"/>
        </w:rPr>
        <w:t xml:space="preserve">In </w:t>
      </w:r>
      <w:r w:rsidR="007874C5" w:rsidRPr="00255E45">
        <w:rPr>
          <w:color w:val="000000" w:themeColor="text1"/>
        </w:rPr>
        <w:t>P</w:t>
      </w:r>
      <w:r w:rsidRPr="00255E45">
        <w:rPr>
          <w:color w:val="000000" w:themeColor="text1"/>
        </w:rPr>
        <w:t xml:space="preserve">olicy 3200, Selection of </w:t>
      </w:r>
      <w:r w:rsidR="008D1DC4" w:rsidRPr="00255E45">
        <w:rPr>
          <w:color w:val="000000" w:themeColor="text1"/>
        </w:rPr>
        <w:t>Instructional</w:t>
      </w:r>
      <w:r w:rsidRPr="00255E45">
        <w:rPr>
          <w:color w:val="000000" w:themeColor="text1"/>
        </w:rPr>
        <w:t xml:space="preserve"> Materials, the board establishe</w:t>
      </w:r>
      <w:r w:rsidR="00266C0F" w:rsidRPr="00255E45">
        <w:rPr>
          <w:color w:val="000000" w:themeColor="text1"/>
        </w:rPr>
        <w:t>s</w:t>
      </w:r>
      <w:r w:rsidRPr="00255E45">
        <w:rPr>
          <w:color w:val="000000" w:themeColor="text1"/>
        </w:rPr>
        <w:t xml:space="preserve"> a process for the selection of instructional materials.  That process provides an opportunity for parental input in the selection of materials.</w:t>
      </w:r>
    </w:p>
    <w:p w14:paraId="5CBCCEE0" w14:textId="77777777" w:rsidR="00B15C04" w:rsidRPr="00255E45" w:rsidRDefault="00B15C04" w:rsidP="00B15C04">
      <w:pPr>
        <w:tabs>
          <w:tab w:val="left" w:pos="6840"/>
          <w:tab w:val="right" w:pos="9360"/>
        </w:tabs>
        <w:jc w:val="both"/>
        <w:rPr>
          <w:color w:val="000000" w:themeColor="text1"/>
        </w:rPr>
      </w:pPr>
    </w:p>
    <w:p w14:paraId="52593DEB" w14:textId="77777777" w:rsidR="00B15C04" w:rsidRPr="00255E45" w:rsidRDefault="00B15C04" w:rsidP="00B15C04">
      <w:pPr>
        <w:tabs>
          <w:tab w:val="left" w:pos="6840"/>
          <w:tab w:val="right" w:pos="9360"/>
        </w:tabs>
        <w:jc w:val="both"/>
        <w:rPr>
          <w:color w:val="000000" w:themeColor="text1"/>
        </w:rPr>
      </w:pPr>
      <w:r w:rsidRPr="00255E45">
        <w:rPr>
          <w:color w:val="000000" w:themeColor="text1"/>
        </w:rPr>
        <w:t xml:space="preserve">The board recognizes that despite the opportunity to participate in the </w:t>
      </w:r>
      <w:r w:rsidR="00CF57DE" w:rsidRPr="00255E45">
        <w:rPr>
          <w:color w:val="000000" w:themeColor="text1"/>
        </w:rPr>
        <w:t>selection of materials, parents</w:t>
      </w:r>
      <w:r w:rsidRPr="00255E45">
        <w:rPr>
          <w:color w:val="000000" w:themeColor="text1"/>
        </w:rPr>
        <w:t xml:space="preserve"> still may have concerns about instructional materials used in the school.  Thus, to further involve parents in the education of their children, the board also provides opportunities for parents to review instructional materials and</w:t>
      </w:r>
      <w:r w:rsidR="00D03114" w:rsidRPr="00255E45">
        <w:rPr>
          <w:color w:val="000000" w:themeColor="text1"/>
        </w:rPr>
        <w:t xml:space="preserve"> a proces</w:t>
      </w:r>
      <w:r w:rsidR="006C5A19" w:rsidRPr="00255E45">
        <w:rPr>
          <w:color w:val="000000" w:themeColor="text1"/>
        </w:rPr>
        <w:t xml:space="preserve">s for parents to use when they object </w:t>
      </w:r>
      <w:r w:rsidRPr="00255E45">
        <w:rPr>
          <w:color w:val="000000" w:themeColor="text1"/>
        </w:rPr>
        <w:t xml:space="preserve">to </w:t>
      </w:r>
      <w:r w:rsidR="006C5A19" w:rsidRPr="00255E45">
        <w:rPr>
          <w:color w:val="000000" w:themeColor="text1"/>
        </w:rPr>
        <w:t>instructional</w:t>
      </w:r>
      <w:r w:rsidRPr="00255E45">
        <w:rPr>
          <w:color w:val="000000" w:themeColor="text1"/>
        </w:rPr>
        <w:t xml:space="preserve"> materials.  </w:t>
      </w:r>
    </w:p>
    <w:p w14:paraId="44A93258" w14:textId="77777777" w:rsidR="00B15C04" w:rsidRPr="00255E45" w:rsidRDefault="00B15C04" w:rsidP="00B15C04">
      <w:pPr>
        <w:tabs>
          <w:tab w:val="left" w:pos="6840"/>
          <w:tab w:val="right" w:pos="9360"/>
        </w:tabs>
        <w:jc w:val="both"/>
        <w:rPr>
          <w:color w:val="000000" w:themeColor="text1"/>
        </w:rPr>
      </w:pPr>
    </w:p>
    <w:p w14:paraId="29FD28DF" w14:textId="77777777" w:rsidR="002C7EBC" w:rsidRPr="00255E45" w:rsidRDefault="002C7EBC" w:rsidP="002C7EBC">
      <w:pPr>
        <w:numPr>
          <w:ilvl w:val="0"/>
          <w:numId w:val="4"/>
        </w:numPr>
        <w:tabs>
          <w:tab w:val="left" w:pos="720"/>
          <w:tab w:val="left" w:pos="6840"/>
          <w:tab w:val="right" w:pos="9360"/>
        </w:tabs>
        <w:ind w:hanging="720"/>
        <w:jc w:val="both"/>
        <w:rPr>
          <w:b/>
          <w:smallCaps/>
          <w:color w:val="000000" w:themeColor="text1"/>
        </w:rPr>
      </w:pPr>
      <w:r w:rsidRPr="00255E45">
        <w:rPr>
          <w:b/>
          <w:smallCaps/>
          <w:color w:val="000000" w:themeColor="text1"/>
        </w:rPr>
        <w:t>Parental Right to Inspect Materials</w:t>
      </w:r>
    </w:p>
    <w:p w14:paraId="7015B0C0" w14:textId="77777777" w:rsidR="002C7EBC" w:rsidRPr="00255E45" w:rsidRDefault="002C7EBC" w:rsidP="002C7EBC">
      <w:pPr>
        <w:tabs>
          <w:tab w:val="left" w:pos="720"/>
          <w:tab w:val="left" w:pos="6840"/>
          <w:tab w:val="right" w:pos="9360"/>
        </w:tabs>
        <w:ind w:left="720"/>
        <w:jc w:val="both"/>
        <w:rPr>
          <w:b/>
          <w:smallCaps/>
          <w:color w:val="000000" w:themeColor="text1"/>
        </w:rPr>
      </w:pPr>
    </w:p>
    <w:p w14:paraId="0B2AA95E" w14:textId="77777777" w:rsidR="002C7EBC" w:rsidRPr="00255E45" w:rsidRDefault="00B15C04" w:rsidP="000F24D1">
      <w:pPr>
        <w:tabs>
          <w:tab w:val="right" w:pos="9360"/>
        </w:tabs>
        <w:ind w:left="720"/>
        <w:jc w:val="both"/>
        <w:rPr>
          <w:bCs/>
          <w:color w:val="000000" w:themeColor="text1"/>
        </w:rPr>
      </w:pPr>
      <w:r w:rsidRPr="00255E45">
        <w:rPr>
          <w:color w:val="000000" w:themeColor="text1"/>
        </w:rPr>
        <w:t>Parents have a right under federal law to inspect all instructional materials</w:t>
      </w:r>
      <w:r w:rsidR="008D1DC4" w:rsidRPr="00255E45">
        <w:rPr>
          <w:color w:val="000000" w:themeColor="text1"/>
        </w:rPr>
        <w:t xml:space="preserve"> which will be</w:t>
      </w:r>
      <w:r w:rsidRPr="00255E45">
        <w:rPr>
          <w:color w:val="000000" w:themeColor="text1"/>
        </w:rPr>
        <w:t xml:space="preserve"> used in connection with any </w:t>
      </w:r>
      <w:r w:rsidR="007C5E81" w:rsidRPr="00255E45">
        <w:rPr>
          <w:color w:val="000000" w:themeColor="text1"/>
        </w:rPr>
        <w:t>survey, analysis</w:t>
      </w:r>
      <w:r w:rsidR="002C00C9" w:rsidRPr="00255E45">
        <w:rPr>
          <w:color w:val="000000" w:themeColor="text1"/>
        </w:rPr>
        <w:t>,</w:t>
      </w:r>
      <w:r w:rsidR="007C5E81" w:rsidRPr="00255E45">
        <w:rPr>
          <w:color w:val="000000" w:themeColor="text1"/>
        </w:rPr>
        <w:t xml:space="preserve"> or evaluation </w:t>
      </w:r>
      <w:r w:rsidR="008D1DC4" w:rsidRPr="00255E45">
        <w:rPr>
          <w:color w:val="000000" w:themeColor="text1"/>
        </w:rPr>
        <w:t xml:space="preserve">as part </w:t>
      </w:r>
      <w:r w:rsidR="007C5E81" w:rsidRPr="00255E45">
        <w:rPr>
          <w:color w:val="000000" w:themeColor="text1"/>
        </w:rPr>
        <w:t>of</w:t>
      </w:r>
      <w:r w:rsidR="008D1DC4" w:rsidRPr="00255E45">
        <w:rPr>
          <w:color w:val="000000" w:themeColor="text1"/>
        </w:rPr>
        <w:t xml:space="preserve"> any</w:t>
      </w:r>
      <w:r w:rsidR="007C5E81" w:rsidRPr="00255E45">
        <w:rPr>
          <w:color w:val="000000" w:themeColor="text1"/>
        </w:rPr>
        <w:t xml:space="preserve"> </w:t>
      </w:r>
      <w:r w:rsidRPr="00255E45">
        <w:rPr>
          <w:color w:val="000000" w:themeColor="text1"/>
        </w:rPr>
        <w:t xml:space="preserve">applicable federally funded programs.  Parents may </w:t>
      </w:r>
      <w:r w:rsidR="00424C53" w:rsidRPr="00255E45">
        <w:rPr>
          <w:color w:val="000000" w:themeColor="text1"/>
        </w:rPr>
        <w:t xml:space="preserve">also </w:t>
      </w:r>
      <w:r w:rsidRPr="00255E45">
        <w:rPr>
          <w:color w:val="000000" w:themeColor="text1"/>
        </w:rPr>
        <w:t xml:space="preserve">review all other instructional materials following procedures provided by the school. </w:t>
      </w:r>
      <w:r w:rsidR="007C5E81" w:rsidRPr="00255E45">
        <w:rPr>
          <w:color w:val="000000" w:themeColor="text1"/>
        </w:rPr>
        <w:t xml:space="preserve"> </w:t>
      </w:r>
      <w:r w:rsidR="00EB2C92" w:rsidRPr="00255E45">
        <w:rPr>
          <w:color w:val="000000" w:themeColor="text1"/>
        </w:rPr>
        <w:t xml:space="preserve">The term “instructional materials” does not include academic tests or assessments.  </w:t>
      </w:r>
      <w:r w:rsidR="007C5E81" w:rsidRPr="00255E45">
        <w:rPr>
          <w:bCs/>
          <w:color w:val="000000" w:themeColor="text1"/>
        </w:rPr>
        <w:t xml:space="preserve">Some materials available through the Internet and used in individual classes to provide up-to-date information or information on current events may not be available for </w:t>
      </w:r>
      <w:r w:rsidR="006570FC" w:rsidRPr="00255E45">
        <w:rPr>
          <w:bCs/>
          <w:color w:val="000000" w:themeColor="text1"/>
        </w:rPr>
        <w:t>advance</w:t>
      </w:r>
      <w:r w:rsidR="0057670C" w:rsidRPr="00255E45">
        <w:rPr>
          <w:bCs/>
          <w:color w:val="000000" w:themeColor="text1"/>
        </w:rPr>
        <w:t xml:space="preserve"> </w:t>
      </w:r>
      <w:r w:rsidR="007C5E81" w:rsidRPr="00255E45">
        <w:rPr>
          <w:bCs/>
          <w:color w:val="000000" w:themeColor="text1"/>
        </w:rPr>
        <w:t xml:space="preserve">review; however, </w:t>
      </w:r>
      <w:r w:rsidR="00E90B7E" w:rsidRPr="00255E45">
        <w:rPr>
          <w:bCs/>
          <w:color w:val="000000" w:themeColor="text1"/>
        </w:rPr>
        <w:t xml:space="preserve">all </w:t>
      </w:r>
      <w:r w:rsidR="007C5E81" w:rsidRPr="00255E45">
        <w:rPr>
          <w:bCs/>
          <w:color w:val="000000" w:themeColor="text1"/>
        </w:rPr>
        <w:t xml:space="preserve">materials </w:t>
      </w:r>
      <w:r w:rsidR="00E90B7E" w:rsidRPr="00255E45">
        <w:rPr>
          <w:bCs/>
          <w:color w:val="000000" w:themeColor="text1"/>
        </w:rPr>
        <w:t>used in reproductive health and safety education shall be available for review as provided in policy 3540, Comprehensive Health Education Program</w:t>
      </w:r>
      <w:r w:rsidR="007C5E81" w:rsidRPr="00255E45">
        <w:rPr>
          <w:bCs/>
          <w:color w:val="000000" w:themeColor="text1"/>
        </w:rPr>
        <w:t>. </w:t>
      </w:r>
    </w:p>
    <w:p w14:paraId="7EB0391C" w14:textId="77777777" w:rsidR="000F24D1" w:rsidRPr="00255E45" w:rsidRDefault="000F24D1" w:rsidP="00B15C04">
      <w:pPr>
        <w:tabs>
          <w:tab w:val="left" w:pos="6840"/>
          <w:tab w:val="right" w:pos="9360"/>
        </w:tabs>
        <w:jc w:val="both"/>
        <w:rPr>
          <w:color w:val="000000" w:themeColor="text1"/>
        </w:rPr>
      </w:pPr>
    </w:p>
    <w:p w14:paraId="498BEFB1" w14:textId="77777777" w:rsidR="002C7EBC" w:rsidRPr="00255E45" w:rsidRDefault="002C7EBC" w:rsidP="002C7EBC">
      <w:pPr>
        <w:numPr>
          <w:ilvl w:val="0"/>
          <w:numId w:val="4"/>
        </w:numPr>
        <w:ind w:hanging="720"/>
        <w:jc w:val="both"/>
        <w:rPr>
          <w:b/>
          <w:smallCaps/>
          <w:color w:val="000000" w:themeColor="text1"/>
        </w:rPr>
      </w:pPr>
      <w:r w:rsidRPr="00255E45">
        <w:rPr>
          <w:b/>
          <w:smallCaps/>
          <w:color w:val="000000" w:themeColor="text1"/>
        </w:rPr>
        <w:t>Parental Objection to Materials</w:t>
      </w:r>
    </w:p>
    <w:p w14:paraId="18773158" w14:textId="77777777" w:rsidR="00B15C04" w:rsidRPr="00255E45" w:rsidRDefault="00B15C04" w:rsidP="00B15C04">
      <w:pPr>
        <w:tabs>
          <w:tab w:val="left" w:pos="6840"/>
          <w:tab w:val="right" w:pos="9360"/>
        </w:tabs>
        <w:jc w:val="both"/>
        <w:rPr>
          <w:color w:val="000000" w:themeColor="text1"/>
        </w:rPr>
      </w:pPr>
    </w:p>
    <w:p w14:paraId="2FACC0DB" w14:textId="77777777" w:rsidR="00B15C04" w:rsidRPr="00255E45" w:rsidRDefault="00B15C04" w:rsidP="002C7EBC">
      <w:pPr>
        <w:tabs>
          <w:tab w:val="left" w:pos="6840"/>
          <w:tab w:val="right" w:pos="9360"/>
        </w:tabs>
        <w:ind w:left="720"/>
        <w:jc w:val="both"/>
        <w:rPr>
          <w:color w:val="000000" w:themeColor="text1"/>
        </w:rPr>
      </w:pPr>
      <w:r w:rsidRPr="00255E45">
        <w:rPr>
          <w:color w:val="000000" w:themeColor="text1"/>
        </w:rPr>
        <w:t xml:space="preserve">Parents may submit </w:t>
      </w:r>
      <w:r w:rsidR="00A25929" w:rsidRPr="00255E45">
        <w:rPr>
          <w:color w:val="000000" w:themeColor="text1"/>
        </w:rPr>
        <w:t xml:space="preserve">an </w:t>
      </w:r>
      <w:r w:rsidRPr="00255E45">
        <w:rPr>
          <w:color w:val="000000" w:themeColor="text1"/>
        </w:rPr>
        <w:t xml:space="preserve">objection </w:t>
      </w:r>
      <w:r w:rsidR="003A0C06" w:rsidRPr="00255E45">
        <w:rPr>
          <w:color w:val="000000" w:themeColor="text1"/>
        </w:rPr>
        <w:t xml:space="preserve">in writing </w:t>
      </w:r>
      <w:r w:rsidRPr="00255E45">
        <w:rPr>
          <w:color w:val="000000" w:themeColor="text1"/>
        </w:rPr>
        <w:t xml:space="preserve">to the principal regarding the use of </w:t>
      </w:r>
      <w:proofErr w:type="gramStart"/>
      <w:r w:rsidR="00A25929" w:rsidRPr="00255E45">
        <w:rPr>
          <w:color w:val="000000" w:themeColor="text1"/>
        </w:rPr>
        <w:t xml:space="preserve">particular </w:t>
      </w:r>
      <w:r w:rsidRPr="00255E45">
        <w:rPr>
          <w:color w:val="000000" w:themeColor="text1"/>
        </w:rPr>
        <w:t>instructional</w:t>
      </w:r>
      <w:proofErr w:type="gramEnd"/>
      <w:r w:rsidRPr="00255E45">
        <w:rPr>
          <w:color w:val="000000" w:themeColor="text1"/>
        </w:rPr>
        <w:t xml:space="preserve"> materials.  The principal may establish a committee to review the objection.  While input from the community may be sought, the board believes professional educators are in the best position to determine whether a particular instructional material is appropriate for the age and maturity of the </w:t>
      </w:r>
      <w:r w:rsidR="0065616B" w:rsidRPr="00255E45">
        <w:rPr>
          <w:color w:val="000000" w:themeColor="text1"/>
        </w:rPr>
        <w:t>scholar</w:t>
      </w:r>
      <w:r w:rsidRPr="00255E45">
        <w:rPr>
          <w:color w:val="000000" w:themeColor="text1"/>
        </w:rPr>
        <w:t>s and for the subject matter being taught.</w:t>
      </w:r>
    </w:p>
    <w:p w14:paraId="116F5AC4" w14:textId="77777777" w:rsidR="00B15C04" w:rsidRPr="00255E45" w:rsidRDefault="00B15C04" w:rsidP="002C7EBC">
      <w:pPr>
        <w:tabs>
          <w:tab w:val="left" w:pos="6840"/>
          <w:tab w:val="right" w:pos="9360"/>
        </w:tabs>
        <w:ind w:left="720"/>
        <w:jc w:val="both"/>
        <w:rPr>
          <w:color w:val="000000" w:themeColor="text1"/>
        </w:rPr>
      </w:pPr>
    </w:p>
    <w:p w14:paraId="77F9D66F" w14:textId="77777777" w:rsidR="00B15C04" w:rsidRPr="00255E45" w:rsidRDefault="00B15C04" w:rsidP="002C7EBC">
      <w:pPr>
        <w:tabs>
          <w:tab w:val="left" w:pos="6840"/>
          <w:tab w:val="right" w:pos="9360"/>
        </w:tabs>
        <w:ind w:left="720"/>
        <w:jc w:val="both"/>
        <w:rPr>
          <w:color w:val="000000" w:themeColor="text1"/>
        </w:rPr>
      </w:pPr>
      <w:r w:rsidRPr="00255E45">
        <w:rPr>
          <w:color w:val="000000" w:themeColor="text1"/>
        </w:rPr>
        <w:t xml:space="preserve">If the principal or the committee determines that any material violates constitutional or other legal rights of the parent or </w:t>
      </w:r>
      <w:r w:rsidR="0065616B" w:rsidRPr="00255E45">
        <w:rPr>
          <w:color w:val="000000" w:themeColor="text1"/>
        </w:rPr>
        <w:t>scholar</w:t>
      </w:r>
      <w:r w:rsidRPr="00255E45">
        <w:rPr>
          <w:color w:val="000000" w:themeColor="text1"/>
        </w:rPr>
        <w:t xml:space="preserve">, the principal or the committee </w:t>
      </w:r>
      <w:r w:rsidR="004B40E6" w:rsidRPr="00255E45">
        <w:rPr>
          <w:color w:val="000000" w:themeColor="text1"/>
        </w:rPr>
        <w:t>shall</w:t>
      </w:r>
      <w:r w:rsidRPr="00255E45">
        <w:rPr>
          <w:color w:val="000000" w:themeColor="text1"/>
        </w:rPr>
        <w:t xml:space="preserve"> either remove the material from instructional use or accommodate the </w:t>
      </w:r>
      <w:proofErr w:type="gramStart"/>
      <w:r w:rsidRPr="00255E45">
        <w:rPr>
          <w:color w:val="000000" w:themeColor="text1"/>
        </w:rPr>
        <w:t xml:space="preserve">particular </w:t>
      </w:r>
      <w:r w:rsidR="0065616B" w:rsidRPr="00255E45">
        <w:rPr>
          <w:color w:val="000000" w:themeColor="text1"/>
        </w:rPr>
        <w:t>scholar</w:t>
      </w:r>
      <w:proofErr w:type="gramEnd"/>
      <w:r w:rsidRPr="00255E45">
        <w:rPr>
          <w:color w:val="000000" w:themeColor="text1"/>
        </w:rPr>
        <w:t xml:space="preserve"> and parent.  Before any material is removed, the principal or the committee </w:t>
      </w:r>
      <w:r w:rsidR="004B40E6" w:rsidRPr="00255E45">
        <w:rPr>
          <w:color w:val="000000" w:themeColor="text1"/>
        </w:rPr>
        <w:t>shall</w:t>
      </w:r>
      <w:r w:rsidRPr="00255E45">
        <w:rPr>
          <w:color w:val="000000" w:themeColor="text1"/>
        </w:rPr>
        <w:t xml:space="preserve"> ensure that the curriculum is still aligned with </w:t>
      </w:r>
      <w:r w:rsidR="00B7461E" w:rsidRPr="00255E45">
        <w:rPr>
          <w:color w:val="000000" w:themeColor="text1"/>
        </w:rPr>
        <w:t xml:space="preserve">current statewide instructional standards </w:t>
      </w:r>
      <w:r w:rsidRPr="00255E45">
        <w:rPr>
          <w:color w:val="000000" w:themeColor="text1"/>
        </w:rPr>
        <w:t xml:space="preserve">and articulated from grade to grade.  If an objection made by a parent or </w:t>
      </w:r>
      <w:r w:rsidR="0065616B" w:rsidRPr="00255E45">
        <w:rPr>
          <w:color w:val="000000" w:themeColor="text1"/>
        </w:rPr>
        <w:t>scholar</w:t>
      </w:r>
      <w:r w:rsidRPr="00255E45">
        <w:rPr>
          <w:color w:val="000000" w:themeColor="text1"/>
        </w:rPr>
        <w:t xml:space="preserve"> is not based upon constitutional or legal rights, the principal or the committee may accommodate </w:t>
      </w:r>
      <w:r w:rsidR="00A25929" w:rsidRPr="00255E45">
        <w:rPr>
          <w:color w:val="000000" w:themeColor="text1"/>
        </w:rPr>
        <w:t>the</w:t>
      </w:r>
      <w:r w:rsidRPr="00255E45">
        <w:rPr>
          <w:color w:val="000000" w:themeColor="text1"/>
        </w:rPr>
        <w:t xml:space="preserve"> objection after considering the effect on </w:t>
      </w:r>
      <w:r w:rsidR="00A25929" w:rsidRPr="00255E45">
        <w:rPr>
          <w:color w:val="000000" w:themeColor="text1"/>
        </w:rPr>
        <w:t xml:space="preserve">the </w:t>
      </w:r>
      <w:r w:rsidRPr="00255E45">
        <w:rPr>
          <w:color w:val="000000" w:themeColor="text1"/>
        </w:rPr>
        <w:t>curriculum</w:t>
      </w:r>
      <w:r w:rsidR="00EE7EAA" w:rsidRPr="00255E45">
        <w:rPr>
          <w:color w:val="000000" w:themeColor="text1"/>
        </w:rPr>
        <w:t>;</w:t>
      </w:r>
      <w:r w:rsidRPr="00255E45">
        <w:rPr>
          <w:color w:val="000000" w:themeColor="text1"/>
        </w:rPr>
        <w:t xml:space="preserve"> any burden on the school, teacher</w:t>
      </w:r>
      <w:r w:rsidR="002C00C9" w:rsidRPr="00255E45">
        <w:rPr>
          <w:color w:val="000000" w:themeColor="text1"/>
        </w:rPr>
        <w:t>,</w:t>
      </w:r>
      <w:r w:rsidRPr="00255E45">
        <w:rPr>
          <w:color w:val="000000" w:themeColor="text1"/>
        </w:rPr>
        <w:t xml:space="preserve"> or other </w:t>
      </w:r>
      <w:r w:rsidR="0065616B" w:rsidRPr="00255E45">
        <w:rPr>
          <w:color w:val="000000" w:themeColor="text1"/>
        </w:rPr>
        <w:t>scholar</w:t>
      </w:r>
      <w:r w:rsidRPr="00255E45">
        <w:rPr>
          <w:color w:val="000000" w:themeColor="text1"/>
        </w:rPr>
        <w:t>s that the accommodation would create</w:t>
      </w:r>
      <w:r w:rsidR="00EE7EAA" w:rsidRPr="00255E45">
        <w:rPr>
          <w:color w:val="000000" w:themeColor="text1"/>
        </w:rPr>
        <w:t>;</w:t>
      </w:r>
      <w:r w:rsidRPr="00255E45">
        <w:rPr>
          <w:color w:val="000000" w:themeColor="text1"/>
        </w:rPr>
        <w:t xml:space="preserve"> and any other relevant factors. </w:t>
      </w:r>
      <w:r w:rsidR="00BB1521" w:rsidRPr="00255E45">
        <w:rPr>
          <w:color w:val="000000" w:themeColor="text1"/>
        </w:rPr>
        <w:t xml:space="preserve"> </w:t>
      </w:r>
      <w:r w:rsidR="00A25929" w:rsidRPr="00255E45">
        <w:rPr>
          <w:color w:val="000000" w:themeColor="text1"/>
        </w:rPr>
        <w:t>B</w:t>
      </w:r>
      <w:r w:rsidR="00BB1521" w:rsidRPr="00255E45">
        <w:rPr>
          <w:color w:val="000000" w:themeColor="text1"/>
        </w:rPr>
        <w:t>ooks and other instructional materials may be removed from the school media collection only for legitimate educational</w:t>
      </w:r>
      <w:r w:rsidR="00954227" w:rsidRPr="00255E45">
        <w:rPr>
          <w:color w:val="000000" w:themeColor="text1"/>
        </w:rPr>
        <w:t xml:space="preserve"> reasons</w:t>
      </w:r>
      <w:r w:rsidR="005D75A7" w:rsidRPr="00255E45">
        <w:rPr>
          <w:color w:val="000000" w:themeColor="text1"/>
        </w:rPr>
        <w:t xml:space="preserve"> </w:t>
      </w:r>
      <w:r w:rsidR="00BB1521" w:rsidRPr="00255E45">
        <w:rPr>
          <w:color w:val="000000" w:themeColor="text1"/>
        </w:rPr>
        <w:t xml:space="preserve">and </w:t>
      </w:r>
      <w:r w:rsidR="00757D9C" w:rsidRPr="00255E45">
        <w:rPr>
          <w:color w:val="000000" w:themeColor="text1"/>
        </w:rPr>
        <w:t xml:space="preserve">subject to the limitations of the </w:t>
      </w:r>
      <w:r w:rsidR="00BB1521" w:rsidRPr="00255E45">
        <w:rPr>
          <w:color w:val="000000" w:themeColor="text1"/>
        </w:rPr>
        <w:t xml:space="preserve">First Amendment. </w:t>
      </w:r>
    </w:p>
    <w:p w14:paraId="46A45A3C" w14:textId="77777777" w:rsidR="00B15C04" w:rsidRPr="00255E45" w:rsidRDefault="00B15C04" w:rsidP="002C7EBC">
      <w:pPr>
        <w:tabs>
          <w:tab w:val="left" w:pos="6840"/>
          <w:tab w:val="right" w:pos="9360"/>
        </w:tabs>
        <w:ind w:left="720"/>
        <w:jc w:val="both"/>
        <w:rPr>
          <w:color w:val="000000" w:themeColor="text1"/>
        </w:rPr>
      </w:pPr>
    </w:p>
    <w:p w14:paraId="7034A88D" w14:textId="2474BBE7" w:rsidR="008679CA" w:rsidRPr="00255E45" w:rsidRDefault="00B15C04" w:rsidP="008679CA">
      <w:pPr>
        <w:tabs>
          <w:tab w:val="left" w:pos="6840"/>
          <w:tab w:val="right" w:pos="9360"/>
        </w:tabs>
        <w:ind w:left="720"/>
        <w:jc w:val="both"/>
        <w:rPr>
          <w:color w:val="000000" w:themeColor="text1"/>
        </w:rPr>
      </w:pPr>
      <w:r w:rsidRPr="00255E45">
        <w:rPr>
          <w:color w:val="000000" w:themeColor="text1"/>
        </w:rPr>
        <w:t xml:space="preserve">The decision of the committee or principal may be appealed to the </w:t>
      </w:r>
      <w:r w:rsidR="008679CA" w:rsidRPr="00255E45">
        <w:rPr>
          <w:color w:val="000000" w:themeColor="text1"/>
        </w:rPr>
        <w:t>executive director</w:t>
      </w:r>
      <w:r w:rsidRPr="00255E45">
        <w:rPr>
          <w:color w:val="000000" w:themeColor="text1"/>
        </w:rPr>
        <w:t xml:space="preserve">. </w:t>
      </w:r>
    </w:p>
    <w:p w14:paraId="54903CF8" w14:textId="77777777" w:rsidR="008679CA" w:rsidRPr="00255E45" w:rsidRDefault="008679CA" w:rsidP="008679CA">
      <w:pPr>
        <w:tabs>
          <w:tab w:val="left" w:pos="6840"/>
          <w:tab w:val="right" w:pos="9360"/>
        </w:tabs>
        <w:ind w:left="720"/>
        <w:jc w:val="both"/>
        <w:rPr>
          <w:color w:val="000000" w:themeColor="text1"/>
        </w:rPr>
      </w:pPr>
    </w:p>
    <w:p w14:paraId="5F4DAF18" w14:textId="28C33613" w:rsidR="00B15C04" w:rsidRPr="00255E45" w:rsidRDefault="00B15C04" w:rsidP="008679CA">
      <w:pPr>
        <w:tabs>
          <w:tab w:val="left" w:pos="6840"/>
          <w:tab w:val="right" w:pos="9360"/>
        </w:tabs>
        <w:ind w:left="720"/>
        <w:jc w:val="both"/>
        <w:rPr>
          <w:color w:val="000000" w:themeColor="text1"/>
        </w:rPr>
      </w:pPr>
      <w:r w:rsidRPr="00255E45">
        <w:rPr>
          <w:color w:val="000000" w:themeColor="text1"/>
        </w:rPr>
        <w:t xml:space="preserve">The </w:t>
      </w:r>
      <w:r w:rsidR="008679CA" w:rsidRPr="00255E45">
        <w:rPr>
          <w:color w:val="000000" w:themeColor="text1"/>
        </w:rPr>
        <w:t xml:space="preserve">executive director </w:t>
      </w:r>
      <w:r w:rsidR="004B40E6" w:rsidRPr="00255E45">
        <w:rPr>
          <w:color w:val="000000" w:themeColor="text1"/>
        </w:rPr>
        <w:t>shall</w:t>
      </w:r>
      <w:r w:rsidRPr="00255E45">
        <w:rPr>
          <w:color w:val="000000" w:themeColor="text1"/>
        </w:rPr>
        <w:t xml:space="preserve"> </w:t>
      </w:r>
      <w:r w:rsidR="00602133" w:rsidRPr="00255E45">
        <w:rPr>
          <w:color w:val="000000" w:themeColor="text1"/>
        </w:rPr>
        <w:t>develop</w:t>
      </w:r>
      <w:r w:rsidRPr="00255E45">
        <w:rPr>
          <w:color w:val="000000" w:themeColor="text1"/>
        </w:rPr>
        <w:t xml:space="preserve"> </w:t>
      </w:r>
      <w:r w:rsidR="00161AFC" w:rsidRPr="00255E45">
        <w:rPr>
          <w:color w:val="000000" w:themeColor="text1"/>
        </w:rPr>
        <w:t>the</w:t>
      </w:r>
      <w:r w:rsidRPr="00255E45">
        <w:rPr>
          <w:color w:val="000000" w:themeColor="text1"/>
        </w:rPr>
        <w:t xml:space="preserve"> necessary administrative procedures</w:t>
      </w:r>
      <w:r w:rsidR="00161AFC" w:rsidRPr="00255E45">
        <w:rPr>
          <w:color w:val="000000" w:themeColor="text1"/>
        </w:rPr>
        <w:t xml:space="preserve"> to implement this policy</w:t>
      </w:r>
      <w:r w:rsidRPr="00255E45">
        <w:rPr>
          <w:color w:val="000000" w:themeColor="text1"/>
        </w:rPr>
        <w:t xml:space="preserve">. </w:t>
      </w:r>
    </w:p>
    <w:p w14:paraId="4243131F" w14:textId="77777777" w:rsidR="00B15C04" w:rsidRPr="00255E45" w:rsidRDefault="00B15C04" w:rsidP="00B15C04">
      <w:pPr>
        <w:tabs>
          <w:tab w:val="left" w:pos="6840"/>
          <w:tab w:val="right" w:pos="9360"/>
        </w:tabs>
        <w:jc w:val="both"/>
        <w:rPr>
          <w:color w:val="000000" w:themeColor="text1"/>
        </w:rPr>
      </w:pPr>
    </w:p>
    <w:p w14:paraId="22415937" w14:textId="77777777" w:rsidR="00B15C04" w:rsidRPr="00255E45" w:rsidRDefault="00B15C04" w:rsidP="00B15C04">
      <w:pPr>
        <w:tabs>
          <w:tab w:val="left" w:pos="6840"/>
          <w:tab w:val="right" w:pos="9360"/>
        </w:tabs>
        <w:jc w:val="both"/>
        <w:rPr>
          <w:color w:val="000000" w:themeColor="text1"/>
        </w:rPr>
      </w:pPr>
      <w:r w:rsidRPr="00255E45">
        <w:rPr>
          <w:color w:val="000000" w:themeColor="text1"/>
        </w:rPr>
        <w:t>Legal References:  U.S. Const. amend. I; 20 U.S.C. 1232h; N.C. Const. art. I, §</w:t>
      </w:r>
      <w:r w:rsidR="00602133" w:rsidRPr="00255E45">
        <w:rPr>
          <w:color w:val="000000" w:themeColor="text1"/>
        </w:rPr>
        <w:t xml:space="preserve"> </w:t>
      </w:r>
      <w:r w:rsidRPr="00255E45">
        <w:rPr>
          <w:color w:val="000000" w:themeColor="text1"/>
        </w:rPr>
        <w:t xml:space="preserve">14; </w:t>
      </w:r>
      <w:r w:rsidR="00D554FB" w:rsidRPr="00255E45">
        <w:rPr>
          <w:i/>
          <w:color w:val="000000" w:themeColor="text1"/>
        </w:rPr>
        <w:t xml:space="preserve">Board of Educ. v. Pico, </w:t>
      </w:r>
      <w:r w:rsidR="00D554FB" w:rsidRPr="00255E45">
        <w:rPr>
          <w:color w:val="000000" w:themeColor="text1"/>
        </w:rPr>
        <w:t xml:space="preserve">457 U.S. 853 (1982); </w:t>
      </w:r>
      <w:r w:rsidRPr="00255E45">
        <w:rPr>
          <w:color w:val="000000" w:themeColor="text1"/>
        </w:rPr>
        <w:t xml:space="preserve">G.S. </w:t>
      </w:r>
      <w:r w:rsidR="00254032" w:rsidRPr="00255E45">
        <w:rPr>
          <w:color w:val="000000" w:themeColor="text1"/>
        </w:rPr>
        <w:t>115C art. 8 pt. 1</w:t>
      </w:r>
    </w:p>
    <w:p w14:paraId="40085B5D" w14:textId="77777777" w:rsidR="00B15C04" w:rsidRPr="00255E45" w:rsidRDefault="00B15C04" w:rsidP="00B15C04">
      <w:pPr>
        <w:tabs>
          <w:tab w:val="left" w:pos="6840"/>
          <w:tab w:val="right" w:pos="9360"/>
        </w:tabs>
        <w:jc w:val="both"/>
        <w:rPr>
          <w:color w:val="000000" w:themeColor="text1"/>
        </w:rPr>
      </w:pPr>
    </w:p>
    <w:p w14:paraId="1BA5C419" w14:textId="77777777" w:rsidR="00B15C04" w:rsidRPr="00255E45" w:rsidRDefault="00B15C04" w:rsidP="00B15C04">
      <w:pPr>
        <w:tabs>
          <w:tab w:val="left" w:pos="6840"/>
          <w:tab w:val="right" w:pos="9360"/>
        </w:tabs>
        <w:jc w:val="both"/>
        <w:rPr>
          <w:color w:val="000000" w:themeColor="text1"/>
        </w:rPr>
      </w:pPr>
      <w:r w:rsidRPr="00255E45">
        <w:rPr>
          <w:color w:val="000000" w:themeColor="text1"/>
        </w:rPr>
        <w:t xml:space="preserve">Cross References:  Goals and Objectives of the Educational Program (policy 3000), Curriculum Development (policy 3100), Selection of </w:t>
      </w:r>
      <w:r w:rsidR="00484788" w:rsidRPr="00255E45">
        <w:rPr>
          <w:color w:val="000000" w:themeColor="text1"/>
        </w:rPr>
        <w:t>Instructional</w:t>
      </w:r>
      <w:r w:rsidRPr="00255E45">
        <w:rPr>
          <w:color w:val="000000" w:themeColor="text1"/>
        </w:rPr>
        <w:t xml:space="preserve"> Materials (policy 3200)</w:t>
      </w:r>
      <w:r w:rsidR="007C5E81" w:rsidRPr="00255E45">
        <w:rPr>
          <w:color w:val="000000" w:themeColor="text1"/>
        </w:rPr>
        <w:t>, Comprehensive Health Education Program (policy 3540)</w:t>
      </w:r>
    </w:p>
    <w:p w14:paraId="4160A73B" w14:textId="77777777" w:rsidR="00B15C04" w:rsidRPr="00255E45" w:rsidRDefault="00B15C04" w:rsidP="00B15C04">
      <w:pPr>
        <w:tabs>
          <w:tab w:val="left" w:pos="6840"/>
          <w:tab w:val="right" w:pos="9360"/>
        </w:tabs>
        <w:jc w:val="both"/>
        <w:rPr>
          <w:color w:val="000000" w:themeColor="text1"/>
        </w:rPr>
      </w:pPr>
    </w:p>
    <w:p w14:paraId="33FC6C75" w14:textId="3C7FE570" w:rsidR="00CC7931" w:rsidRPr="00255E45" w:rsidRDefault="00A43F4A" w:rsidP="006C631A">
      <w:pPr>
        <w:jc w:val="both"/>
        <w:rPr>
          <w:color w:val="000000" w:themeColor="text1"/>
        </w:rPr>
      </w:pPr>
      <w:r w:rsidRPr="00255E45">
        <w:rPr>
          <w:color w:val="000000" w:themeColor="text1"/>
        </w:rPr>
        <w:t>Adopt</w:t>
      </w:r>
      <w:r w:rsidR="00EE7EAA" w:rsidRPr="00255E45">
        <w:rPr>
          <w:color w:val="000000" w:themeColor="text1"/>
        </w:rPr>
        <w:t>ed</w:t>
      </w:r>
      <w:r w:rsidR="00B15C04" w:rsidRPr="00255E45">
        <w:rPr>
          <w:color w:val="000000" w:themeColor="text1"/>
        </w:rPr>
        <w:t>:</w:t>
      </w:r>
      <w:r w:rsidR="007874C5" w:rsidRPr="00255E45">
        <w:rPr>
          <w:color w:val="000000" w:themeColor="text1"/>
        </w:rPr>
        <w:t xml:space="preserve">  April 15, 2020</w:t>
      </w:r>
    </w:p>
    <w:p w14:paraId="1191D062" w14:textId="0AE6DD26" w:rsidR="008679CA" w:rsidRPr="00255E45" w:rsidRDefault="008679CA" w:rsidP="006C631A">
      <w:pPr>
        <w:jc w:val="both"/>
        <w:rPr>
          <w:color w:val="000000" w:themeColor="text1"/>
        </w:rPr>
      </w:pPr>
      <w:r w:rsidRPr="00255E45">
        <w:rPr>
          <w:color w:val="000000" w:themeColor="text1"/>
        </w:rPr>
        <w:t>Revised:</w:t>
      </w:r>
      <w:r w:rsidR="00255E45" w:rsidRPr="00255E45">
        <w:rPr>
          <w:color w:val="000000" w:themeColor="text1"/>
        </w:rPr>
        <w:t xml:space="preserve"> June 8, 2022</w:t>
      </w:r>
    </w:p>
    <w:p w14:paraId="75D99F2A" w14:textId="77777777" w:rsidR="00803DA0" w:rsidRDefault="00803DA0" w:rsidP="006C631A">
      <w:pPr>
        <w:jc w:val="both"/>
      </w:pPr>
    </w:p>
    <w:sectPr w:rsidR="00803DA0" w:rsidSect="007874C5">
      <w:headerReference w:type="even" r:id="rId9"/>
      <w:headerReference w:type="default" r:id="rId10"/>
      <w:headerReference w:type="firs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89E6" w14:textId="77777777" w:rsidR="004D4EAE" w:rsidRDefault="004D4EAE">
      <w:r>
        <w:separator/>
      </w:r>
    </w:p>
  </w:endnote>
  <w:endnote w:type="continuationSeparator" w:id="0">
    <w:p w14:paraId="406AC0B4" w14:textId="77777777" w:rsidR="004D4EAE" w:rsidRDefault="004D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A12E" w14:textId="77777777" w:rsidR="00E24402" w:rsidRDefault="00E24402" w:rsidP="004D6AAE">
    <w:pPr>
      <w:spacing w:line="240" w:lineRule="exact"/>
      <w:ind w:right="-360"/>
    </w:pPr>
  </w:p>
  <w:p w14:paraId="5AD81BA1" w14:textId="77777777" w:rsidR="00E24402" w:rsidRDefault="00015DDE" w:rsidP="004D6AAE">
    <w:pPr>
      <w:spacing w:line="109" w:lineRule="exact"/>
    </w:pPr>
    <w:r>
      <w:rPr>
        <w:noProof/>
        <w:snapToGrid/>
      </w:rPr>
      <mc:AlternateContent>
        <mc:Choice Requires="wps">
          <w:drawing>
            <wp:anchor distT="0" distB="0" distL="114300" distR="114300" simplePos="0" relativeHeight="251660288" behindDoc="0" locked="0" layoutInCell="1" allowOverlap="1" wp14:anchorId="11B253D5" wp14:editId="0146D4B2">
              <wp:simplePos x="0" y="0"/>
              <wp:positionH relativeFrom="column">
                <wp:posOffset>0</wp:posOffset>
              </wp:positionH>
              <wp:positionV relativeFrom="paragraph">
                <wp:posOffset>11430</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50D709" id="Line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" strokeweight="4.5pt">
              <v:stroke linestyle="thickThin"/>
            </v:line>
          </w:pict>
        </mc:Fallback>
      </mc:AlternateContent>
    </w:r>
  </w:p>
  <w:p w14:paraId="2FA8D8FD" w14:textId="77777777" w:rsidR="00E24402" w:rsidRPr="00015DDE" w:rsidRDefault="00295860" w:rsidP="00015DDE">
    <w:pPr>
      <w:tabs>
        <w:tab w:val="right" w:pos="9360"/>
      </w:tabs>
      <w:autoSpaceDE w:val="0"/>
      <w:autoSpaceDN w:val="0"/>
      <w:adjustRightInd w:val="0"/>
      <w:jc w:val="both"/>
      <w:rPr>
        <w:szCs w:val="24"/>
      </w:rPr>
    </w:pPr>
    <w:r w:rsidRPr="00295860">
      <w:rPr>
        <w:b/>
        <w:szCs w:val="24"/>
      </w:rPr>
      <w:t>NE REGIONAL SCHOOL BOARD OF DIRECTORS POLICY MANUAL</w:t>
    </w:r>
    <w:r w:rsidR="00015DDE">
      <w:rPr>
        <w:b/>
        <w:szCs w:val="24"/>
      </w:rPr>
      <w:tab/>
    </w:r>
    <w:r w:rsidR="00015DDE" w:rsidRPr="00015DDE">
      <w:rPr>
        <w:szCs w:val="24"/>
      </w:rPr>
      <w:t xml:space="preserve">Page </w:t>
    </w:r>
    <w:r w:rsidR="00015DDE" w:rsidRPr="00015DDE">
      <w:rPr>
        <w:bCs/>
        <w:szCs w:val="24"/>
      </w:rPr>
      <w:fldChar w:fldCharType="begin"/>
    </w:r>
    <w:r w:rsidR="00015DDE" w:rsidRPr="00015DDE">
      <w:rPr>
        <w:bCs/>
        <w:szCs w:val="24"/>
      </w:rPr>
      <w:instrText xml:space="preserve"> PAGE  \* Arabic  \* MERGEFORMAT </w:instrText>
    </w:r>
    <w:r w:rsidR="00015DDE" w:rsidRPr="00015DDE">
      <w:rPr>
        <w:bCs/>
        <w:szCs w:val="24"/>
      </w:rPr>
      <w:fldChar w:fldCharType="separate"/>
    </w:r>
    <w:r>
      <w:rPr>
        <w:bCs/>
        <w:noProof/>
        <w:szCs w:val="24"/>
      </w:rPr>
      <w:t>2</w:t>
    </w:r>
    <w:r w:rsidR="00015DDE" w:rsidRPr="00015DDE">
      <w:rPr>
        <w:bCs/>
        <w:szCs w:val="24"/>
      </w:rPr>
      <w:fldChar w:fldCharType="end"/>
    </w:r>
    <w:r w:rsidR="00015DDE" w:rsidRPr="00015DDE">
      <w:rPr>
        <w:szCs w:val="24"/>
      </w:rPr>
      <w:t xml:space="preserve"> of </w:t>
    </w:r>
    <w:r w:rsidR="00015DDE" w:rsidRPr="00015DDE">
      <w:rPr>
        <w:bCs/>
        <w:szCs w:val="24"/>
      </w:rPr>
      <w:fldChar w:fldCharType="begin"/>
    </w:r>
    <w:r w:rsidR="00015DDE" w:rsidRPr="00015DDE">
      <w:rPr>
        <w:bCs/>
        <w:szCs w:val="24"/>
      </w:rPr>
      <w:instrText xml:space="preserve"> NUMPAGES  \* Arabic  \* MERGEFORMAT </w:instrText>
    </w:r>
    <w:r w:rsidR="00015DDE" w:rsidRPr="00015DDE">
      <w:rPr>
        <w:bCs/>
        <w:szCs w:val="24"/>
      </w:rPr>
      <w:fldChar w:fldCharType="separate"/>
    </w:r>
    <w:r>
      <w:rPr>
        <w:bCs/>
        <w:noProof/>
        <w:szCs w:val="24"/>
      </w:rPr>
      <w:t>2</w:t>
    </w:r>
    <w:r w:rsidR="00015DDE" w:rsidRPr="00015DDE">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A77E" w14:textId="77777777" w:rsidR="004D4EAE" w:rsidRDefault="004D4EAE">
      <w:r>
        <w:separator/>
      </w:r>
    </w:p>
  </w:footnote>
  <w:footnote w:type="continuationSeparator" w:id="0">
    <w:p w14:paraId="32FAF7C7" w14:textId="77777777" w:rsidR="004D4EAE" w:rsidRDefault="004D4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16FA" w14:textId="77777777" w:rsidR="00E24402" w:rsidRDefault="00E24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0C24" w14:textId="77777777" w:rsidR="00E24402" w:rsidRPr="00F15B58" w:rsidRDefault="00E24402" w:rsidP="004B2E81">
    <w:pPr>
      <w:tabs>
        <w:tab w:val="left" w:pos="6840"/>
        <w:tab w:val="right" w:pos="9360"/>
      </w:tabs>
      <w:ind w:firstLine="6840"/>
    </w:pPr>
    <w:r w:rsidRPr="00F15B58">
      <w:rPr>
        <w:i/>
        <w:sz w:val="20"/>
      </w:rPr>
      <w:t>Policy Code:</w:t>
    </w:r>
    <w:r w:rsidRPr="00F15B58">
      <w:tab/>
    </w:r>
    <w:r w:rsidRPr="00F15B58">
      <w:rPr>
        <w:b/>
      </w:rPr>
      <w:t>3210</w:t>
    </w:r>
  </w:p>
  <w:p w14:paraId="13997B00" w14:textId="77777777" w:rsidR="00E24402" w:rsidRPr="00F15B58" w:rsidRDefault="00254032" w:rsidP="004B2E81">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59264" behindDoc="0" locked="0" layoutInCell="0" allowOverlap="1" wp14:anchorId="155A5AA0" wp14:editId="46537B2D">
              <wp:simplePos x="0" y="0"/>
              <wp:positionH relativeFrom="column">
                <wp:posOffset>0</wp:posOffset>
              </wp:positionH>
              <wp:positionV relativeFrom="paragraph">
                <wp:posOffset>38099</wp:posOffset>
              </wp:positionV>
              <wp:extent cx="5943600" cy="0"/>
              <wp:effectExtent l="0" t="19050" r="19050" b="381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DAC5" id="Line 8"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" o:allowincell="f" strokeweight="4.5pt">
              <v:stroke linestyle="thinThick"/>
            </v:line>
          </w:pict>
        </mc:Fallback>
      </mc:AlternateContent>
    </w:r>
  </w:p>
  <w:p w14:paraId="02107224" w14:textId="77777777" w:rsidR="00E24402" w:rsidRPr="00F15B58" w:rsidRDefault="00E24402" w:rsidP="00AD5B66">
    <w:pPr>
      <w:tabs>
        <w:tab w:val="left" w:pos="68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63D0" w14:textId="77777777" w:rsidR="00E24402" w:rsidRDefault="00E24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53119E8"/>
    <w:multiLevelType w:val="hybridMultilevel"/>
    <w:tmpl w:val="EE02467A"/>
    <w:lvl w:ilvl="0" w:tplc="3156FB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5984501">
    <w:abstractNumId w:val="0"/>
  </w:num>
  <w:num w:numId="2" w16cid:durableId="1098867274">
    <w:abstractNumId w:val="1"/>
  </w:num>
  <w:num w:numId="3" w16cid:durableId="1445418321">
    <w:abstractNumId w:val="3"/>
  </w:num>
  <w:num w:numId="4" w16cid:durableId="101445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5DDE"/>
    <w:rsid w:val="0002520B"/>
    <w:rsid w:val="00032C4F"/>
    <w:rsid w:val="000537D4"/>
    <w:rsid w:val="000738AC"/>
    <w:rsid w:val="0007614F"/>
    <w:rsid w:val="00076675"/>
    <w:rsid w:val="000B1D1F"/>
    <w:rsid w:val="000C6598"/>
    <w:rsid w:val="000D6792"/>
    <w:rsid w:val="000F24D1"/>
    <w:rsid w:val="00101E9E"/>
    <w:rsid w:val="00137E23"/>
    <w:rsid w:val="00155929"/>
    <w:rsid w:val="0016178B"/>
    <w:rsid w:val="00161AFC"/>
    <w:rsid w:val="00191A2D"/>
    <w:rsid w:val="001B392C"/>
    <w:rsid w:val="001C59A4"/>
    <w:rsid w:val="001D3311"/>
    <w:rsid w:val="001F0D84"/>
    <w:rsid w:val="0021220D"/>
    <w:rsid w:val="002204D4"/>
    <w:rsid w:val="00227EDE"/>
    <w:rsid w:val="002306FE"/>
    <w:rsid w:val="00233484"/>
    <w:rsid w:val="00234818"/>
    <w:rsid w:val="00236FF6"/>
    <w:rsid w:val="00244CD0"/>
    <w:rsid w:val="00254032"/>
    <w:rsid w:val="00255E45"/>
    <w:rsid w:val="0026505A"/>
    <w:rsid w:val="00266C0F"/>
    <w:rsid w:val="002762E6"/>
    <w:rsid w:val="00282C37"/>
    <w:rsid w:val="00283E24"/>
    <w:rsid w:val="0028788E"/>
    <w:rsid w:val="00295860"/>
    <w:rsid w:val="002A7713"/>
    <w:rsid w:val="002B4733"/>
    <w:rsid w:val="002C00C9"/>
    <w:rsid w:val="002C7EBC"/>
    <w:rsid w:val="002D4DB0"/>
    <w:rsid w:val="003566D5"/>
    <w:rsid w:val="00361421"/>
    <w:rsid w:val="00385E4B"/>
    <w:rsid w:val="003A0C06"/>
    <w:rsid w:val="003C07FC"/>
    <w:rsid w:val="003C698E"/>
    <w:rsid w:val="003D4BED"/>
    <w:rsid w:val="0041469D"/>
    <w:rsid w:val="00420195"/>
    <w:rsid w:val="00424C53"/>
    <w:rsid w:val="00433BAA"/>
    <w:rsid w:val="00436DB4"/>
    <w:rsid w:val="004576E7"/>
    <w:rsid w:val="00466D7D"/>
    <w:rsid w:val="00484788"/>
    <w:rsid w:val="004B2E81"/>
    <w:rsid w:val="004B39E1"/>
    <w:rsid w:val="004B40E6"/>
    <w:rsid w:val="004B764E"/>
    <w:rsid w:val="004C2035"/>
    <w:rsid w:val="004C428E"/>
    <w:rsid w:val="004D3978"/>
    <w:rsid w:val="004D4EAE"/>
    <w:rsid w:val="004D6AAE"/>
    <w:rsid w:val="00501015"/>
    <w:rsid w:val="00515C51"/>
    <w:rsid w:val="0054308D"/>
    <w:rsid w:val="00563349"/>
    <w:rsid w:val="005723B4"/>
    <w:rsid w:val="0057670C"/>
    <w:rsid w:val="0059620F"/>
    <w:rsid w:val="005A7C97"/>
    <w:rsid w:val="005B062D"/>
    <w:rsid w:val="005C25B1"/>
    <w:rsid w:val="005C4DAD"/>
    <w:rsid w:val="005C7636"/>
    <w:rsid w:val="005D75A7"/>
    <w:rsid w:val="00602133"/>
    <w:rsid w:val="00603A2E"/>
    <w:rsid w:val="006159E8"/>
    <w:rsid w:val="00633299"/>
    <w:rsid w:val="006377FA"/>
    <w:rsid w:val="0065616B"/>
    <w:rsid w:val="00656FA5"/>
    <w:rsid w:val="006570FC"/>
    <w:rsid w:val="006619AD"/>
    <w:rsid w:val="00663536"/>
    <w:rsid w:val="00665899"/>
    <w:rsid w:val="00666AE6"/>
    <w:rsid w:val="006837F6"/>
    <w:rsid w:val="00684994"/>
    <w:rsid w:val="006A30E5"/>
    <w:rsid w:val="006B13A1"/>
    <w:rsid w:val="006C5A19"/>
    <w:rsid w:val="006C631A"/>
    <w:rsid w:val="006D3D42"/>
    <w:rsid w:val="006D5C3D"/>
    <w:rsid w:val="00722F75"/>
    <w:rsid w:val="007332AB"/>
    <w:rsid w:val="00745157"/>
    <w:rsid w:val="00757D9C"/>
    <w:rsid w:val="00760BC5"/>
    <w:rsid w:val="00762E4A"/>
    <w:rsid w:val="00765706"/>
    <w:rsid w:val="007874C5"/>
    <w:rsid w:val="007C4B50"/>
    <w:rsid w:val="007C5E81"/>
    <w:rsid w:val="007D3CCE"/>
    <w:rsid w:val="007D4ACA"/>
    <w:rsid w:val="007D763C"/>
    <w:rsid w:val="00803DA0"/>
    <w:rsid w:val="00814259"/>
    <w:rsid w:val="00822E5E"/>
    <w:rsid w:val="0085331E"/>
    <w:rsid w:val="008679CA"/>
    <w:rsid w:val="008A58C4"/>
    <w:rsid w:val="008C0E4A"/>
    <w:rsid w:val="008D1DC4"/>
    <w:rsid w:val="008E12A8"/>
    <w:rsid w:val="009041C7"/>
    <w:rsid w:val="00905CFB"/>
    <w:rsid w:val="009158A6"/>
    <w:rsid w:val="00922002"/>
    <w:rsid w:val="00935749"/>
    <w:rsid w:val="00954227"/>
    <w:rsid w:val="00954B28"/>
    <w:rsid w:val="00977EE0"/>
    <w:rsid w:val="009F3761"/>
    <w:rsid w:val="00A25929"/>
    <w:rsid w:val="00A43F4A"/>
    <w:rsid w:val="00A652AD"/>
    <w:rsid w:val="00A863EC"/>
    <w:rsid w:val="00AB76E3"/>
    <w:rsid w:val="00AD5B66"/>
    <w:rsid w:val="00AF0C9A"/>
    <w:rsid w:val="00AF28DF"/>
    <w:rsid w:val="00B00BF0"/>
    <w:rsid w:val="00B15C04"/>
    <w:rsid w:val="00B7461E"/>
    <w:rsid w:val="00B81497"/>
    <w:rsid w:val="00B82598"/>
    <w:rsid w:val="00BB1521"/>
    <w:rsid w:val="00BB6AEF"/>
    <w:rsid w:val="00BC1341"/>
    <w:rsid w:val="00BF1573"/>
    <w:rsid w:val="00C17D2B"/>
    <w:rsid w:val="00C4543E"/>
    <w:rsid w:val="00CA132A"/>
    <w:rsid w:val="00CB0ACF"/>
    <w:rsid w:val="00CB7130"/>
    <w:rsid w:val="00CC7931"/>
    <w:rsid w:val="00CD2B18"/>
    <w:rsid w:val="00CE0A99"/>
    <w:rsid w:val="00CF57DE"/>
    <w:rsid w:val="00D03114"/>
    <w:rsid w:val="00D07AAE"/>
    <w:rsid w:val="00D554FB"/>
    <w:rsid w:val="00D75678"/>
    <w:rsid w:val="00D76A35"/>
    <w:rsid w:val="00D80A3D"/>
    <w:rsid w:val="00DD1078"/>
    <w:rsid w:val="00DD59A1"/>
    <w:rsid w:val="00E131EB"/>
    <w:rsid w:val="00E2013B"/>
    <w:rsid w:val="00E24402"/>
    <w:rsid w:val="00E36BAA"/>
    <w:rsid w:val="00E41E60"/>
    <w:rsid w:val="00E518B6"/>
    <w:rsid w:val="00E56467"/>
    <w:rsid w:val="00E82586"/>
    <w:rsid w:val="00E90B7E"/>
    <w:rsid w:val="00E957BD"/>
    <w:rsid w:val="00EB2C92"/>
    <w:rsid w:val="00EB4C0A"/>
    <w:rsid w:val="00EC5071"/>
    <w:rsid w:val="00ED4D9B"/>
    <w:rsid w:val="00ED5DB4"/>
    <w:rsid w:val="00EE7EAA"/>
    <w:rsid w:val="00F005B0"/>
    <w:rsid w:val="00F010C8"/>
    <w:rsid w:val="00F15B58"/>
    <w:rsid w:val="00F22DCD"/>
    <w:rsid w:val="00F34915"/>
    <w:rsid w:val="00F4070C"/>
    <w:rsid w:val="00F43824"/>
    <w:rsid w:val="00F44F88"/>
    <w:rsid w:val="00F4766C"/>
    <w:rsid w:val="00F66F09"/>
    <w:rsid w:val="00F8786D"/>
    <w:rsid w:val="00FC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B6C2A9"/>
  <w15:docId w15:val="{F6327B4A-EE69-1244-88A9-046DE49F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D4DB0"/>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4pt">
    <w:name w:val="Style Footnote Reference + 14 pt"/>
    <w:rsid w:val="002D4DB0"/>
    <w:rPr>
      <w:rFonts w:ascii="Times New Roman" w:hAnsi="Times New Roman"/>
      <w:sz w:val="24"/>
      <w:vertAlign w:val="superscript"/>
    </w:rPr>
  </w:style>
  <w:style w:type="character" w:styleId="CommentReference">
    <w:name w:val="annotation reference"/>
    <w:rsid w:val="003D4BED"/>
    <w:rPr>
      <w:sz w:val="16"/>
      <w:szCs w:val="16"/>
    </w:rPr>
  </w:style>
  <w:style w:type="paragraph" w:styleId="CommentText">
    <w:name w:val="annotation text"/>
    <w:basedOn w:val="Normal"/>
    <w:link w:val="CommentTextChar"/>
    <w:rsid w:val="003D4BED"/>
    <w:rPr>
      <w:sz w:val="20"/>
      <w:lang w:val="x-none" w:eastAsia="x-none"/>
    </w:rPr>
  </w:style>
  <w:style w:type="character" w:customStyle="1" w:styleId="CommentTextChar">
    <w:name w:val="Comment Text Char"/>
    <w:link w:val="CommentText"/>
    <w:rsid w:val="003D4BED"/>
    <w:rPr>
      <w:snapToGrid w:val="0"/>
    </w:rPr>
  </w:style>
  <w:style w:type="paragraph" w:styleId="CommentSubject">
    <w:name w:val="annotation subject"/>
    <w:basedOn w:val="CommentText"/>
    <w:next w:val="CommentText"/>
    <w:link w:val="CommentSubjectChar"/>
    <w:rsid w:val="003D4BED"/>
    <w:rPr>
      <w:b/>
      <w:bCs/>
    </w:rPr>
  </w:style>
  <w:style w:type="character" w:customStyle="1" w:styleId="CommentSubjectChar">
    <w:name w:val="Comment Subject Char"/>
    <w:link w:val="CommentSubject"/>
    <w:rsid w:val="003D4BED"/>
    <w:rPr>
      <w:b/>
      <w:bCs/>
      <w:snapToGrid w:val="0"/>
    </w:rPr>
  </w:style>
  <w:style w:type="paragraph" w:styleId="Revision">
    <w:name w:val="Revision"/>
    <w:hidden/>
    <w:uiPriority w:val="99"/>
    <w:semiHidden/>
    <w:rsid w:val="003D4BED"/>
    <w:rPr>
      <w:snapToGrid w:val="0"/>
      <w:sz w:val="24"/>
    </w:rPr>
  </w:style>
  <w:style w:type="character" w:styleId="LineNumber">
    <w:name w:val="line number"/>
    <w:basedOn w:val="DefaultParagraphFont"/>
    <w:semiHidden/>
    <w:unhideWhenUsed/>
    <w:rsid w:val="0042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06005">
      <w:bodyDiv w:val="1"/>
      <w:marLeft w:val="0"/>
      <w:marRight w:val="0"/>
      <w:marTop w:val="0"/>
      <w:marBottom w:val="0"/>
      <w:divBdr>
        <w:top w:val="none" w:sz="0" w:space="0" w:color="auto"/>
        <w:left w:val="none" w:sz="0" w:space="0" w:color="auto"/>
        <w:bottom w:val="none" w:sz="0" w:space="0" w:color="auto"/>
        <w:right w:val="none" w:sz="0" w:space="0" w:color="auto"/>
      </w:divBdr>
    </w:div>
    <w:div w:id="14192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6E4E0-5945-4449-9D7C-AC9AB882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532</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8</cp:revision>
  <cp:lastPrinted>2012-05-14T15:50:00Z</cp:lastPrinted>
  <dcterms:created xsi:type="dcterms:W3CDTF">2020-01-12T17:38:00Z</dcterms:created>
  <dcterms:modified xsi:type="dcterms:W3CDTF">2022-06-17T01:45:00Z</dcterms:modified>
</cp:coreProperties>
</file>