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8438" w14:textId="77777777" w:rsidR="00EC588F" w:rsidRPr="00A33615" w:rsidRDefault="00EC588F" w:rsidP="00EC588F">
      <w:pPr>
        <w:tabs>
          <w:tab w:val="left" w:pos="6840"/>
          <w:tab w:val="right" w:pos="9360"/>
        </w:tabs>
        <w:rPr>
          <w:b/>
          <w:color w:val="000000" w:themeColor="text1"/>
          <w:sz w:val="28"/>
        </w:rPr>
      </w:pPr>
      <w:r w:rsidRPr="00A33615">
        <w:rPr>
          <w:b/>
          <w:color w:val="000000" w:themeColor="text1"/>
          <w:sz w:val="28"/>
        </w:rPr>
        <w:t xml:space="preserve">EXTRACURRICULAR </w:t>
      </w:r>
    </w:p>
    <w:p w14:paraId="3CB73BB3" w14:textId="77777777" w:rsidR="00EC588F" w:rsidRPr="00A33615" w:rsidRDefault="00EC588F" w:rsidP="00EC588F">
      <w:pPr>
        <w:tabs>
          <w:tab w:val="left" w:pos="6840"/>
          <w:tab w:val="right" w:pos="9360"/>
        </w:tabs>
        <w:rPr>
          <w:color w:val="000000" w:themeColor="text1"/>
        </w:rPr>
      </w:pPr>
      <w:r w:rsidRPr="00A33615">
        <w:rPr>
          <w:b/>
          <w:color w:val="000000" w:themeColor="text1"/>
          <w:sz w:val="28"/>
        </w:rPr>
        <w:t xml:space="preserve">ACTIVITIES AND </w:t>
      </w:r>
      <w:r w:rsidR="00CC2EEF" w:rsidRPr="00A33615">
        <w:rPr>
          <w:b/>
          <w:color w:val="000000" w:themeColor="text1"/>
          <w:sz w:val="28"/>
        </w:rPr>
        <w:t>SCHOLAR</w:t>
      </w:r>
      <w:r w:rsidRPr="00A33615">
        <w:rPr>
          <w:b/>
          <w:color w:val="000000" w:themeColor="text1"/>
          <w:sz w:val="28"/>
        </w:rPr>
        <w:t xml:space="preserve"> ORGANIZATIONS</w:t>
      </w:r>
      <w:r w:rsidRPr="00A33615">
        <w:rPr>
          <w:i/>
          <w:color w:val="000000" w:themeColor="text1"/>
          <w:sz w:val="20"/>
        </w:rPr>
        <w:tab/>
        <w:t>Policy Code:</w:t>
      </w:r>
      <w:r w:rsidRPr="00A33615">
        <w:rPr>
          <w:i/>
          <w:color w:val="000000" w:themeColor="text1"/>
          <w:sz w:val="20"/>
        </w:rPr>
        <w:tab/>
      </w:r>
      <w:r w:rsidRPr="00A33615">
        <w:rPr>
          <w:b/>
          <w:color w:val="000000" w:themeColor="text1"/>
        </w:rPr>
        <w:t>3620</w:t>
      </w:r>
    </w:p>
    <w:p w14:paraId="5C7A1678" w14:textId="77777777" w:rsidR="00EC588F" w:rsidRPr="00A33615" w:rsidRDefault="001B6D72" w:rsidP="00EC588F">
      <w:pPr>
        <w:tabs>
          <w:tab w:val="left" w:pos="6840"/>
          <w:tab w:val="right" w:pos="9360"/>
        </w:tabs>
        <w:spacing w:line="109" w:lineRule="exact"/>
        <w:rPr>
          <w:color w:val="000000" w:themeColor="text1"/>
        </w:rPr>
      </w:pPr>
      <w:r w:rsidRPr="00A33615">
        <w:rPr>
          <w:noProof/>
          <w:snapToGrid/>
          <w:color w:val="000000" w:themeColor="text1"/>
        </w:rPr>
        <mc:AlternateContent>
          <mc:Choice Requires="wps">
            <w:drawing>
              <wp:anchor distT="0" distB="0" distL="114300" distR="114300" simplePos="0" relativeHeight="251657216" behindDoc="0" locked="0" layoutInCell="0" allowOverlap="1" wp14:anchorId="73BF0398" wp14:editId="01F9D80E">
                <wp:simplePos x="0" y="0"/>
                <wp:positionH relativeFrom="column">
                  <wp:posOffset>0</wp:posOffset>
                </wp:positionH>
                <wp:positionV relativeFrom="paragraph">
                  <wp:posOffset>41275</wp:posOffset>
                </wp:positionV>
                <wp:extent cx="5943600" cy="0"/>
                <wp:effectExtent l="0" t="19050" r="19050" b="381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963A"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468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NM0ywEAAHsDAAAOAAAAZHJzL2Uyb0RvYy54bWysU01z2yAQvXem/4HhXktO47T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" o:allowincell="f" strokeweight="4.5pt">
                <v:stroke linestyle="thinThick"/>
              </v:line>
            </w:pict>
          </mc:Fallback>
        </mc:AlternateContent>
      </w:r>
    </w:p>
    <w:p w14:paraId="351B8C0D" w14:textId="77777777" w:rsidR="00EC588F" w:rsidRPr="00A33615" w:rsidRDefault="00EC588F" w:rsidP="00EC588F">
      <w:pPr>
        <w:tabs>
          <w:tab w:val="left" w:pos="-1440"/>
        </w:tabs>
        <w:jc w:val="both"/>
        <w:rPr>
          <w:color w:val="000000" w:themeColor="text1"/>
        </w:rPr>
        <w:sectPr w:rsidR="00EC588F" w:rsidRPr="00A33615" w:rsidSect="00483313">
          <w:footerReference w:type="default" r:id="rId8"/>
          <w:pgSz w:w="12240" w:h="15840" w:code="1"/>
          <w:pgMar w:top="1440" w:right="1440" w:bottom="1440" w:left="1440" w:header="720" w:footer="720" w:gutter="0"/>
          <w:cols w:space="720"/>
          <w:docGrid w:linePitch="360"/>
        </w:sectPr>
      </w:pPr>
    </w:p>
    <w:p w14:paraId="218E0BE2" w14:textId="4E159CB2" w:rsidR="00EC588F" w:rsidRPr="00A33615" w:rsidRDefault="00EC588F" w:rsidP="00EC588F">
      <w:pPr>
        <w:tabs>
          <w:tab w:val="left" w:pos="-1440"/>
        </w:tabs>
        <w:jc w:val="both"/>
        <w:rPr>
          <w:color w:val="000000" w:themeColor="text1"/>
          <w:sz w:val="22"/>
          <w:szCs w:val="22"/>
        </w:rPr>
      </w:pPr>
    </w:p>
    <w:p w14:paraId="101B5B39" w14:textId="02BC209E" w:rsidR="00E90EA4" w:rsidRPr="00A33615" w:rsidRDefault="00E90EA4" w:rsidP="00A66370">
      <w:pPr>
        <w:widowControl/>
        <w:jc w:val="both"/>
        <w:rPr>
          <w:snapToGrid/>
          <w:color w:val="000000" w:themeColor="text1"/>
        </w:rPr>
      </w:pPr>
      <w:r w:rsidRPr="00A33615">
        <w:rPr>
          <w:color w:val="000000" w:themeColor="text1"/>
        </w:rPr>
        <w:t>The board recognizes the value of interscholastic athletics and extracurricular activities in promoting leadership and team skills, practicing democratic principles, and encouraging the lifelong learning process. Students are encouraged to participate in opportunities available at the school, including interscholastic athletics and student organizations.  All activities are open to all students attending that school unless a restriction is justified and has been approved by the principal.  The principal shall ensure that students and parents are notified of the various opportunities for participation in extracurricular activities and shall establish rules, as necessary, to govern such activities. </w:t>
      </w:r>
    </w:p>
    <w:p w14:paraId="048747A4" w14:textId="7F0C5E04" w:rsidR="00E90EA4" w:rsidRPr="00A33615" w:rsidRDefault="00E90EA4" w:rsidP="00A66370">
      <w:pPr>
        <w:pStyle w:val="NormalWeb"/>
        <w:spacing w:after="150" w:afterAutospacing="0"/>
        <w:jc w:val="both"/>
        <w:rPr>
          <w:color w:val="000000" w:themeColor="text1"/>
        </w:rPr>
      </w:pPr>
      <w:r w:rsidRPr="00A33615">
        <w:rPr>
          <w:b/>
          <w:bCs/>
          <w:color w:val="000000" w:themeColor="text1"/>
        </w:rPr>
        <w:t xml:space="preserve">A. </w:t>
      </w:r>
      <w:r w:rsidRPr="00A33615">
        <w:rPr>
          <w:b/>
          <w:bCs/>
          <w:color w:val="000000" w:themeColor="text1"/>
        </w:rPr>
        <w:tab/>
        <w:t xml:space="preserve">Requirements for Participation </w:t>
      </w:r>
      <w:proofErr w:type="gramStart"/>
      <w:r w:rsidRPr="00A33615">
        <w:rPr>
          <w:b/>
          <w:bCs/>
          <w:color w:val="000000" w:themeColor="text1"/>
        </w:rPr>
        <w:t>In</w:t>
      </w:r>
      <w:proofErr w:type="gramEnd"/>
      <w:r w:rsidRPr="00A33615">
        <w:rPr>
          <w:b/>
          <w:bCs/>
          <w:color w:val="000000" w:themeColor="text1"/>
        </w:rPr>
        <w:t xml:space="preserve"> Extracurricular Activities</w:t>
      </w:r>
    </w:p>
    <w:p w14:paraId="54D41F51" w14:textId="29D08146" w:rsidR="00E90EA4" w:rsidRPr="00A33615" w:rsidRDefault="00E90EA4" w:rsidP="00A66370">
      <w:pPr>
        <w:pStyle w:val="NormalWeb"/>
        <w:spacing w:after="150" w:afterAutospacing="0"/>
        <w:ind w:left="810"/>
        <w:jc w:val="both"/>
        <w:rPr>
          <w:color w:val="000000" w:themeColor="text1"/>
        </w:rPr>
      </w:pPr>
      <w:r w:rsidRPr="00A33615">
        <w:rPr>
          <w:color w:val="000000" w:themeColor="text1"/>
        </w:rPr>
        <w:t xml:space="preserve">Participation in extracurricular activities, including student organizations and interscholastic athletics, is a privilege, not a right, and may be reserved for students in good academic standing who meet behavior standards established by the board, the </w:t>
      </w:r>
      <w:r w:rsidR="00C80A57" w:rsidRPr="00A33615">
        <w:rPr>
          <w:color w:val="000000" w:themeColor="text1"/>
        </w:rPr>
        <w:t>executive director</w:t>
      </w:r>
      <w:r w:rsidRPr="00A33615">
        <w:rPr>
          <w:color w:val="000000" w:themeColor="text1"/>
        </w:rPr>
        <w:t>, or the school. Participation in extracurricular activities may be restricted if a student (1) is not performing at grade level as provided in policy</w:t>
      </w:r>
      <w:r w:rsidRPr="00A33615">
        <w:rPr>
          <w:rStyle w:val="apple-converted-space"/>
          <w:color w:val="000000" w:themeColor="text1"/>
        </w:rPr>
        <w:t> </w:t>
      </w:r>
      <w:r w:rsidRPr="00A33615">
        <w:rPr>
          <w:color w:val="000000" w:themeColor="text1"/>
        </w:rPr>
        <w:t>3400, Evaluation of Student Progress; (2) has failed to meet any applicable attendance requirements; (3) has violated the student conduct standards found in the</w:t>
      </w:r>
      <w:r w:rsidRPr="00A33615">
        <w:rPr>
          <w:rStyle w:val="apple-converted-space"/>
          <w:color w:val="000000" w:themeColor="text1"/>
        </w:rPr>
        <w:t> </w:t>
      </w:r>
      <w:r w:rsidRPr="00A33615">
        <w:rPr>
          <w:color w:val="000000" w:themeColor="text1"/>
        </w:rPr>
        <w:t>4300</w:t>
      </w:r>
      <w:r w:rsidRPr="00A33615">
        <w:rPr>
          <w:rStyle w:val="apple-converted-space"/>
          <w:color w:val="000000" w:themeColor="text1"/>
        </w:rPr>
        <w:t> </w:t>
      </w:r>
      <w:r w:rsidRPr="00A33615">
        <w:rPr>
          <w:color w:val="000000" w:themeColor="text1"/>
        </w:rPr>
        <w:t xml:space="preserve">series of policies; or (4) has violated school rules for conduct. School administrators choosing to exercise this authority to restrict participation shall provide this policy and any additional rules, including attendance requirements, developed by the </w:t>
      </w:r>
      <w:r w:rsidR="00C80A57" w:rsidRPr="00A33615">
        <w:rPr>
          <w:color w:val="000000" w:themeColor="text1"/>
        </w:rPr>
        <w:t xml:space="preserve">executive director </w:t>
      </w:r>
      <w:r w:rsidRPr="00A33615">
        <w:rPr>
          <w:color w:val="000000" w:themeColor="text1"/>
        </w:rPr>
        <w:t>or the principal to all parents, guardians, and students.</w:t>
      </w:r>
    </w:p>
    <w:p w14:paraId="68C23DDD" w14:textId="79646C2B" w:rsidR="00E90EA4" w:rsidRPr="00A33615" w:rsidRDefault="00E90EA4" w:rsidP="00A66370">
      <w:pPr>
        <w:pStyle w:val="NormalWeb"/>
        <w:spacing w:after="150" w:afterAutospacing="0"/>
        <w:ind w:left="90"/>
        <w:jc w:val="both"/>
        <w:rPr>
          <w:color w:val="000000" w:themeColor="text1"/>
        </w:rPr>
      </w:pPr>
      <w:r w:rsidRPr="00A33615">
        <w:rPr>
          <w:rStyle w:val="Strong"/>
          <w:caps/>
          <w:color w:val="000000" w:themeColor="text1"/>
        </w:rPr>
        <w:t>B</w:t>
      </w:r>
      <w:r w:rsidRPr="00A33615">
        <w:rPr>
          <w:rStyle w:val="Strong"/>
          <w:color w:val="000000" w:themeColor="text1"/>
        </w:rPr>
        <w:t>.</w:t>
      </w:r>
      <w:r w:rsidRPr="00A33615">
        <w:rPr>
          <w:rStyle w:val="apple-converted-space"/>
          <w:color w:val="000000" w:themeColor="text1"/>
        </w:rPr>
        <w:t> </w:t>
      </w:r>
      <w:r w:rsidRPr="00A33615">
        <w:rPr>
          <w:rStyle w:val="apple-converted-space"/>
          <w:color w:val="000000" w:themeColor="text1"/>
        </w:rPr>
        <w:tab/>
      </w:r>
      <w:r w:rsidRPr="00A33615">
        <w:rPr>
          <w:b/>
          <w:bCs/>
          <w:color w:val="000000" w:themeColor="text1"/>
        </w:rPr>
        <w:t>Additional Rules for Specific Activities</w:t>
      </w:r>
    </w:p>
    <w:p w14:paraId="7ECC4683" w14:textId="77777777" w:rsidR="00E90EA4" w:rsidRPr="00A33615" w:rsidRDefault="00E90EA4" w:rsidP="00A66370">
      <w:pPr>
        <w:pStyle w:val="NormalWeb"/>
        <w:spacing w:after="150" w:afterAutospacing="0"/>
        <w:ind w:left="810" w:firstLine="240"/>
        <w:jc w:val="both"/>
        <w:rPr>
          <w:color w:val="000000" w:themeColor="text1"/>
        </w:rPr>
      </w:pPr>
      <w:r w:rsidRPr="00A33615">
        <w:rPr>
          <w:color w:val="000000" w:themeColor="text1"/>
        </w:rPr>
        <w:t>1. Interscholastic Athletics</w:t>
      </w:r>
    </w:p>
    <w:p w14:paraId="7DB9F9C3" w14:textId="063BED66" w:rsidR="00E90EA4" w:rsidRPr="00A33615" w:rsidRDefault="00E90EA4" w:rsidP="00A66370">
      <w:pPr>
        <w:pStyle w:val="NormalWeb"/>
        <w:spacing w:after="150" w:afterAutospacing="0"/>
        <w:ind w:left="1080"/>
        <w:jc w:val="both"/>
        <w:rPr>
          <w:color w:val="000000" w:themeColor="text1"/>
        </w:rPr>
      </w:pPr>
      <w:r w:rsidRPr="00A33615">
        <w:rPr>
          <w:color w:val="000000" w:themeColor="text1"/>
        </w:rPr>
        <w:t>In addition to meeting the general requirements listed above, to be eligible for interscholastic athletics participation, students must have been in daily attendance 85 percent of the previous semester and must meet all applicable eligibility standards of the North Carolina High School Athletic Association, the North Carolina Department of Public Instruction, and any locally established requirements for interscholastic athletics participation.</w:t>
      </w:r>
    </w:p>
    <w:p w14:paraId="052E165B" w14:textId="2469971B" w:rsidR="00E90EA4" w:rsidRPr="00A33615" w:rsidRDefault="00E90EA4" w:rsidP="00A66370">
      <w:pPr>
        <w:pStyle w:val="NormalWeb"/>
        <w:spacing w:after="150" w:afterAutospacing="0"/>
        <w:ind w:left="1080"/>
        <w:jc w:val="both"/>
        <w:rPr>
          <w:color w:val="000000" w:themeColor="text1"/>
        </w:rPr>
      </w:pPr>
      <w:r w:rsidRPr="00A33615">
        <w:rPr>
          <w:color w:val="000000" w:themeColor="text1"/>
        </w:rPr>
        <w:t>A student participating in high school interscholastic athletics may participate only on the team consistent with the gender on the student’s birth certificate unless otherwise permitted under North Carolina High School Athletic Association rules and regulations.</w:t>
      </w:r>
    </w:p>
    <w:p w14:paraId="541C50B6" w14:textId="015F7682" w:rsidR="00E90EA4" w:rsidRPr="00A33615" w:rsidRDefault="00E90EA4" w:rsidP="00A66370">
      <w:pPr>
        <w:pStyle w:val="NormalWeb"/>
        <w:spacing w:after="150" w:afterAutospacing="0"/>
        <w:ind w:left="900" w:firstLine="180"/>
        <w:jc w:val="both"/>
        <w:rPr>
          <w:color w:val="000000" w:themeColor="text1"/>
        </w:rPr>
      </w:pPr>
      <w:r w:rsidRPr="00A33615">
        <w:rPr>
          <w:color w:val="000000" w:themeColor="text1"/>
        </w:rPr>
        <w:t xml:space="preserve">2. </w:t>
      </w:r>
      <w:r w:rsidR="00007F64" w:rsidRPr="00A33615">
        <w:rPr>
          <w:color w:val="000000" w:themeColor="text1"/>
        </w:rPr>
        <w:t xml:space="preserve"> </w:t>
      </w:r>
      <w:r w:rsidRPr="00A33615">
        <w:rPr>
          <w:color w:val="000000" w:themeColor="text1"/>
        </w:rPr>
        <w:t xml:space="preserve">Student-Initiated, </w:t>
      </w:r>
      <w:proofErr w:type="spellStart"/>
      <w:r w:rsidRPr="00A33615">
        <w:rPr>
          <w:color w:val="000000" w:themeColor="text1"/>
        </w:rPr>
        <w:t>Noncurriculum</w:t>
      </w:r>
      <w:proofErr w:type="spellEnd"/>
      <w:r w:rsidRPr="00A33615">
        <w:rPr>
          <w:color w:val="000000" w:themeColor="text1"/>
        </w:rPr>
        <w:t>-Related Student Groups at the Secondary Level</w:t>
      </w:r>
    </w:p>
    <w:p w14:paraId="5D514409" w14:textId="77777777" w:rsidR="00E90EA4" w:rsidRPr="00A33615" w:rsidRDefault="00E90EA4" w:rsidP="00A66370">
      <w:pPr>
        <w:pStyle w:val="NormalWeb"/>
        <w:spacing w:after="150" w:afterAutospacing="0"/>
        <w:ind w:left="1080"/>
        <w:jc w:val="both"/>
        <w:rPr>
          <w:color w:val="000000" w:themeColor="text1"/>
        </w:rPr>
      </w:pPr>
      <w:r w:rsidRPr="00A33615">
        <w:rPr>
          <w:color w:val="000000" w:themeColor="text1"/>
        </w:rPr>
        <w:t xml:space="preserve">Student-initiated, </w:t>
      </w:r>
      <w:proofErr w:type="spellStart"/>
      <w:r w:rsidRPr="00A33615">
        <w:rPr>
          <w:color w:val="000000" w:themeColor="text1"/>
        </w:rPr>
        <w:t>noncurriculum</w:t>
      </w:r>
      <w:proofErr w:type="spellEnd"/>
      <w:r w:rsidRPr="00A33615">
        <w:rPr>
          <w:color w:val="000000" w:themeColor="text1"/>
        </w:rPr>
        <w:t xml:space="preserve">-related, secondary school student groups will be permitted to conduct voluntary meetings on school grounds during noninstructional </w:t>
      </w:r>
      <w:r w:rsidRPr="00A33615">
        <w:rPr>
          <w:color w:val="000000" w:themeColor="text1"/>
        </w:rPr>
        <w:lastRenderedPageBreak/>
        <w:t>time, regardless of the size of the group or the religious, political, philosophical, or other content of the speech at the meetings, provided that the meetings do not materially and substantially interfere with the orderly conduct of the educational activities of the school.  The principal shall establish viewpoint neutral rules governing such meetings, including restrictions on when and where meetings may occur. </w:t>
      </w:r>
    </w:p>
    <w:p w14:paraId="11ABF905" w14:textId="77777777" w:rsidR="00E90EA4" w:rsidRPr="00A33615" w:rsidRDefault="00E90EA4" w:rsidP="00A66370">
      <w:pPr>
        <w:pStyle w:val="NormalWeb"/>
        <w:spacing w:after="150" w:afterAutospacing="0"/>
        <w:ind w:left="1080"/>
        <w:jc w:val="both"/>
        <w:rPr>
          <w:color w:val="000000" w:themeColor="text1"/>
        </w:rPr>
      </w:pPr>
      <w:r w:rsidRPr="00A33615">
        <w:rPr>
          <w:color w:val="000000" w:themeColor="text1"/>
        </w:rPr>
        <w:t>School employees may not promote, lead, or participate in student-initiated meetings but may be present at meetings to maintain order and discipline, to protect the well-being of the students and faculty, and to assure that attendance of students at the meetings is voluntary.  School employees may not influence the form or content of any prayer or other religious activity or require any person to participate in prayer or other religious activity.  In addition, non-school persons may not direct, conduct, control, or regularly attend the activities of the groups.</w:t>
      </w:r>
    </w:p>
    <w:p w14:paraId="0D7CEFF0" w14:textId="77777777" w:rsidR="00E90EA4" w:rsidRPr="00A33615" w:rsidRDefault="00E90EA4" w:rsidP="00A66370">
      <w:pPr>
        <w:pStyle w:val="NormalWeb"/>
        <w:spacing w:after="150" w:afterAutospacing="0"/>
        <w:ind w:left="1080"/>
        <w:jc w:val="both"/>
        <w:rPr>
          <w:color w:val="000000" w:themeColor="text1"/>
        </w:rPr>
      </w:pPr>
      <w:r w:rsidRPr="00A33615">
        <w:rPr>
          <w:color w:val="000000" w:themeColor="text1"/>
        </w:rPr>
        <w:t xml:space="preserve">No public funds will be expended on behalf of the student-initiated, </w:t>
      </w:r>
      <w:proofErr w:type="spellStart"/>
      <w:r w:rsidRPr="00A33615">
        <w:rPr>
          <w:color w:val="000000" w:themeColor="text1"/>
        </w:rPr>
        <w:t>noncurriculum</w:t>
      </w:r>
      <w:proofErr w:type="spellEnd"/>
      <w:r w:rsidRPr="00A33615">
        <w:rPr>
          <w:color w:val="000000" w:themeColor="text1"/>
        </w:rPr>
        <w:t>-related student groups except for the incidental cost of providing space for the group meetings.</w:t>
      </w:r>
    </w:p>
    <w:p w14:paraId="0D0D89BB" w14:textId="77777777" w:rsidR="00E90EA4" w:rsidRPr="00A33615" w:rsidRDefault="00E90EA4" w:rsidP="00A66370">
      <w:pPr>
        <w:pStyle w:val="NormalWeb"/>
        <w:spacing w:after="150" w:afterAutospacing="0"/>
        <w:ind w:left="1080"/>
        <w:jc w:val="both"/>
        <w:rPr>
          <w:color w:val="000000" w:themeColor="text1"/>
        </w:rPr>
      </w:pPr>
      <w:r w:rsidRPr="00A33615">
        <w:rPr>
          <w:color w:val="000000" w:themeColor="text1"/>
        </w:rPr>
        <w:t xml:space="preserve">Student-initiated, </w:t>
      </w:r>
      <w:proofErr w:type="spellStart"/>
      <w:r w:rsidRPr="00A33615">
        <w:rPr>
          <w:color w:val="000000" w:themeColor="text1"/>
        </w:rPr>
        <w:t>noncurriculum</w:t>
      </w:r>
      <w:proofErr w:type="spellEnd"/>
      <w:r w:rsidRPr="00A33615">
        <w:rPr>
          <w:color w:val="000000" w:themeColor="text1"/>
        </w:rPr>
        <w:t xml:space="preserve">-related groups will have the same access to communication channels for publicizing their meetings as is allowed to all other </w:t>
      </w:r>
      <w:proofErr w:type="spellStart"/>
      <w:r w:rsidRPr="00A33615">
        <w:rPr>
          <w:color w:val="000000" w:themeColor="text1"/>
        </w:rPr>
        <w:t>noncurriculum</w:t>
      </w:r>
      <w:proofErr w:type="spellEnd"/>
      <w:r w:rsidRPr="00A33615">
        <w:rPr>
          <w:color w:val="000000" w:themeColor="text1"/>
        </w:rPr>
        <w:t>-related student groups.  However, school officials may indicate in such communications that the meetings are not sponsored by the school.</w:t>
      </w:r>
    </w:p>
    <w:p w14:paraId="5B697F9B" w14:textId="75647EBE" w:rsidR="00E90EA4" w:rsidRPr="00A33615" w:rsidRDefault="00E90EA4" w:rsidP="00A66370">
      <w:pPr>
        <w:pStyle w:val="NormalWeb"/>
        <w:spacing w:after="150" w:afterAutospacing="0"/>
        <w:ind w:left="1080"/>
        <w:jc w:val="both"/>
        <w:rPr>
          <w:color w:val="000000" w:themeColor="text1"/>
        </w:rPr>
      </w:pPr>
      <w:r w:rsidRPr="00A33615">
        <w:rPr>
          <w:color w:val="000000" w:themeColor="text1"/>
        </w:rPr>
        <w:t xml:space="preserve">For purposes of this section, a </w:t>
      </w:r>
      <w:proofErr w:type="spellStart"/>
      <w:r w:rsidRPr="00A33615">
        <w:rPr>
          <w:color w:val="000000" w:themeColor="text1"/>
        </w:rPr>
        <w:t>noncurriculum</w:t>
      </w:r>
      <w:proofErr w:type="spellEnd"/>
      <w:r w:rsidRPr="00A33615">
        <w:rPr>
          <w:color w:val="000000" w:themeColor="text1"/>
        </w:rPr>
        <w:t>-related student group is one that is not directly related to the curriculum.  A student group will be considered curriculum-related only if (1) the group’s subject matter is taught in a regularly offered course or relates to the curriculum as a whole; (2) participation in the group is required as part of a course; or (3) participation in the group results in course credit.</w:t>
      </w:r>
    </w:p>
    <w:p w14:paraId="795151BE" w14:textId="77777777" w:rsidR="00E90EA4" w:rsidRPr="00A33615" w:rsidRDefault="00E90EA4" w:rsidP="00A66370">
      <w:pPr>
        <w:pStyle w:val="NormalWeb"/>
        <w:spacing w:after="150" w:afterAutospacing="0"/>
        <w:ind w:left="600"/>
        <w:jc w:val="both"/>
        <w:rPr>
          <w:color w:val="000000" w:themeColor="text1"/>
        </w:rPr>
      </w:pPr>
      <w:r w:rsidRPr="00A33615">
        <w:rPr>
          <w:b/>
          <w:bCs/>
          <w:color w:val="000000" w:themeColor="text1"/>
        </w:rPr>
        <w:t>C. Special Circumstances</w:t>
      </w:r>
      <w:r w:rsidRPr="00A33615">
        <w:rPr>
          <w:rStyle w:val="apple-converted-space"/>
          <w:b/>
          <w:bCs/>
          <w:color w:val="000000" w:themeColor="text1"/>
        </w:rPr>
        <w:t> </w:t>
      </w:r>
    </w:p>
    <w:p w14:paraId="3FB9F091" w14:textId="77777777" w:rsidR="00E90EA4" w:rsidRPr="00A33615" w:rsidRDefault="00E90EA4" w:rsidP="00A66370">
      <w:pPr>
        <w:pStyle w:val="NormalWeb"/>
        <w:spacing w:after="150" w:afterAutospacing="0"/>
        <w:ind w:left="1200"/>
        <w:jc w:val="both"/>
        <w:rPr>
          <w:color w:val="000000" w:themeColor="text1"/>
        </w:rPr>
      </w:pPr>
      <w:r w:rsidRPr="00A33615">
        <w:rPr>
          <w:color w:val="000000" w:themeColor="text1"/>
        </w:rPr>
        <w:t>1. Students with Disabilities</w:t>
      </w:r>
    </w:p>
    <w:p w14:paraId="5B4EBEF8" w14:textId="77777777" w:rsidR="00E90EA4" w:rsidRPr="00A33615" w:rsidRDefault="00E90EA4" w:rsidP="00A66370">
      <w:pPr>
        <w:pStyle w:val="NormalWeb"/>
        <w:spacing w:after="150" w:afterAutospacing="0"/>
        <w:ind w:left="1200"/>
        <w:jc w:val="both"/>
        <w:rPr>
          <w:color w:val="000000" w:themeColor="text1"/>
        </w:rPr>
      </w:pPr>
      <w:r w:rsidRPr="00A33615">
        <w:rPr>
          <w:color w:val="000000" w:themeColor="text1"/>
        </w:rPr>
        <w:t>Students with disabilities must be accorded the legal rights required by federal and state law. </w:t>
      </w:r>
    </w:p>
    <w:p w14:paraId="77011731" w14:textId="4651FC25" w:rsidR="00E90EA4" w:rsidRPr="00A33615" w:rsidRDefault="00E90EA4" w:rsidP="00A66370">
      <w:pPr>
        <w:pStyle w:val="NormalWeb"/>
        <w:spacing w:after="150" w:afterAutospacing="0"/>
        <w:ind w:left="1200"/>
        <w:jc w:val="both"/>
        <w:rPr>
          <w:color w:val="000000" w:themeColor="text1"/>
        </w:rPr>
      </w:pPr>
      <w:r w:rsidRPr="00A33615">
        <w:rPr>
          <w:color w:val="000000" w:themeColor="text1"/>
        </w:rPr>
        <w:t>2. Military Children</w:t>
      </w:r>
    </w:p>
    <w:p w14:paraId="7FE3B09A" w14:textId="77777777" w:rsidR="00E90EA4" w:rsidRPr="00A33615" w:rsidRDefault="00E90EA4" w:rsidP="00A66370">
      <w:pPr>
        <w:pStyle w:val="NormalWeb"/>
        <w:spacing w:after="150" w:afterAutospacing="0"/>
        <w:ind w:left="1200"/>
        <w:jc w:val="both"/>
        <w:rPr>
          <w:color w:val="000000" w:themeColor="text1"/>
        </w:rPr>
      </w:pPr>
      <w:r w:rsidRPr="00A33615">
        <w:rPr>
          <w:color w:val="000000" w:themeColor="text1"/>
        </w:rPr>
        <w:t>School administrators shall facilitate the inclusion and participation in extracurricular activities of military children transferring into the school, to the extent they are otherwise qualified, by:</w:t>
      </w:r>
    </w:p>
    <w:p w14:paraId="5CFB033F" w14:textId="77777777" w:rsidR="00E90EA4" w:rsidRPr="00A33615" w:rsidRDefault="00E90EA4" w:rsidP="00A66370">
      <w:pPr>
        <w:pStyle w:val="NormalWeb"/>
        <w:spacing w:after="150" w:afterAutospacing="0"/>
        <w:ind w:left="1800"/>
        <w:jc w:val="both"/>
        <w:rPr>
          <w:color w:val="000000" w:themeColor="text1"/>
        </w:rPr>
      </w:pPr>
      <w:r w:rsidRPr="00A33615">
        <w:rPr>
          <w:color w:val="000000" w:themeColor="text1"/>
        </w:rPr>
        <w:t>a. providing information about extracurricular activities to incoming military children; and</w:t>
      </w:r>
    </w:p>
    <w:p w14:paraId="24B8791B" w14:textId="77777777" w:rsidR="00E90EA4" w:rsidRPr="00A33615" w:rsidRDefault="00E90EA4" w:rsidP="00A66370">
      <w:pPr>
        <w:pStyle w:val="NormalWeb"/>
        <w:spacing w:after="150" w:afterAutospacing="0"/>
        <w:ind w:left="1800"/>
        <w:jc w:val="both"/>
        <w:rPr>
          <w:color w:val="000000" w:themeColor="text1"/>
        </w:rPr>
      </w:pPr>
      <w:r w:rsidRPr="00A33615">
        <w:rPr>
          <w:color w:val="000000" w:themeColor="text1"/>
        </w:rPr>
        <w:t>b. waiving application deadlines.</w:t>
      </w:r>
    </w:p>
    <w:p w14:paraId="540AC5E4" w14:textId="5242E3A5" w:rsidR="00E90EA4" w:rsidRPr="00A33615" w:rsidRDefault="00E90EA4" w:rsidP="00A66370">
      <w:pPr>
        <w:pStyle w:val="NormalWeb"/>
        <w:spacing w:after="150" w:afterAutospacing="0"/>
        <w:ind w:left="1200"/>
        <w:jc w:val="both"/>
        <w:rPr>
          <w:color w:val="000000" w:themeColor="text1"/>
        </w:rPr>
      </w:pPr>
      <w:r w:rsidRPr="00A33615">
        <w:rPr>
          <w:color w:val="000000" w:themeColor="text1"/>
        </w:rPr>
        <w:lastRenderedPageBreak/>
        <w:t>3. Athletic Participation by Home School Students</w:t>
      </w:r>
    </w:p>
    <w:p w14:paraId="3C56A7CD" w14:textId="60E6AA84" w:rsidR="00E90EA4" w:rsidRPr="00A33615" w:rsidRDefault="00E90EA4" w:rsidP="00A66370">
      <w:pPr>
        <w:pStyle w:val="NormalWeb"/>
        <w:spacing w:after="150" w:afterAutospacing="0"/>
        <w:ind w:left="1200"/>
        <w:jc w:val="both"/>
        <w:rPr>
          <w:color w:val="000000" w:themeColor="text1"/>
        </w:rPr>
      </w:pPr>
      <w:r w:rsidRPr="00A33615">
        <w:rPr>
          <w:color w:val="000000" w:themeColor="text1"/>
        </w:rPr>
        <w:t xml:space="preserve">Home school students who are dually enrolled in accordance with the school system’s enrollment and assignment policies and procedures are eligible to participate in high school interscholastic athletics if they comply with </w:t>
      </w:r>
      <w:proofErr w:type="gramStart"/>
      <w:r w:rsidRPr="00A33615">
        <w:rPr>
          <w:color w:val="000000" w:themeColor="text1"/>
        </w:rPr>
        <w:t>all of</w:t>
      </w:r>
      <w:proofErr w:type="gramEnd"/>
      <w:r w:rsidRPr="00A33615">
        <w:rPr>
          <w:color w:val="000000" w:themeColor="text1"/>
        </w:rPr>
        <w:t xml:space="preserve"> the following.</w:t>
      </w:r>
    </w:p>
    <w:p w14:paraId="6370337F" w14:textId="77777777" w:rsidR="00E90EA4" w:rsidRPr="00A33615" w:rsidRDefault="00E90EA4" w:rsidP="00A66370">
      <w:pPr>
        <w:pStyle w:val="NormalWeb"/>
        <w:spacing w:after="150" w:afterAutospacing="0"/>
        <w:ind w:left="1800"/>
        <w:jc w:val="both"/>
        <w:rPr>
          <w:color w:val="000000" w:themeColor="text1"/>
        </w:rPr>
      </w:pPr>
      <w:r w:rsidRPr="00A33615">
        <w:rPr>
          <w:color w:val="000000" w:themeColor="text1"/>
        </w:rPr>
        <w:t>a. The student must present a home school card from the Division of Non-Public Education for the previous and current years, as well as a transcript, attendance record, and record immunizations.</w:t>
      </w:r>
    </w:p>
    <w:p w14:paraId="627468AD" w14:textId="77777777" w:rsidR="00E90EA4" w:rsidRPr="00A33615" w:rsidRDefault="00E90EA4" w:rsidP="00A66370">
      <w:pPr>
        <w:pStyle w:val="NormalWeb"/>
        <w:spacing w:after="150" w:afterAutospacing="0"/>
        <w:ind w:left="1800"/>
        <w:jc w:val="both"/>
        <w:rPr>
          <w:color w:val="000000" w:themeColor="text1"/>
        </w:rPr>
      </w:pPr>
      <w:r w:rsidRPr="00A33615">
        <w:rPr>
          <w:color w:val="000000" w:themeColor="text1"/>
        </w:rPr>
        <w:t>b. The student must submit proof that the student has been enrolled in a registered home school for 365 days prior to participation in athletics.</w:t>
      </w:r>
    </w:p>
    <w:p w14:paraId="26E09103" w14:textId="77777777" w:rsidR="00E90EA4" w:rsidRPr="00A33615" w:rsidRDefault="00E90EA4" w:rsidP="00A66370">
      <w:pPr>
        <w:pStyle w:val="NormalWeb"/>
        <w:spacing w:after="150" w:afterAutospacing="0"/>
        <w:ind w:left="1800"/>
        <w:jc w:val="both"/>
        <w:rPr>
          <w:color w:val="000000" w:themeColor="text1"/>
        </w:rPr>
      </w:pPr>
      <w:r w:rsidRPr="00A33615">
        <w:rPr>
          <w:color w:val="000000" w:themeColor="text1"/>
        </w:rPr>
        <w:t>c. Prior to the first date of practice, the student must provide the results of a nationally standardized achievement test, taken within the last year, that indicates the student was on grade level at the time the test was taken. </w:t>
      </w:r>
    </w:p>
    <w:p w14:paraId="1027E39A" w14:textId="77777777" w:rsidR="00E90EA4" w:rsidRPr="00A33615" w:rsidRDefault="00E90EA4" w:rsidP="00A66370">
      <w:pPr>
        <w:pStyle w:val="NormalWeb"/>
        <w:spacing w:after="150" w:afterAutospacing="0"/>
        <w:ind w:left="1800"/>
        <w:jc w:val="both"/>
        <w:rPr>
          <w:color w:val="000000" w:themeColor="text1"/>
        </w:rPr>
      </w:pPr>
      <w:r w:rsidRPr="00A33615">
        <w:rPr>
          <w:color w:val="000000" w:themeColor="text1"/>
        </w:rPr>
        <w:t>d. The student must participate in a class schedule that is at least one half of the assigned school’s instructional day.  At least one class must be taken on campus each semester.11</w:t>
      </w:r>
    </w:p>
    <w:p w14:paraId="655357AC" w14:textId="367EF26E" w:rsidR="00E90EA4" w:rsidRPr="00A33615" w:rsidRDefault="00E90EA4" w:rsidP="00A66370">
      <w:pPr>
        <w:pStyle w:val="NormalWeb"/>
        <w:spacing w:after="150" w:afterAutospacing="0"/>
        <w:ind w:left="1800"/>
        <w:jc w:val="both"/>
        <w:rPr>
          <w:color w:val="000000" w:themeColor="text1"/>
        </w:rPr>
      </w:pPr>
      <w:r w:rsidRPr="00A33615">
        <w:rPr>
          <w:color w:val="000000" w:themeColor="text1"/>
        </w:rPr>
        <w:t>e. The student must pass all classes in which the student is enrolled at the assigned school in order to maintain athletic eligibility.</w:t>
      </w:r>
    </w:p>
    <w:p w14:paraId="49573B53" w14:textId="77777777" w:rsidR="00E90EA4" w:rsidRPr="00A33615" w:rsidRDefault="00E90EA4" w:rsidP="00A66370">
      <w:pPr>
        <w:pStyle w:val="NormalWeb"/>
        <w:spacing w:after="150" w:afterAutospacing="0"/>
        <w:ind w:left="1800"/>
        <w:jc w:val="both"/>
        <w:rPr>
          <w:color w:val="000000" w:themeColor="text1"/>
        </w:rPr>
      </w:pPr>
      <w:r w:rsidRPr="00A33615">
        <w:rPr>
          <w:color w:val="000000" w:themeColor="text1"/>
        </w:rPr>
        <w:t>f. Once dually enrolled and deemed eligible to participate in athletics, the student must maintain continuous dual enrollment.  Failure to maintain continuous dual enrollment would render the student ineligible for athletic participation for 365 days.</w:t>
      </w:r>
    </w:p>
    <w:p w14:paraId="328BB0D3" w14:textId="77777777" w:rsidR="00E90EA4" w:rsidRPr="00A33615" w:rsidRDefault="00E90EA4" w:rsidP="00A66370">
      <w:pPr>
        <w:pStyle w:val="NormalWeb"/>
        <w:spacing w:after="150" w:afterAutospacing="0"/>
        <w:ind w:left="1800"/>
        <w:jc w:val="both"/>
        <w:rPr>
          <w:color w:val="000000" w:themeColor="text1"/>
        </w:rPr>
      </w:pPr>
      <w:r w:rsidRPr="00A33615">
        <w:rPr>
          <w:color w:val="000000" w:themeColor="text1"/>
        </w:rPr>
        <w:t>g. The student must notify the principal of the assigned school in writing of the student’s intent to try out for an athletic team at least 10 days prior to the first practice date of each sport season in which the student wishes to participate.  Failure to comply with this requirement renders the student ineligible for that sport season.</w:t>
      </w:r>
    </w:p>
    <w:p w14:paraId="340B680B" w14:textId="77777777" w:rsidR="00E90EA4" w:rsidRPr="00A33615" w:rsidRDefault="00E90EA4" w:rsidP="00A66370">
      <w:pPr>
        <w:pStyle w:val="NormalWeb"/>
        <w:spacing w:after="150" w:afterAutospacing="0"/>
        <w:ind w:left="1800"/>
        <w:jc w:val="both"/>
        <w:rPr>
          <w:color w:val="000000" w:themeColor="text1"/>
        </w:rPr>
      </w:pPr>
      <w:r w:rsidRPr="00A33615">
        <w:rPr>
          <w:color w:val="000000" w:themeColor="text1"/>
        </w:rPr>
        <w:t>h. The student must comply with all other applicable North Carolina High School Athletic Association rules and regulations regarding eligibility for athletic participation.</w:t>
      </w:r>
    </w:p>
    <w:p w14:paraId="34A33C39" w14:textId="77777777" w:rsidR="00E90EA4" w:rsidRPr="00A33615" w:rsidRDefault="00E90EA4" w:rsidP="00A66370">
      <w:pPr>
        <w:pStyle w:val="NormalWeb"/>
        <w:spacing w:after="150" w:afterAutospacing="0"/>
        <w:ind w:left="1200"/>
        <w:jc w:val="both"/>
        <w:rPr>
          <w:color w:val="000000" w:themeColor="text1"/>
        </w:rPr>
      </w:pPr>
      <w:r w:rsidRPr="00A33615">
        <w:rPr>
          <w:color w:val="000000" w:themeColor="text1"/>
        </w:rPr>
        <w:t>A dually enrolled student who transitions to full enrollment within the school system will then be governed by North Carolina High School Athletic Association rules and regulations regarding fully enrolled students.</w:t>
      </w:r>
    </w:p>
    <w:p w14:paraId="754A2275" w14:textId="77777777" w:rsidR="00E90EA4" w:rsidRPr="00A33615" w:rsidRDefault="00E90EA4" w:rsidP="00A66370">
      <w:pPr>
        <w:pStyle w:val="NormalWeb"/>
        <w:spacing w:after="150" w:afterAutospacing="0"/>
        <w:ind w:left="600"/>
        <w:jc w:val="both"/>
        <w:rPr>
          <w:color w:val="000000" w:themeColor="text1"/>
        </w:rPr>
      </w:pPr>
      <w:r w:rsidRPr="00A33615">
        <w:rPr>
          <w:b/>
          <w:bCs/>
          <w:color w:val="000000" w:themeColor="text1"/>
        </w:rPr>
        <w:t>D. Appeals Process</w:t>
      </w:r>
      <w:r w:rsidRPr="00A33615">
        <w:rPr>
          <w:rStyle w:val="apple-converted-space"/>
          <w:b/>
          <w:bCs/>
          <w:color w:val="000000" w:themeColor="text1"/>
        </w:rPr>
        <w:t> </w:t>
      </w:r>
    </w:p>
    <w:p w14:paraId="3818D4D8" w14:textId="77777777" w:rsidR="00E90EA4" w:rsidRPr="00A33615" w:rsidRDefault="00E90EA4" w:rsidP="00A66370">
      <w:pPr>
        <w:pStyle w:val="NormalWeb"/>
        <w:spacing w:after="150" w:afterAutospacing="0"/>
        <w:ind w:left="600"/>
        <w:jc w:val="both"/>
        <w:rPr>
          <w:color w:val="000000" w:themeColor="text1"/>
        </w:rPr>
      </w:pPr>
      <w:r w:rsidRPr="00A33615">
        <w:rPr>
          <w:color w:val="000000" w:themeColor="text1"/>
        </w:rPr>
        <w:lastRenderedPageBreak/>
        <w:t>The grievance procedure provided in policy</w:t>
      </w:r>
      <w:r w:rsidRPr="00A33615">
        <w:rPr>
          <w:rStyle w:val="apple-converted-space"/>
          <w:color w:val="000000" w:themeColor="text1"/>
        </w:rPr>
        <w:t> </w:t>
      </w:r>
      <w:r w:rsidRPr="00A33615">
        <w:rPr>
          <w:color w:val="000000" w:themeColor="text1"/>
        </w:rPr>
        <w:t>1740/4010, Student and Parent Grievance Procedure, may be utilized by parents or students who believe that a student has been aggrieved by a decision made pursuant to this policy.</w:t>
      </w:r>
    </w:p>
    <w:p w14:paraId="2BAA4381" w14:textId="77777777" w:rsidR="00E90EA4" w:rsidRPr="00A33615" w:rsidRDefault="00E90EA4" w:rsidP="00A66370">
      <w:pPr>
        <w:pStyle w:val="NormalWeb"/>
        <w:spacing w:after="150" w:afterAutospacing="0"/>
        <w:jc w:val="both"/>
        <w:rPr>
          <w:color w:val="000000" w:themeColor="text1"/>
        </w:rPr>
      </w:pPr>
      <w:r w:rsidRPr="00A33615">
        <w:rPr>
          <w:color w:val="000000" w:themeColor="text1"/>
        </w:rPr>
        <w:t>Legal References:  Americans with Disabilities Act,</w:t>
      </w:r>
      <w:r w:rsidRPr="00A33615">
        <w:rPr>
          <w:rStyle w:val="apple-converted-space"/>
          <w:color w:val="000000" w:themeColor="text1"/>
        </w:rPr>
        <w:t> </w:t>
      </w:r>
      <w:hyperlink r:id="rId9" w:tgtFrame="_blank" w:history="1">
        <w:r w:rsidRPr="00A33615">
          <w:rPr>
            <w:rStyle w:val="Hyperlink"/>
            <w:color w:val="000000" w:themeColor="text1"/>
          </w:rPr>
          <w:t>42 U.S.C. 12132</w:t>
        </w:r>
      </w:hyperlink>
      <w:r w:rsidRPr="00A33615">
        <w:rPr>
          <w:color w:val="000000" w:themeColor="text1"/>
        </w:rPr>
        <w:t>,</w:t>
      </w:r>
      <w:r w:rsidRPr="00A33615">
        <w:rPr>
          <w:rStyle w:val="apple-converted-space"/>
          <w:color w:val="000000" w:themeColor="text1"/>
        </w:rPr>
        <w:t> </w:t>
      </w:r>
      <w:hyperlink r:id="rId10" w:tgtFrame="_blank" w:history="1">
        <w:r w:rsidRPr="00A33615">
          <w:rPr>
            <w:rStyle w:val="Hyperlink"/>
            <w:color w:val="000000" w:themeColor="text1"/>
          </w:rPr>
          <w:t>28 C.F.R. pt. 35</w:t>
        </w:r>
      </w:hyperlink>
      <w:r w:rsidRPr="00A33615">
        <w:rPr>
          <w:color w:val="000000" w:themeColor="text1"/>
        </w:rPr>
        <w:t>; Equal Access Act,</w:t>
      </w:r>
      <w:r w:rsidRPr="00A33615">
        <w:rPr>
          <w:rStyle w:val="apple-converted-space"/>
          <w:color w:val="000000" w:themeColor="text1"/>
        </w:rPr>
        <w:t> </w:t>
      </w:r>
      <w:hyperlink r:id="rId11" w:tgtFrame="_blank" w:history="1">
        <w:r w:rsidRPr="00A33615">
          <w:rPr>
            <w:rStyle w:val="Hyperlink"/>
            <w:color w:val="000000" w:themeColor="text1"/>
          </w:rPr>
          <w:t>20 U.S.C. 4071-4074</w:t>
        </w:r>
      </w:hyperlink>
      <w:r w:rsidRPr="00A33615">
        <w:rPr>
          <w:color w:val="000000" w:themeColor="text1"/>
        </w:rPr>
        <w:t>; Individuals with Disabilities Education Act,</w:t>
      </w:r>
      <w:r w:rsidRPr="00A33615">
        <w:rPr>
          <w:rStyle w:val="apple-converted-space"/>
          <w:color w:val="000000" w:themeColor="text1"/>
        </w:rPr>
        <w:t> </w:t>
      </w:r>
      <w:hyperlink r:id="rId12" w:tgtFrame="_blank" w:history="1">
        <w:r w:rsidRPr="00A33615">
          <w:rPr>
            <w:rStyle w:val="Hyperlink"/>
            <w:color w:val="000000" w:themeColor="text1"/>
          </w:rPr>
          <w:t>20 U.S.C. 1400</w:t>
        </w:r>
      </w:hyperlink>
      <w:r w:rsidRPr="00A33615">
        <w:rPr>
          <w:rStyle w:val="apple-converted-space"/>
          <w:color w:val="000000" w:themeColor="text1"/>
        </w:rPr>
        <w:t> </w:t>
      </w:r>
      <w:r w:rsidRPr="00A33615">
        <w:rPr>
          <w:rStyle w:val="Emphasis"/>
          <w:color w:val="000000" w:themeColor="text1"/>
        </w:rPr>
        <w:t>et seq.</w:t>
      </w:r>
      <w:r w:rsidRPr="00A33615">
        <w:rPr>
          <w:color w:val="000000" w:themeColor="text1"/>
        </w:rPr>
        <w:t>,</w:t>
      </w:r>
      <w:r w:rsidRPr="00A33615">
        <w:rPr>
          <w:rStyle w:val="apple-converted-space"/>
          <w:color w:val="000000" w:themeColor="text1"/>
        </w:rPr>
        <w:t> </w:t>
      </w:r>
      <w:hyperlink r:id="rId13" w:tgtFrame="_blank" w:history="1">
        <w:r w:rsidRPr="00A33615">
          <w:rPr>
            <w:rStyle w:val="Hyperlink"/>
            <w:color w:val="000000" w:themeColor="text1"/>
          </w:rPr>
          <w:t>34 C.F.R. pt. 300</w:t>
        </w:r>
      </w:hyperlink>
      <w:r w:rsidRPr="00A33615">
        <w:rPr>
          <w:color w:val="000000" w:themeColor="text1"/>
        </w:rPr>
        <w:t>; Rehabilitation Act of 1973,</w:t>
      </w:r>
      <w:r w:rsidRPr="00A33615">
        <w:rPr>
          <w:rStyle w:val="apple-converted-space"/>
          <w:color w:val="000000" w:themeColor="text1"/>
        </w:rPr>
        <w:t> </w:t>
      </w:r>
      <w:hyperlink r:id="rId14" w:tgtFrame="_blank" w:history="1">
        <w:r w:rsidRPr="00A33615">
          <w:rPr>
            <w:rStyle w:val="Hyperlink"/>
            <w:color w:val="000000" w:themeColor="text1"/>
          </w:rPr>
          <w:t>29 U.S.C. 705</w:t>
        </w:r>
      </w:hyperlink>
      <w:r w:rsidRPr="00A33615">
        <w:rPr>
          <w:color w:val="000000" w:themeColor="text1"/>
        </w:rPr>
        <w:t>(20),</w:t>
      </w:r>
      <w:r w:rsidRPr="00A33615">
        <w:rPr>
          <w:rStyle w:val="apple-converted-space"/>
          <w:color w:val="000000" w:themeColor="text1"/>
        </w:rPr>
        <w:t> </w:t>
      </w:r>
      <w:hyperlink r:id="rId15" w:tgtFrame="_blank" w:history="1">
        <w:r w:rsidRPr="00A33615">
          <w:rPr>
            <w:rStyle w:val="Hyperlink"/>
            <w:color w:val="000000" w:themeColor="text1"/>
          </w:rPr>
          <w:t>794</w:t>
        </w:r>
      </w:hyperlink>
      <w:r w:rsidRPr="00A33615">
        <w:rPr>
          <w:color w:val="000000" w:themeColor="text1"/>
        </w:rPr>
        <w:t>,</w:t>
      </w:r>
      <w:r w:rsidRPr="00A33615">
        <w:rPr>
          <w:rStyle w:val="apple-converted-space"/>
          <w:color w:val="000000" w:themeColor="text1"/>
        </w:rPr>
        <w:t> </w:t>
      </w:r>
      <w:hyperlink r:id="rId16" w:tgtFrame="_blank" w:history="1">
        <w:r w:rsidRPr="00A33615">
          <w:rPr>
            <w:rStyle w:val="Hyperlink"/>
            <w:color w:val="000000" w:themeColor="text1"/>
          </w:rPr>
          <w:t>34 C.F.R. pt. 104</w:t>
        </w:r>
      </w:hyperlink>
      <w:r w:rsidRPr="00A33615">
        <w:rPr>
          <w:color w:val="000000" w:themeColor="text1"/>
        </w:rPr>
        <w:t>;</w:t>
      </w:r>
      <w:r w:rsidRPr="00A33615">
        <w:rPr>
          <w:rStyle w:val="apple-converted-space"/>
          <w:color w:val="000000" w:themeColor="text1"/>
        </w:rPr>
        <w:t> </w:t>
      </w:r>
      <w:hyperlink r:id="rId17" w:tgtFrame="_blank" w:history="1">
        <w:r w:rsidRPr="00A33615">
          <w:rPr>
            <w:rStyle w:val="Hyperlink"/>
            <w:color w:val="000000" w:themeColor="text1"/>
          </w:rPr>
          <w:t>G.S. 115C art. 9</w:t>
        </w:r>
      </w:hyperlink>
      <w:r w:rsidRPr="00A33615">
        <w:rPr>
          <w:color w:val="000000" w:themeColor="text1"/>
        </w:rPr>
        <w:t>,</w:t>
      </w:r>
      <w:r w:rsidRPr="00A33615">
        <w:rPr>
          <w:rStyle w:val="apple-converted-space"/>
          <w:color w:val="000000" w:themeColor="text1"/>
        </w:rPr>
        <w:t> </w:t>
      </w:r>
      <w:hyperlink r:id="rId18" w:tgtFrame="_blank" w:history="1">
        <w:r w:rsidRPr="00A33615">
          <w:rPr>
            <w:rStyle w:val="Hyperlink"/>
            <w:color w:val="000000" w:themeColor="text1"/>
          </w:rPr>
          <w:t>115C-47</w:t>
        </w:r>
      </w:hyperlink>
      <w:r w:rsidRPr="00A33615">
        <w:rPr>
          <w:color w:val="000000" w:themeColor="text1"/>
        </w:rPr>
        <w:t>(4),</w:t>
      </w:r>
      <w:r w:rsidRPr="00A33615">
        <w:rPr>
          <w:rStyle w:val="apple-converted-space"/>
          <w:color w:val="000000" w:themeColor="text1"/>
        </w:rPr>
        <w:t> </w:t>
      </w:r>
      <w:hyperlink r:id="rId19" w:tgtFrame="_blank" w:history="1">
        <w:r w:rsidRPr="00A33615">
          <w:rPr>
            <w:rStyle w:val="Hyperlink"/>
            <w:color w:val="000000" w:themeColor="text1"/>
          </w:rPr>
          <w:t>-390.2</w:t>
        </w:r>
      </w:hyperlink>
      <w:r w:rsidRPr="00A33615">
        <w:rPr>
          <w:color w:val="000000" w:themeColor="text1"/>
        </w:rPr>
        <w:t>,</w:t>
      </w:r>
      <w:r w:rsidRPr="00A33615">
        <w:rPr>
          <w:rStyle w:val="apple-converted-space"/>
          <w:color w:val="000000" w:themeColor="text1"/>
        </w:rPr>
        <w:t> </w:t>
      </w:r>
      <w:hyperlink r:id="rId20" w:tgtFrame="_blank" w:history="1">
        <w:r w:rsidRPr="00A33615">
          <w:rPr>
            <w:rStyle w:val="Hyperlink"/>
            <w:color w:val="000000" w:themeColor="text1"/>
          </w:rPr>
          <w:t>-407.5</w:t>
        </w:r>
      </w:hyperlink>
      <w:r w:rsidRPr="00A33615">
        <w:rPr>
          <w:color w:val="000000" w:themeColor="text1"/>
        </w:rPr>
        <w:t>;</w:t>
      </w:r>
      <w:r w:rsidRPr="00A33615">
        <w:rPr>
          <w:rStyle w:val="apple-converted-space"/>
          <w:color w:val="000000" w:themeColor="text1"/>
        </w:rPr>
        <w:t> </w:t>
      </w:r>
      <w:hyperlink r:id="rId21" w:tgtFrame="_blank" w:history="1">
        <w:r w:rsidRPr="00A33615">
          <w:rPr>
            <w:rStyle w:val="Hyperlink"/>
            <w:color w:val="000000" w:themeColor="text1"/>
          </w:rPr>
          <w:t>16 N.C.A.C. 6E .0204</w:t>
        </w:r>
      </w:hyperlink>
      <w:r w:rsidRPr="00A33615">
        <w:rPr>
          <w:color w:val="000000" w:themeColor="text1"/>
        </w:rPr>
        <w:t>; State Board of Education Policy</w:t>
      </w:r>
      <w:r w:rsidRPr="00A33615">
        <w:rPr>
          <w:rStyle w:val="apple-converted-space"/>
          <w:color w:val="000000" w:themeColor="text1"/>
        </w:rPr>
        <w:t> </w:t>
      </w:r>
      <w:hyperlink r:id="rId22" w:tgtFrame="_blank" w:history="1">
        <w:r w:rsidRPr="00A33615">
          <w:rPr>
            <w:rStyle w:val="Hyperlink"/>
            <w:color w:val="000000" w:themeColor="text1"/>
          </w:rPr>
          <w:t>ATHL-001</w:t>
        </w:r>
      </w:hyperlink>
      <w:r w:rsidRPr="00A33615">
        <w:rPr>
          <w:color w:val="000000" w:themeColor="text1"/>
        </w:rPr>
        <w:t>;</w:t>
      </w:r>
      <w:r w:rsidRPr="00A33615">
        <w:rPr>
          <w:rStyle w:val="apple-converted-space"/>
          <w:color w:val="000000" w:themeColor="text1"/>
        </w:rPr>
        <w:t> </w:t>
      </w:r>
      <w:r w:rsidRPr="00A33615">
        <w:rPr>
          <w:rStyle w:val="Emphasis"/>
          <w:color w:val="000000" w:themeColor="text1"/>
        </w:rPr>
        <w:t>Policies Governing Services for Children with Disabilities</w:t>
      </w:r>
      <w:r w:rsidRPr="00A33615">
        <w:rPr>
          <w:color w:val="000000" w:themeColor="text1"/>
        </w:rPr>
        <w:t>, State Board of Education Policy</w:t>
      </w:r>
      <w:r w:rsidRPr="00A33615">
        <w:rPr>
          <w:rStyle w:val="apple-converted-space"/>
          <w:color w:val="000000" w:themeColor="text1"/>
        </w:rPr>
        <w:t> </w:t>
      </w:r>
      <w:hyperlink r:id="rId23" w:tgtFrame="_blank" w:history="1">
        <w:r w:rsidRPr="00A33615">
          <w:rPr>
            <w:rStyle w:val="Hyperlink"/>
            <w:color w:val="000000" w:themeColor="text1"/>
          </w:rPr>
          <w:t>EXCP-000</w:t>
        </w:r>
      </w:hyperlink>
      <w:r w:rsidRPr="00A33615">
        <w:rPr>
          <w:color w:val="000000" w:themeColor="text1"/>
        </w:rPr>
        <w:t>; N.C. High School Athletic Association Handbook, available at</w:t>
      </w:r>
      <w:r w:rsidRPr="00A33615">
        <w:rPr>
          <w:rStyle w:val="apple-converted-space"/>
          <w:color w:val="000000" w:themeColor="text1"/>
        </w:rPr>
        <w:t> </w:t>
      </w:r>
      <w:hyperlink r:id="rId24" w:tgtFrame="_blank" w:history="1">
        <w:r w:rsidRPr="00A33615">
          <w:rPr>
            <w:rStyle w:val="Hyperlink"/>
            <w:color w:val="000000" w:themeColor="text1"/>
          </w:rPr>
          <w:t>https://www.nchsaa.org/students-and-parents/rules-and-regulations</w:t>
        </w:r>
      </w:hyperlink>
      <w:r w:rsidRPr="00A33615">
        <w:rPr>
          <w:color w:val="000000" w:themeColor="text1"/>
        </w:rPr>
        <w:t>; Middle/Junior High School Athletic Manual (NCDPI), available at</w:t>
      </w:r>
      <w:r w:rsidRPr="00A33615">
        <w:rPr>
          <w:rStyle w:val="apple-converted-space"/>
          <w:color w:val="000000" w:themeColor="text1"/>
        </w:rPr>
        <w:t> </w:t>
      </w:r>
      <w:hyperlink r:id="rId25" w:tgtFrame="_blank" w:history="1">
        <w:r w:rsidRPr="00A33615">
          <w:rPr>
            <w:rStyle w:val="Hyperlink"/>
            <w:color w:val="000000" w:themeColor="text1"/>
          </w:rPr>
          <w:t>https://sites.google.com/dpi.nc.gov/nchealthyschools/athletics</w:t>
        </w:r>
      </w:hyperlink>
    </w:p>
    <w:p w14:paraId="3DEC67F5" w14:textId="407ABAE4" w:rsidR="00E90EA4" w:rsidRPr="00A33615" w:rsidRDefault="00E90EA4" w:rsidP="00A66370">
      <w:pPr>
        <w:pStyle w:val="NormalWeb"/>
        <w:spacing w:after="150" w:afterAutospacing="0"/>
        <w:jc w:val="both"/>
        <w:rPr>
          <w:color w:val="000000" w:themeColor="text1"/>
        </w:rPr>
      </w:pPr>
      <w:r w:rsidRPr="00A33615">
        <w:rPr>
          <w:color w:val="000000" w:themeColor="text1"/>
        </w:rPr>
        <w:t>Cross References:  Parental Involvement (policy</w:t>
      </w:r>
      <w:r w:rsidRPr="00A33615">
        <w:rPr>
          <w:rStyle w:val="apple-converted-space"/>
          <w:color w:val="000000" w:themeColor="text1"/>
        </w:rPr>
        <w:t> </w:t>
      </w:r>
      <w:r w:rsidRPr="00A33615">
        <w:rPr>
          <w:color w:val="000000" w:themeColor="text1"/>
        </w:rPr>
        <w:t>1310/4002), Student and Parent Grievance Procedure (policy</w:t>
      </w:r>
      <w:r w:rsidRPr="00A33615">
        <w:rPr>
          <w:rStyle w:val="apple-converted-space"/>
          <w:color w:val="000000" w:themeColor="text1"/>
        </w:rPr>
        <w:t> </w:t>
      </w:r>
      <w:r w:rsidRPr="00A33615">
        <w:rPr>
          <w:color w:val="000000" w:themeColor="text1"/>
        </w:rPr>
        <w:t>1740/4010), Evaluation of Student Progress (policy</w:t>
      </w:r>
      <w:r w:rsidRPr="00A33615">
        <w:rPr>
          <w:rStyle w:val="apple-converted-space"/>
          <w:color w:val="000000" w:themeColor="text1"/>
        </w:rPr>
        <w:t> </w:t>
      </w:r>
      <w:r w:rsidRPr="00A33615">
        <w:rPr>
          <w:color w:val="000000" w:themeColor="text1"/>
        </w:rPr>
        <w:t>3400), Student Promotion and Accountability (policy</w:t>
      </w:r>
      <w:r w:rsidRPr="00A33615">
        <w:rPr>
          <w:rStyle w:val="apple-converted-space"/>
          <w:color w:val="000000" w:themeColor="text1"/>
        </w:rPr>
        <w:t> </w:t>
      </w:r>
      <w:r w:rsidRPr="00A33615">
        <w:rPr>
          <w:color w:val="000000" w:themeColor="text1"/>
        </w:rPr>
        <w:t>3420), School Improvement Plan (policy</w:t>
      </w:r>
      <w:r w:rsidRPr="00A33615">
        <w:rPr>
          <w:rStyle w:val="apple-converted-space"/>
          <w:color w:val="000000" w:themeColor="text1"/>
        </w:rPr>
        <w:t> </w:t>
      </w:r>
      <w:r w:rsidRPr="00A33615">
        <w:rPr>
          <w:color w:val="000000" w:themeColor="text1"/>
        </w:rPr>
        <w:t>3430), Children of Military Families (policy</w:t>
      </w:r>
      <w:r w:rsidRPr="00A33615">
        <w:rPr>
          <w:rStyle w:val="apple-converted-space"/>
          <w:color w:val="000000" w:themeColor="text1"/>
        </w:rPr>
        <w:t> </w:t>
      </w:r>
      <w:r w:rsidRPr="00A33615">
        <w:rPr>
          <w:color w:val="000000" w:themeColor="text1"/>
        </w:rPr>
        <w:t>4050), Domicile or Residence Requirements (policy</w:t>
      </w:r>
      <w:r w:rsidRPr="00A33615">
        <w:rPr>
          <w:rStyle w:val="apple-converted-space"/>
          <w:color w:val="000000" w:themeColor="text1"/>
        </w:rPr>
        <w:t> </w:t>
      </w:r>
      <w:r w:rsidRPr="00A33615">
        <w:rPr>
          <w:color w:val="000000" w:themeColor="text1"/>
        </w:rPr>
        <w:t>4120), Homeless Students (policy</w:t>
      </w:r>
      <w:r w:rsidRPr="00A33615">
        <w:rPr>
          <w:rStyle w:val="apple-converted-space"/>
          <w:color w:val="000000" w:themeColor="text1"/>
        </w:rPr>
        <w:t> </w:t>
      </w:r>
      <w:r w:rsidRPr="00A33615">
        <w:rPr>
          <w:color w:val="000000" w:themeColor="text1"/>
        </w:rPr>
        <w:t>4125), School Assignment (policy</w:t>
      </w:r>
      <w:r w:rsidRPr="00A33615">
        <w:rPr>
          <w:rStyle w:val="apple-converted-space"/>
          <w:color w:val="000000" w:themeColor="text1"/>
        </w:rPr>
        <w:t> </w:t>
      </w:r>
      <w:r w:rsidRPr="00A33615">
        <w:rPr>
          <w:color w:val="000000" w:themeColor="text1"/>
        </w:rPr>
        <w:t>4150), North Carolina Address Confidentiality Program (policy</w:t>
      </w:r>
      <w:r w:rsidRPr="00A33615">
        <w:rPr>
          <w:rStyle w:val="apple-converted-space"/>
          <w:color w:val="000000" w:themeColor="text1"/>
        </w:rPr>
        <w:t> </w:t>
      </w:r>
      <w:r w:rsidRPr="00A33615">
        <w:rPr>
          <w:color w:val="000000" w:themeColor="text1"/>
        </w:rPr>
        <w:t>4250/5075/7316),12</w:t>
      </w:r>
      <w:r w:rsidRPr="00A33615">
        <w:rPr>
          <w:rStyle w:val="apple-converted-space"/>
          <w:color w:val="000000" w:themeColor="text1"/>
        </w:rPr>
        <w:t> </w:t>
      </w:r>
      <w:r w:rsidRPr="00A33615">
        <w:rPr>
          <w:color w:val="000000" w:themeColor="text1"/>
        </w:rPr>
        <w:t>Student Behavior Policies (4300</w:t>
      </w:r>
      <w:r w:rsidR="00A66370" w:rsidRPr="00A33615">
        <w:rPr>
          <w:color w:val="000000" w:themeColor="text1"/>
        </w:rPr>
        <w:t xml:space="preserve"> </w:t>
      </w:r>
      <w:r w:rsidRPr="00A33615">
        <w:rPr>
          <w:color w:val="000000" w:themeColor="text1"/>
        </w:rPr>
        <w:t>series), Attendance (policy</w:t>
      </w:r>
      <w:r w:rsidRPr="00A33615">
        <w:rPr>
          <w:rStyle w:val="apple-converted-space"/>
          <w:color w:val="000000" w:themeColor="text1"/>
        </w:rPr>
        <w:t> </w:t>
      </w:r>
      <w:r w:rsidRPr="00A33615">
        <w:rPr>
          <w:color w:val="000000" w:themeColor="text1"/>
        </w:rPr>
        <w:t>4400), Community Use of Facilities (policy</w:t>
      </w:r>
      <w:r w:rsidRPr="00A33615">
        <w:rPr>
          <w:rStyle w:val="apple-converted-space"/>
          <w:color w:val="000000" w:themeColor="text1"/>
        </w:rPr>
        <w:t> </w:t>
      </w:r>
      <w:r w:rsidRPr="00A33615">
        <w:rPr>
          <w:color w:val="000000" w:themeColor="text1"/>
        </w:rPr>
        <w:t>5030)</w:t>
      </w:r>
    </w:p>
    <w:p w14:paraId="315CEF68" w14:textId="77777777" w:rsidR="00E90EA4" w:rsidRPr="00A33615" w:rsidRDefault="00E90EA4" w:rsidP="00E90EA4">
      <w:pPr>
        <w:pStyle w:val="z-BottomofForm"/>
        <w:rPr>
          <w:color w:val="000000" w:themeColor="text1"/>
        </w:rPr>
      </w:pPr>
      <w:r w:rsidRPr="00A33615">
        <w:rPr>
          <w:color w:val="000000" w:themeColor="text1"/>
        </w:rPr>
        <w:t>Bottom of Form</w:t>
      </w:r>
    </w:p>
    <w:p w14:paraId="2E293E91" w14:textId="77777777" w:rsidR="00E90EA4" w:rsidRPr="00A33615" w:rsidRDefault="00E90EA4" w:rsidP="00EC588F">
      <w:pPr>
        <w:tabs>
          <w:tab w:val="left" w:pos="-1440"/>
        </w:tabs>
        <w:jc w:val="both"/>
        <w:rPr>
          <w:color w:val="000000" w:themeColor="text1"/>
          <w:sz w:val="22"/>
          <w:szCs w:val="22"/>
        </w:rPr>
      </w:pPr>
    </w:p>
    <w:p w14:paraId="616A9E4A" w14:textId="60F9318D" w:rsidR="00CC7931" w:rsidRPr="00A33615" w:rsidRDefault="00E40975" w:rsidP="00180495">
      <w:pPr>
        <w:jc w:val="both"/>
        <w:rPr>
          <w:color w:val="000000" w:themeColor="text1"/>
        </w:rPr>
      </w:pPr>
      <w:r w:rsidRPr="00A33615">
        <w:rPr>
          <w:color w:val="000000" w:themeColor="text1"/>
        </w:rPr>
        <w:t>Adopt</w:t>
      </w:r>
      <w:r w:rsidR="002825FD" w:rsidRPr="00A33615">
        <w:rPr>
          <w:color w:val="000000" w:themeColor="text1"/>
        </w:rPr>
        <w:t>ed</w:t>
      </w:r>
      <w:r w:rsidR="00EC588F" w:rsidRPr="00A33615">
        <w:rPr>
          <w:color w:val="000000" w:themeColor="text1"/>
        </w:rPr>
        <w:t>:</w:t>
      </w:r>
      <w:r w:rsidR="00237D33" w:rsidRPr="00A33615">
        <w:rPr>
          <w:color w:val="000000" w:themeColor="text1"/>
        </w:rPr>
        <w:t xml:space="preserve"> April 15, 2020</w:t>
      </w:r>
    </w:p>
    <w:p w14:paraId="52EEE6EE" w14:textId="4E567CA3" w:rsidR="00E90EA4" w:rsidRPr="00A33615" w:rsidRDefault="00E90EA4" w:rsidP="00180495">
      <w:pPr>
        <w:jc w:val="both"/>
        <w:rPr>
          <w:color w:val="000000" w:themeColor="text1"/>
        </w:rPr>
      </w:pPr>
      <w:r w:rsidRPr="00A33615">
        <w:rPr>
          <w:color w:val="000000" w:themeColor="text1"/>
        </w:rPr>
        <w:t>Revised:</w:t>
      </w:r>
      <w:r w:rsidR="00A33615" w:rsidRPr="00A33615">
        <w:rPr>
          <w:color w:val="000000" w:themeColor="text1"/>
        </w:rPr>
        <w:t xml:space="preserve"> June 8, 2022</w:t>
      </w:r>
    </w:p>
    <w:p w14:paraId="524757C5" w14:textId="77777777" w:rsidR="00C371A5" w:rsidRPr="003A3923" w:rsidRDefault="00C371A5" w:rsidP="00180495">
      <w:pPr>
        <w:jc w:val="both"/>
        <w:rPr>
          <w:sz w:val="22"/>
          <w:szCs w:val="22"/>
        </w:rPr>
      </w:pPr>
    </w:p>
    <w:p w14:paraId="15FF0712" w14:textId="77777777" w:rsidR="00E73BC8" w:rsidRPr="00EC588F" w:rsidRDefault="00E73BC8" w:rsidP="00180495">
      <w:pPr>
        <w:jc w:val="both"/>
      </w:pPr>
    </w:p>
    <w:sectPr w:rsidR="00E73BC8" w:rsidRPr="00EC588F" w:rsidSect="00237D33">
      <w:head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67BA" w14:textId="77777777" w:rsidR="006236CD" w:rsidRDefault="006236CD">
      <w:r>
        <w:separator/>
      </w:r>
    </w:p>
  </w:endnote>
  <w:endnote w:type="continuationSeparator" w:id="0">
    <w:p w14:paraId="39500FA8" w14:textId="77777777" w:rsidR="006236CD" w:rsidRDefault="0062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3F4" w14:textId="77777777" w:rsidR="004D6AAE" w:rsidRDefault="004D6AAE" w:rsidP="004D6AAE">
    <w:pPr>
      <w:spacing w:line="240" w:lineRule="exact"/>
      <w:ind w:right="-360"/>
    </w:pPr>
  </w:p>
  <w:p w14:paraId="158842F1" w14:textId="77777777" w:rsidR="004D6AAE" w:rsidRDefault="00E40975" w:rsidP="004D6AAE">
    <w:pPr>
      <w:spacing w:line="109" w:lineRule="exact"/>
    </w:pPr>
    <w:r>
      <w:rPr>
        <w:i/>
        <w:noProof/>
        <w:snapToGrid/>
        <w:sz w:val="16"/>
      </w:rPr>
      <mc:AlternateContent>
        <mc:Choice Requires="wps">
          <w:drawing>
            <wp:anchor distT="0" distB="0" distL="114300" distR="114300" simplePos="0" relativeHeight="251660288" behindDoc="0" locked="0" layoutInCell="1" allowOverlap="1" wp14:anchorId="2E62A90B" wp14:editId="19FBE36A">
              <wp:simplePos x="0" y="0"/>
              <wp:positionH relativeFrom="column">
                <wp:posOffset>0</wp:posOffset>
              </wp:positionH>
              <wp:positionV relativeFrom="paragraph">
                <wp:posOffset>10160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A0895"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" strokeweight="4.5pt">
              <v:stroke linestyle="thickThin"/>
            </v:line>
          </w:pict>
        </mc:Fallback>
      </mc:AlternateContent>
    </w:r>
  </w:p>
  <w:p w14:paraId="277CCF39" w14:textId="77777777" w:rsidR="004D6AAE" w:rsidRDefault="00C9701B" w:rsidP="00E40975">
    <w:pPr>
      <w:tabs>
        <w:tab w:val="right" w:pos="9360"/>
      </w:tabs>
      <w:autoSpaceDE w:val="0"/>
      <w:autoSpaceDN w:val="0"/>
      <w:adjustRightInd w:val="0"/>
      <w:ind w:right="720"/>
      <w:jc w:val="both"/>
      <w:rPr>
        <w:i/>
        <w:sz w:val="16"/>
      </w:rPr>
    </w:pPr>
    <w:r w:rsidRPr="00C9701B">
      <w:rPr>
        <w:b/>
        <w:szCs w:val="24"/>
      </w:rPr>
      <w:t>NE REGIONAL SCHOOL BOARD OF DIRECTORS POLICY MANUAL</w:t>
    </w:r>
    <w:r w:rsidR="00E40975">
      <w:rPr>
        <w:b/>
        <w:szCs w:val="24"/>
      </w:rPr>
      <w:tab/>
    </w:r>
    <w:r w:rsidR="00E40975" w:rsidRPr="00E40975">
      <w:rPr>
        <w:szCs w:val="24"/>
      </w:rPr>
      <w:t xml:space="preserve">Page </w:t>
    </w:r>
    <w:r w:rsidR="00E40975" w:rsidRPr="00E40975">
      <w:rPr>
        <w:bCs/>
        <w:szCs w:val="24"/>
      </w:rPr>
      <w:fldChar w:fldCharType="begin"/>
    </w:r>
    <w:r w:rsidR="00E40975" w:rsidRPr="00E40975">
      <w:rPr>
        <w:bCs/>
        <w:szCs w:val="24"/>
      </w:rPr>
      <w:instrText xml:space="preserve"> PAGE  \* Arabic  \* MERGEFORMAT </w:instrText>
    </w:r>
    <w:r w:rsidR="00E40975" w:rsidRPr="00E40975">
      <w:rPr>
        <w:bCs/>
        <w:szCs w:val="24"/>
      </w:rPr>
      <w:fldChar w:fldCharType="separate"/>
    </w:r>
    <w:r>
      <w:rPr>
        <w:bCs/>
        <w:noProof/>
        <w:szCs w:val="24"/>
      </w:rPr>
      <w:t>1</w:t>
    </w:r>
    <w:r w:rsidR="00E40975" w:rsidRPr="00E40975">
      <w:rPr>
        <w:bCs/>
        <w:szCs w:val="24"/>
      </w:rPr>
      <w:fldChar w:fldCharType="end"/>
    </w:r>
    <w:r w:rsidR="00E40975" w:rsidRPr="00E40975">
      <w:rPr>
        <w:szCs w:val="24"/>
      </w:rPr>
      <w:t xml:space="preserve"> of </w:t>
    </w:r>
    <w:r w:rsidR="00E40975" w:rsidRPr="00E40975">
      <w:rPr>
        <w:bCs/>
        <w:szCs w:val="24"/>
      </w:rPr>
      <w:fldChar w:fldCharType="begin"/>
    </w:r>
    <w:r w:rsidR="00E40975" w:rsidRPr="00E40975">
      <w:rPr>
        <w:bCs/>
        <w:szCs w:val="24"/>
      </w:rPr>
      <w:instrText xml:space="preserve"> NUMPAGES  \* Arabic  \* MERGEFORMAT </w:instrText>
    </w:r>
    <w:r w:rsidR="00E40975" w:rsidRPr="00E40975">
      <w:rPr>
        <w:bCs/>
        <w:szCs w:val="24"/>
      </w:rPr>
      <w:fldChar w:fldCharType="separate"/>
    </w:r>
    <w:r>
      <w:rPr>
        <w:bCs/>
        <w:noProof/>
        <w:szCs w:val="24"/>
      </w:rPr>
      <w:t>2</w:t>
    </w:r>
    <w:r w:rsidR="00E40975" w:rsidRPr="00E40975">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82B5" w14:textId="77777777" w:rsidR="006236CD" w:rsidRDefault="006236CD">
      <w:r>
        <w:separator/>
      </w:r>
    </w:p>
  </w:footnote>
  <w:footnote w:type="continuationSeparator" w:id="0">
    <w:p w14:paraId="3FF3EF35" w14:textId="77777777" w:rsidR="006236CD" w:rsidRDefault="0062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4A3F" w14:textId="77777777" w:rsidR="00EC588F" w:rsidRDefault="00EC588F" w:rsidP="00EC588F">
    <w:pPr>
      <w:tabs>
        <w:tab w:val="left" w:pos="6840"/>
        <w:tab w:val="right" w:pos="9360"/>
      </w:tabs>
      <w:ind w:firstLine="6840"/>
    </w:pPr>
    <w:r>
      <w:rPr>
        <w:i/>
        <w:sz w:val="20"/>
      </w:rPr>
      <w:t>Policy Code:</w:t>
    </w:r>
    <w:r>
      <w:tab/>
    </w:r>
    <w:r>
      <w:rPr>
        <w:b/>
      </w:rPr>
      <w:t>3620</w:t>
    </w:r>
  </w:p>
  <w:p w14:paraId="7DB1362A" w14:textId="77777777" w:rsidR="00EC588F" w:rsidRDefault="004E6A7F" w:rsidP="00EC588F">
    <w:pPr>
      <w:tabs>
        <w:tab w:val="left" w:pos="6840"/>
        <w:tab w:val="right" w:pos="9360"/>
      </w:tabs>
      <w:spacing w:line="109" w:lineRule="exact"/>
    </w:pPr>
    <w:r>
      <w:rPr>
        <w:noProof/>
        <w:snapToGrid/>
      </w:rPr>
      <mc:AlternateContent>
        <mc:Choice Requires="wps">
          <w:drawing>
            <wp:anchor distT="0" distB="0" distL="114300" distR="114300" simplePos="0" relativeHeight="251658240" behindDoc="0" locked="0" layoutInCell="0" allowOverlap="1" wp14:anchorId="6F5019DE" wp14:editId="6EFD5AF9">
              <wp:simplePos x="0" y="0"/>
              <wp:positionH relativeFrom="column">
                <wp:posOffset>0</wp:posOffset>
              </wp:positionH>
              <wp:positionV relativeFrom="paragraph">
                <wp:posOffset>45720</wp:posOffset>
              </wp:positionV>
              <wp:extent cx="5943600" cy="0"/>
              <wp:effectExtent l="28575" t="36195" r="28575" b="3048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28682"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" o:allowincell="f" strokeweight="4.5pt">
              <v:stroke linestyle="thinThick"/>
            </v:line>
          </w:pict>
        </mc:Fallback>
      </mc:AlternateContent>
    </w:r>
  </w:p>
  <w:p w14:paraId="1277DCF3" w14:textId="77777777" w:rsidR="00EC588F" w:rsidRDefault="00EC588F" w:rsidP="00EC588F">
    <w:pPr>
      <w:tabs>
        <w:tab w:val="left" w:pos="68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5463"/>
    <w:multiLevelType w:val="hybridMultilevel"/>
    <w:tmpl w:val="16D41254"/>
    <w:lvl w:ilvl="0" w:tplc="B752739C">
      <w:start w:val="1"/>
      <w:numFmt w:val="lowerLetter"/>
      <w:lvlText w:val="%1."/>
      <w:lvlJc w:val="left"/>
      <w:pPr>
        <w:tabs>
          <w:tab w:val="num" w:pos="2160"/>
        </w:tabs>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202668E"/>
    <w:multiLevelType w:val="hybridMultilevel"/>
    <w:tmpl w:val="5F8842EA"/>
    <w:lvl w:ilvl="0" w:tplc="C06ECD6E">
      <w:start w:val="1"/>
      <w:numFmt w:val="upperLetter"/>
      <w:lvlText w:val="%1."/>
      <w:lvlJc w:val="left"/>
      <w:pPr>
        <w:tabs>
          <w:tab w:val="num" w:pos="720"/>
        </w:tabs>
        <w:ind w:left="72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423855"/>
    <w:multiLevelType w:val="hybridMultilevel"/>
    <w:tmpl w:val="3A82E96A"/>
    <w:lvl w:ilvl="0" w:tplc="1152F734">
      <w:start w:val="1"/>
      <w:numFmt w:val="upperLetter"/>
      <w:lvlText w:val="%1."/>
      <w:lvlJc w:val="left"/>
      <w:pPr>
        <w:tabs>
          <w:tab w:val="num" w:pos="1080"/>
        </w:tabs>
        <w:ind w:left="1080" w:hanging="720"/>
      </w:pPr>
      <w:rPr>
        <w:rFonts w:hint="default"/>
      </w:rPr>
    </w:lvl>
    <w:lvl w:ilvl="1" w:tplc="31D8765A">
      <w:start w:val="1"/>
      <w:numFmt w:val="decimal"/>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722C40"/>
    <w:multiLevelType w:val="hybridMultilevel"/>
    <w:tmpl w:val="9A7AB5EE"/>
    <w:lvl w:ilvl="0" w:tplc="C06ECD6E">
      <w:start w:val="1"/>
      <w:numFmt w:val="upperLetter"/>
      <w:lvlText w:val="%1."/>
      <w:lvlJc w:val="left"/>
      <w:pPr>
        <w:tabs>
          <w:tab w:val="num" w:pos="720"/>
        </w:tabs>
        <w:ind w:left="72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3232BA"/>
    <w:multiLevelType w:val="multilevel"/>
    <w:tmpl w:val="C8920A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2E5C0B"/>
    <w:multiLevelType w:val="hybridMultilevel"/>
    <w:tmpl w:val="C6C8668A"/>
    <w:lvl w:ilvl="0" w:tplc="C06ECD6E">
      <w:start w:val="1"/>
      <w:numFmt w:val="upperLetter"/>
      <w:lvlText w:val="%1."/>
      <w:lvlJc w:val="left"/>
      <w:pPr>
        <w:tabs>
          <w:tab w:val="num" w:pos="720"/>
        </w:tabs>
        <w:ind w:left="72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230D42"/>
    <w:multiLevelType w:val="hybridMultilevel"/>
    <w:tmpl w:val="ACF4A5A8"/>
    <w:lvl w:ilvl="0" w:tplc="92880290">
      <w:start w:val="2"/>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4B0A37"/>
    <w:multiLevelType w:val="multilevel"/>
    <w:tmpl w:val="948C588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50923BA"/>
    <w:multiLevelType w:val="hybridMultilevel"/>
    <w:tmpl w:val="928EBD4E"/>
    <w:lvl w:ilvl="0" w:tplc="BF34B0BA">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76F30F0"/>
    <w:multiLevelType w:val="hybridMultilevel"/>
    <w:tmpl w:val="48509C6E"/>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564764">
    <w:abstractNumId w:val="4"/>
  </w:num>
  <w:num w:numId="2" w16cid:durableId="1398280937">
    <w:abstractNumId w:val="5"/>
  </w:num>
  <w:num w:numId="3" w16cid:durableId="2010794484">
    <w:abstractNumId w:val="11"/>
  </w:num>
  <w:num w:numId="4" w16cid:durableId="996686773">
    <w:abstractNumId w:val="2"/>
  </w:num>
  <w:num w:numId="5" w16cid:durableId="2104568171">
    <w:abstractNumId w:val="7"/>
  </w:num>
  <w:num w:numId="6" w16cid:durableId="1512912756">
    <w:abstractNumId w:val="1"/>
  </w:num>
  <w:num w:numId="7" w16cid:durableId="1980725861">
    <w:abstractNumId w:val="3"/>
  </w:num>
  <w:num w:numId="8" w16cid:durableId="1544174228">
    <w:abstractNumId w:val="10"/>
  </w:num>
  <w:num w:numId="9" w16cid:durableId="1569460939">
    <w:abstractNumId w:val="0"/>
  </w:num>
  <w:num w:numId="10" w16cid:durableId="22482025">
    <w:abstractNumId w:val="6"/>
  </w:num>
  <w:num w:numId="11" w16cid:durableId="34278225">
    <w:abstractNumId w:val="9"/>
  </w:num>
  <w:num w:numId="12" w16cid:durableId="1997689049">
    <w:abstractNumId w:val="8"/>
  </w:num>
  <w:num w:numId="13" w16cid:durableId="2058702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7F64"/>
    <w:rsid w:val="0001126E"/>
    <w:rsid w:val="00014BA4"/>
    <w:rsid w:val="00024AD0"/>
    <w:rsid w:val="00034248"/>
    <w:rsid w:val="00056C74"/>
    <w:rsid w:val="00061F65"/>
    <w:rsid w:val="000738AC"/>
    <w:rsid w:val="000745CF"/>
    <w:rsid w:val="00076675"/>
    <w:rsid w:val="00097E2D"/>
    <w:rsid w:val="000B2862"/>
    <w:rsid w:val="000D541B"/>
    <w:rsid w:val="000E272D"/>
    <w:rsid w:val="001131B8"/>
    <w:rsid w:val="0012024B"/>
    <w:rsid w:val="001426B3"/>
    <w:rsid w:val="00143104"/>
    <w:rsid w:val="001607AA"/>
    <w:rsid w:val="00164494"/>
    <w:rsid w:val="00172890"/>
    <w:rsid w:val="001749A0"/>
    <w:rsid w:val="001803EA"/>
    <w:rsid w:val="00180495"/>
    <w:rsid w:val="001A5FF3"/>
    <w:rsid w:val="001B4682"/>
    <w:rsid w:val="001B5A4F"/>
    <w:rsid w:val="001B6D72"/>
    <w:rsid w:val="001C7A11"/>
    <w:rsid w:val="001D3311"/>
    <w:rsid w:val="001F0D84"/>
    <w:rsid w:val="00211243"/>
    <w:rsid w:val="00214E5E"/>
    <w:rsid w:val="00217C38"/>
    <w:rsid w:val="00220DF8"/>
    <w:rsid w:val="0022552D"/>
    <w:rsid w:val="002269DC"/>
    <w:rsid w:val="00227601"/>
    <w:rsid w:val="00236FA6"/>
    <w:rsid w:val="00237D33"/>
    <w:rsid w:val="0024340A"/>
    <w:rsid w:val="00250F32"/>
    <w:rsid w:val="002527CA"/>
    <w:rsid w:val="002825FD"/>
    <w:rsid w:val="0029047D"/>
    <w:rsid w:val="0029086F"/>
    <w:rsid w:val="00291CC6"/>
    <w:rsid w:val="00293C19"/>
    <w:rsid w:val="00295E68"/>
    <w:rsid w:val="002A7713"/>
    <w:rsid w:val="002D1A98"/>
    <w:rsid w:val="002D2E88"/>
    <w:rsid w:val="002F1E3B"/>
    <w:rsid w:val="002F7906"/>
    <w:rsid w:val="0030679E"/>
    <w:rsid w:val="00314745"/>
    <w:rsid w:val="003460E0"/>
    <w:rsid w:val="003531E6"/>
    <w:rsid w:val="00354B8F"/>
    <w:rsid w:val="003609CE"/>
    <w:rsid w:val="003720DF"/>
    <w:rsid w:val="00373835"/>
    <w:rsid w:val="003A20F8"/>
    <w:rsid w:val="003A3923"/>
    <w:rsid w:val="003A512F"/>
    <w:rsid w:val="003C21B9"/>
    <w:rsid w:val="003C698E"/>
    <w:rsid w:val="003D2CC9"/>
    <w:rsid w:val="003E7F41"/>
    <w:rsid w:val="003F5A43"/>
    <w:rsid w:val="00417ACE"/>
    <w:rsid w:val="004270BB"/>
    <w:rsid w:val="004335D3"/>
    <w:rsid w:val="0043399E"/>
    <w:rsid w:val="00437A20"/>
    <w:rsid w:val="00437EE2"/>
    <w:rsid w:val="004650D2"/>
    <w:rsid w:val="00483313"/>
    <w:rsid w:val="004C6450"/>
    <w:rsid w:val="004D6AAE"/>
    <w:rsid w:val="004E6A7F"/>
    <w:rsid w:val="00510233"/>
    <w:rsid w:val="00550608"/>
    <w:rsid w:val="00551C8C"/>
    <w:rsid w:val="00554D54"/>
    <w:rsid w:val="005C19A3"/>
    <w:rsid w:val="005C3396"/>
    <w:rsid w:val="005C4DAD"/>
    <w:rsid w:val="005C7537"/>
    <w:rsid w:val="005E45D6"/>
    <w:rsid w:val="005F76FA"/>
    <w:rsid w:val="006159E8"/>
    <w:rsid w:val="006236CD"/>
    <w:rsid w:val="006274F8"/>
    <w:rsid w:val="00633299"/>
    <w:rsid w:val="00651B92"/>
    <w:rsid w:val="00655E9E"/>
    <w:rsid w:val="006779D7"/>
    <w:rsid w:val="00681992"/>
    <w:rsid w:val="006952F3"/>
    <w:rsid w:val="006A605E"/>
    <w:rsid w:val="006E731E"/>
    <w:rsid w:val="00722C7D"/>
    <w:rsid w:val="00742D81"/>
    <w:rsid w:val="00745157"/>
    <w:rsid w:val="00776071"/>
    <w:rsid w:val="007951FA"/>
    <w:rsid w:val="007970D5"/>
    <w:rsid w:val="007B51F2"/>
    <w:rsid w:val="007C6F76"/>
    <w:rsid w:val="007E09E7"/>
    <w:rsid w:val="007E2B98"/>
    <w:rsid w:val="007E727D"/>
    <w:rsid w:val="00802D46"/>
    <w:rsid w:val="0080510D"/>
    <w:rsid w:val="00815496"/>
    <w:rsid w:val="008637CA"/>
    <w:rsid w:val="00866DAF"/>
    <w:rsid w:val="0087482D"/>
    <w:rsid w:val="00886C7B"/>
    <w:rsid w:val="00892FFB"/>
    <w:rsid w:val="008956C6"/>
    <w:rsid w:val="008A4E03"/>
    <w:rsid w:val="008B5F5A"/>
    <w:rsid w:val="008D5F9D"/>
    <w:rsid w:val="008F450A"/>
    <w:rsid w:val="008F627B"/>
    <w:rsid w:val="0092741B"/>
    <w:rsid w:val="00940D68"/>
    <w:rsid w:val="009535F6"/>
    <w:rsid w:val="00956CFE"/>
    <w:rsid w:val="00962149"/>
    <w:rsid w:val="0096633B"/>
    <w:rsid w:val="00967C22"/>
    <w:rsid w:val="0097071C"/>
    <w:rsid w:val="00975D0F"/>
    <w:rsid w:val="00981CEE"/>
    <w:rsid w:val="009B3B30"/>
    <w:rsid w:val="009C0970"/>
    <w:rsid w:val="009D330C"/>
    <w:rsid w:val="009E01FB"/>
    <w:rsid w:val="009E17D1"/>
    <w:rsid w:val="009E2E0C"/>
    <w:rsid w:val="009E3FC9"/>
    <w:rsid w:val="009E5B54"/>
    <w:rsid w:val="009F48FB"/>
    <w:rsid w:val="00A127F4"/>
    <w:rsid w:val="00A16ABE"/>
    <w:rsid w:val="00A22B5D"/>
    <w:rsid w:val="00A33615"/>
    <w:rsid w:val="00A37140"/>
    <w:rsid w:val="00A44DC5"/>
    <w:rsid w:val="00A47924"/>
    <w:rsid w:val="00A6017E"/>
    <w:rsid w:val="00A66370"/>
    <w:rsid w:val="00A756AE"/>
    <w:rsid w:val="00A80B4A"/>
    <w:rsid w:val="00A863EC"/>
    <w:rsid w:val="00AD5685"/>
    <w:rsid w:val="00AF28DF"/>
    <w:rsid w:val="00AF7835"/>
    <w:rsid w:val="00B03CD4"/>
    <w:rsid w:val="00B15800"/>
    <w:rsid w:val="00B160FC"/>
    <w:rsid w:val="00B249F5"/>
    <w:rsid w:val="00B57746"/>
    <w:rsid w:val="00B62A8B"/>
    <w:rsid w:val="00B64000"/>
    <w:rsid w:val="00B76AE7"/>
    <w:rsid w:val="00B879AF"/>
    <w:rsid w:val="00BA55A1"/>
    <w:rsid w:val="00BA5832"/>
    <w:rsid w:val="00BB3216"/>
    <w:rsid w:val="00BC10C3"/>
    <w:rsid w:val="00C230B2"/>
    <w:rsid w:val="00C3303A"/>
    <w:rsid w:val="00C36A3E"/>
    <w:rsid w:val="00C371A5"/>
    <w:rsid w:val="00C573A1"/>
    <w:rsid w:val="00C77C04"/>
    <w:rsid w:val="00C80A57"/>
    <w:rsid w:val="00C86059"/>
    <w:rsid w:val="00C969DC"/>
    <w:rsid w:val="00C9701B"/>
    <w:rsid w:val="00CA324F"/>
    <w:rsid w:val="00CB0ACF"/>
    <w:rsid w:val="00CB394E"/>
    <w:rsid w:val="00CB47A5"/>
    <w:rsid w:val="00CC2780"/>
    <w:rsid w:val="00CC2EEF"/>
    <w:rsid w:val="00CC7931"/>
    <w:rsid w:val="00CE5921"/>
    <w:rsid w:val="00CE5C18"/>
    <w:rsid w:val="00CE7815"/>
    <w:rsid w:val="00D13F26"/>
    <w:rsid w:val="00D2162A"/>
    <w:rsid w:val="00D31111"/>
    <w:rsid w:val="00D76DAF"/>
    <w:rsid w:val="00DB2B11"/>
    <w:rsid w:val="00DB3A1A"/>
    <w:rsid w:val="00DB6C86"/>
    <w:rsid w:val="00DD31D0"/>
    <w:rsid w:val="00DE6835"/>
    <w:rsid w:val="00DF2B57"/>
    <w:rsid w:val="00E0166A"/>
    <w:rsid w:val="00E11858"/>
    <w:rsid w:val="00E131EB"/>
    <w:rsid w:val="00E203B6"/>
    <w:rsid w:val="00E2172C"/>
    <w:rsid w:val="00E21E9A"/>
    <w:rsid w:val="00E40975"/>
    <w:rsid w:val="00E41E60"/>
    <w:rsid w:val="00E43F0E"/>
    <w:rsid w:val="00E60225"/>
    <w:rsid w:val="00E73BC8"/>
    <w:rsid w:val="00E73C2A"/>
    <w:rsid w:val="00E76F37"/>
    <w:rsid w:val="00E90EA4"/>
    <w:rsid w:val="00E91AF6"/>
    <w:rsid w:val="00E9507B"/>
    <w:rsid w:val="00E95FF2"/>
    <w:rsid w:val="00EC1AB7"/>
    <w:rsid w:val="00EC2A65"/>
    <w:rsid w:val="00EC5071"/>
    <w:rsid w:val="00EC588F"/>
    <w:rsid w:val="00ED0017"/>
    <w:rsid w:val="00ED3297"/>
    <w:rsid w:val="00ED3390"/>
    <w:rsid w:val="00ED4D9B"/>
    <w:rsid w:val="00EF78DD"/>
    <w:rsid w:val="00F22DCD"/>
    <w:rsid w:val="00F23309"/>
    <w:rsid w:val="00F331D8"/>
    <w:rsid w:val="00F41377"/>
    <w:rsid w:val="00F44F88"/>
    <w:rsid w:val="00F45221"/>
    <w:rsid w:val="00F8786D"/>
    <w:rsid w:val="00F969D8"/>
    <w:rsid w:val="00FB3DD8"/>
    <w:rsid w:val="00FB4C06"/>
    <w:rsid w:val="00FD02D6"/>
    <w:rsid w:val="00FE00AA"/>
    <w:rsid w:val="00FE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E1FF37"/>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B394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styleId="FollowedHyperlink">
    <w:name w:val="FollowedHyperlink"/>
    <w:basedOn w:val="DefaultParagraphFont"/>
    <w:rsid w:val="00E95FF2"/>
    <w:rPr>
      <w:color w:val="800080"/>
      <w:u w:val="single"/>
    </w:rPr>
  </w:style>
  <w:style w:type="character" w:customStyle="1" w:styleId="StyleFootnoteReference14pt">
    <w:name w:val="Style Footnote Reference + 14 pt"/>
    <w:basedOn w:val="FootnoteReference"/>
    <w:rsid w:val="00CB394E"/>
    <w:rPr>
      <w:rFonts w:ascii="Times New Roman" w:hAnsi="Times New Roman"/>
      <w:sz w:val="24"/>
      <w:vertAlign w:val="superscript"/>
    </w:rPr>
  </w:style>
  <w:style w:type="character" w:styleId="Hyperlink">
    <w:name w:val="Hyperlink"/>
    <w:basedOn w:val="DefaultParagraphFont"/>
    <w:rsid w:val="00A756AE"/>
    <w:rPr>
      <w:color w:val="0000FF" w:themeColor="hyperlink"/>
      <w:u w:val="single"/>
    </w:rPr>
  </w:style>
  <w:style w:type="paragraph" w:styleId="ListParagraph">
    <w:name w:val="List Paragraph"/>
    <w:basedOn w:val="Normal"/>
    <w:uiPriority w:val="34"/>
    <w:qFormat/>
    <w:rsid w:val="008B5F5A"/>
    <w:pPr>
      <w:ind w:left="720"/>
      <w:contextualSpacing/>
    </w:pPr>
  </w:style>
  <w:style w:type="character" w:styleId="LineNumber">
    <w:name w:val="line number"/>
    <w:basedOn w:val="DefaultParagraphFont"/>
    <w:semiHidden/>
    <w:unhideWhenUsed/>
    <w:rsid w:val="008956C6"/>
  </w:style>
  <w:style w:type="paragraph" w:styleId="Revision">
    <w:name w:val="Revision"/>
    <w:hidden/>
    <w:uiPriority w:val="99"/>
    <w:semiHidden/>
    <w:rsid w:val="00E90EA4"/>
    <w:rPr>
      <w:snapToGrid w:val="0"/>
      <w:sz w:val="24"/>
    </w:rPr>
  </w:style>
  <w:style w:type="paragraph" w:styleId="NormalWeb">
    <w:name w:val="Normal (Web)"/>
    <w:basedOn w:val="Normal"/>
    <w:uiPriority w:val="99"/>
    <w:semiHidden/>
    <w:unhideWhenUsed/>
    <w:rsid w:val="00E90EA4"/>
    <w:pPr>
      <w:widowControl/>
      <w:spacing w:before="100" w:beforeAutospacing="1" w:after="100" w:afterAutospacing="1"/>
    </w:pPr>
    <w:rPr>
      <w:snapToGrid/>
      <w:szCs w:val="24"/>
    </w:rPr>
  </w:style>
  <w:style w:type="character" w:customStyle="1" w:styleId="apple-converted-space">
    <w:name w:val="apple-converted-space"/>
    <w:basedOn w:val="DefaultParagraphFont"/>
    <w:rsid w:val="00E90EA4"/>
  </w:style>
  <w:style w:type="character" w:styleId="Strong">
    <w:name w:val="Strong"/>
    <w:basedOn w:val="DefaultParagraphFont"/>
    <w:uiPriority w:val="22"/>
    <w:qFormat/>
    <w:rsid w:val="00E90EA4"/>
    <w:rPr>
      <w:b/>
      <w:bCs/>
    </w:rPr>
  </w:style>
  <w:style w:type="character" w:styleId="Emphasis">
    <w:name w:val="Emphasis"/>
    <w:basedOn w:val="DefaultParagraphFont"/>
    <w:uiPriority w:val="20"/>
    <w:qFormat/>
    <w:rsid w:val="00E90EA4"/>
    <w:rPr>
      <w:i/>
      <w:iCs/>
    </w:rPr>
  </w:style>
  <w:style w:type="paragraph" w:styleId="z-BottomofForm">
    <w:name w:val="HTML Bottom of Form"/>
    <w:basedOn w:val="Normal"/>
    <w:next w:val="Normal"/>
    <w:link w:val="z-BottomofFormChar"/>
    <w:hidden/>
    <w:uiPriority w:val="99"/>
    <w:semiHidden/>
    <w:unhideWhenUsed/>
    <w:rsid w:val="00E90EA4"/>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basedOn w:val="DefaultParagraphFont"/>
    <w:link w:val="z-BottomofForm"/>
    <w:uiPriority w:val="99"/>
    <w:semiHidden/>
    <w:rsid w:val="00E90EA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6348">
      <w:bodyDiv w:val="1"/>
      <w:marLeft w:val="0"/>
      <w:marRight w:val="0"/>
      <w:marTop w:val="0"/>
      <w:marBottom w:val="0"/>
      <w:divBdr>
        <w:top w:val="none" w:sz="0" w:space="0" w:color="auto"/>
        <w:left w:val="none" w:sz="0" w:space="0" w:color="auto"/>
        <w:bottom w:val="none" w:sz="0" w:space="0" w:color="auto"/>
        <w:right w:val="none" w:sz="0" w:space="0" w:color="auto"/>
      </w:divBdr>
      <w:divsChild>
        <w:div w:id="193471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director.microscribepub.com/?cat=cfr&amp;loc=us&amp;id=34&amp;spec=300" TargetMode="External"/><Relationship Id="rId18" Type="http://schemas.openxmlformats.org/officeDocument/2006/relationships/hyperlink" Target="http://redirector.microscribepub.com/?cat=stat&amp;loc=nc&amp;id=115c&amp;spec=4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edirector.microscribepub.com/?cat=code&amp;loc=nc&amp;id=16&amp;" TargetMode="External"/><Relationship Id="rId7" Type="http://schemas.openxmlformats.org/officeDocument/2006/relationships/endnotes" Target="endnotes.xml"/><Relationship Id="rId12" Type="http://schemas.openxmlformats.org/officeDocument/2006/relationships/hyperlink" Target="http://redirector.microscribepub.com/?cat=usc&amp;loc=us&amp;id=20-1400&amp;" TargetMode="External"/><Relationship Id="rId17" Type="http://schemas.openxmlformats.org/officeDocument/2006/relationships/hyperlink" Target="http://redirector.microscribepub.com/?cat=stat&amp;loc=nc&amp;id=115c&amp;spec=a9" TargetMode="External"/><Relationship Id="rId25" Type="http://schemas.openxmlformats.org/officeDocument/2006/relationships/hyperlink" Target="http://www.dpi.nc.gov/districts-schools/classroom-resources/academic-standards/programs-and-initiatives/nc-healthy-schools/athletics" TargetMode="External"/><Relationship Id="rId2" Type="http://schemas.openxmlformats.org/officeDocument/2006/relationships/numbering" Target="numbering.xml"/><Relationship Id="rId16" Type="http://schemas.openxmlformats.org/officeDocument/2006/relationships/hyperlink" Target="http://redirector.microscribepub.com/?cat=cfr&amp;loc=us&amp;id=34&amp;spec=104" TargetMode="External"/><Relationship Id="rId20" Type="http://schemas.openxmlformats.org/officeDocument/2006/relationships/hyperlink" Target="http://redirector.microscribepub.com/?cat=stat&amp;loc=nc&amp;id=115c&amp;spec=40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director.microscribepub.com/?cat=usc&amp;loc=us&amp;id=20-4071&amp;" TargetMode="External"/><Relationship Id="rId24" Type="http://schemas.openxmlformats.org/officeDocument/2006/relationships/hyperlink" Target="https://www.nchsaa.org/students-and-parents/rules-and-regulations" TargetMode="External"/><Relationship Id="rId5" Type="http://schemas.openxmlformats.org/officeDocument/2006/relationships/webSettings" Target="webSettings.xml"/><Relationship Id="rId15" Type="http://schemas.openxmlformats.org/officeDocument/2006/relationships/hyperlink" Target="http://redirector.microscribepub.com/?cat=usc&amp;loc=us&amp;id=29-794&amp;" TargetMode="External"/><Relationship Id="rId23" Type="http://schemas.openxmlformats.org/officeDocument/2006/relationships/hyperlink" Target="http://redirector.microscribepub.com/?cat=pol&amp;loc=nc&amp;id=excp-000&amp;" TargetMode="External"/><Relationship Id="rId28" Type="http://schemas.openxmlformats.org/officeDocument/2006/relationships/theme" Target="theme/theme1.xml"/><Relationship Id="rId10" Type="http://schemas.openxmlformats.org/officeDocument/2006/relationships/hyperlink" Target="http://redirector.microscribepub.com/?cat=cfr&amp;loc=us&amp;id=28&amp;spec=35" TargetMode="External"/><Relationship Id="rId19" Type="http://schemas.openxmlformats.org/officeDocument/2006/relationships/hyperlink" Target="http://redirector.microscribepub.com/?cat=stat&amp;loc=nc&amp;id=115c&amp;spec=390.2" TargetMode="External"/><Relationship Id="rId4" Type="http://schemas.openxmlformats.org/officeDocument/2006/relationships/settings" Target="settings.xml"/><Relationship Id="rId9" Type="http://schemas.openxmlformats.org/officeDocument/2006/relationships/hyperlink" Target="http://redirector.microscribepub.com/?cat=usc&amp;loc=us&amp;id=42-12132&amp;" TargetMode="External"/><Relationship Id="rId14" Type="http://schemas.openxmlformats.org/officeDocument/2006/relationships/hyperlink" Target="http://redirector.microscribepub.com/?cat=usc&amp;loc=us&amp;id=29-705&amp;" TargetMode="External"/><Relationship Id="rId22" Type="http://schemas.openxmlformats.org/officeDocument/2006/relationships/hyperlink" Target="http://redirector.microscribepub.com/?cat=pol&amp;loc=nc&amp;id=athl-001&am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852A0-E36C-0648-9926-99CD8571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1278</Words>
  <Characters>9431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10</cp:revision>
  <cp:lastPrinted>2017-04-21T18:24:00Z</cp:lastPrinted>
  <dcterms:created xsi:type="dcterms:W3CDTF">2020-01-19T02:41:00Z</dcterms:created>
  <dcterms:modified xsi:type="dcterms:W3CDTF">2022-06-17T02:02:00Z</dcterms:modified>
</cp:coreProperties>
</file>