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375D" w14:textId="77777777" w:rsidR="00FB7EAA" w:rsidRPr="00734915" w:rsidRDefault="00FB7EAA" w:rsidP="00AA5A01">
      <w:pPr>
        <w:tabs>
          <w:tab w:val="left" w:pos="6840"/>
          <w:tab w:val="right" w:pos="9360"/>
        </w:tabs>
        <w:jc w:val="both"/>
        <w:rPr>
          <w:color w:val="000000" w:themeColor="text1"/>
        </w:rPr>
      </w:pPr>
      <w:r w:rsidRPr="00734915">
        <w:rPr>
          <w:b/>
          <w:color w:val="000000" w:themeColor="text1"/>
          <w:sz w:val="28"/>
        </w:rPr>
        <w:t>CHILDREN OF MILITARY FAMILIES</w:t>
      </w:r>
      <w:r w:rsidRPr="00734915">
        <w:rPr>
          <w:color w:val="000000" w:themeColor="text1"/>
          <w:sz w:val="20"/>
        </w:rPr>
        <w:tab/>
      </w:r>
      <w:r w:rsidRPr="00734915">
        <w:rPr>
          <w:i/>
          <w:color w:val="000000" w:themeColor="text1"/>
          <w:sz w:val="20"/>
        </w:rPr>
        <w:t>Policy Code:</w:t>
      </w:r>
      <w:r w:rsidRPr="00734915">
        <w:rPr>
          <w:color w:val="000000" w:themeColor="text1"/>
        </w:rPr>
        <w:tab/>
      </w:r>
      <w:r w:rsidR="00325D4D" w:rsidRPr="00734915">
        <w:rPr>
          <w:b/>
          <w:color w:val="000000" w:themeColor="text1"/>
        </w:rPr>
        <w:t>4050</w:t>
      </w:r>
    </w:p>
    <w:p w14:paraId="060DBF75" w14:textId="77777777" w:rsidR="00FB7EAA" w:rsidRPr="00734915" w:rsidRDefault="00EB65FA" w:rsidP="00AA5A01">
      <w:pPr>
        <w:tabs>
          <w:tab w:val="left" w:pos="6840"/>
          <w:tab w:val="right" w:pos="9360"/>
        </w:tabs>
        <w:spacing w:line="109" w:lineRule="exact"/>
        <w:jc w:val="both"/>
        <w:rPr>
          <w:color w:val="000000" w:themeColor="text1"/>
        </w:rPr>
      </w:pPr>
      <w:r w:rsidRPr="00734915">
        <w:rPr>
          <w:noProof/>
          <w:color w:val="000000" w:themeColor="text1"/>
        </w:rPr>
        <mc:AlternateContent>
          <mc:Choice Requires="wps">
            <w:drawing>
              <wp:anchor distT="4294967295" distB="4294967295" distL="114300" distR="114300" simplePos="0" relativeHeight="251659776" behindDoc="0" locked="0" layoutInCell="0" allowOverlap="1" wp14:anchorId="538A8311" wp14:editId="03D2F41A">
                <wp:simplePos x="0" y="0"/>
                <wp:positionH relativeFrom="column">
                  <wp:posOffset>0</wp:posOffset>
                </wp:positionH>
                <wp:positionV relativeFrom="paragraph">
                  <wp:posOffset>44449</wp:posOffset>
                </wp:positionV>
                <wp:extent cx="5943600" cy="0"/>
                <wp:effectExtent l="0" t="25400" r="25400" b="254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85EAE" id="Line 5"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" o:allowincell="f" strokeweight="4.5pt">
                <v:stroke linestyle="thinThick"/>
                <o:lock v:ext="edit" shapetype="f"/>
              </v:line>
            </w:pict>
          </mc:Fallback>
        </mc:AlternateContent>
      </w:r>
    </w:p>
    <w:p w14:paraId="5876A8B8" w14:textId="77777777" w:rsidR="00E6591F" w:rsidRPr="00734915" w:rsidRDefault="00E6591F" w:rsidP="00AA5A01">
      <w:pPr>
        <w:jc w:val="both"/>
        <w:rPr>
          <w:color w:val="000000" w:themeColor="text1"/>
        </w:rPr>
      </w:pPr>
    </w:p>
    <w:p w14:paraId="5B33840B" w14:textId="77777777" w:rsidR="00353DB5" w:rsidRPr="00734915" w:rsidRDefault="00353DB5" w:rsidP="00AA5A01">
      <w:pPr>
        <w:jc w:val="both"/>
        <w:rPr>
          <w:color w:val="000000" w:themeColor="text1"/>
        </w:rPr>
        <w:sectPr w:rsidR="00353DB5" w:rsidRPr="00734915" w:rsidSect="00E33D73">
          <w:footerReference w:type="default" r:id="rId8"/>
          <w:pgSz w:w="12240" w:h="15840" w:code="1"/>
          <w:pgMar w:top="1440" w:right="1440" w:bottom="1440" w:left="1440" w:header="720" w:footer="720" w:gutter="0"/>
          <w:pgNumType w:start="1"/>
          <w:cols w:space="720"/>
          <w:docGrid w:linePitch="360"/>
        </w:sectPr>
      </w:pPr>
    </w:p>
    <w:p w14:paraId="625D74BC" w14:textId="77777777" w:rsidR="00353DB5" w:rsidRPr="00734915" w:rsidRDefault="00353DB5" w:rsidP="00AA5A01">
      <w:pPr>
        <w:jc w:val="both"/>
        <w:rPr>
          <w:color w:val="000000" w:themeColor="text1"/>
        </w:rPr>
      </w:pPr>
    </w:p>
    <w:p w14:paraId="365428DD" w14:textId="77777777" w:rsidR="0097660D" w:rsidRPr="00734915" w:rsidRDefault="00A16A1E" w:rsidP="00AA5A01">
      <w:pPr>
        <w:jc w:val="both"/>
        <w:rPr>
          <w:color w:val="000000" w:themeColor="text1"/>
        </w:rPr>
      </w:pPr>
      <w:r w:rsidRPr="00734915">
        <w:rPr>
          <w:color w:val="000000" w:themeColor="text1"/>
        </w:rPr>
        <w:t>The board recognizes the unique circumstances faced by children of military families who are often required to transfer to a new school because their parents or guardians have a new military assignment.  The board also recognizes that children whose immediate family members are deployed by the military may be at increased risk of emotional, psychological</w:t>
      </w:r>
      <w:r w:rsidR="00CF5C6E" w:rsidRPr="00734915">
        <w:rPr>
          <w:color w:val="000000" w:themeColor="text1"/>
        </w:rPr>
        <w:t>,</w:t>
      </w:r>
      <w:r w:rsidRPr="00734915">
        <w:rPr>
          <w:color w:val="000000" w:themeColor="text1"/>
        </w:rPr>
        <w:t xml:space="preserve"> or other harm.</w:t>
      </w:r>
      <w:r w:rsidR="005E5AB5" w:rsidRPr="00734915">
        <w:rPr>
          <w:color w:val="000000" w:themeColor="text1"/>
        </w:rPr>
        <w:t xml:space="preserve">  The </w:t>
      </w:r>
      <w:r w:rsidR="00655511" w:rsidRPr="00734915">
        <w:rPr>
          <w:color w:val="000000" w:themeColor="text1"/>
        </w:rPr>
        <w:t xml:space="preserve">board is committed to supporting these children in the school and </w:t>
      </w:r>
      <w:r w:rsidR="00A445E4" w:rsidRPr="00734915">
        <w:rPr>
          <w:color w:val="000000" w:themeColor="text1"/>
        </w:rPr>
        <w:t xml:space="preserve">undertaking </w:t>
      </w:r>
      <w:r w:rsidR="00655511" w:rsidRPr="00734915">
        <w:rPr>
          <w:color w:val="000000" w:themeColor="text1"/>
        </w:rPr>
        <w:t>to serve their unique needs.</w:t>
      </w:r>
      <w:r w:rsidRPr="00734915">
        <w:rPr>
          <w:color w:val="000000" w:themeColor="text1"/>
        </w:rPr>
        <w:t xml:space="preserve">  </w:t>
      </w:r>
    </w:p>
    <w:p w14:paraId="55B07496" w14:textId="77777777" w:rsidR="0097660D" w:rsidRPr="00734915" w:rsidRDefault="0097660D" w:rsidP="00AA5A01">
      <w:pPr>
        <w:jc w:val="both"/>
        <w:rPr>
          <w:color w:val="000000" w:themeColor="text1"/>
        </w:rPr>
      </w:pPr>
    </w:p>
    <w:p w14:paraId="6D757136" w14:textId="77777777" w:rsidR="0097660D" w:rsidRPr="00734915" w:rsidRDefault="0097660D" w:rsidP="00DA5250">
      <w:pPr>
        <w:pStyle w:val="ListParagraph"/>
        <w:numPr>
          <w:ilvl w:val="0"/>
          <w:numId w:val="12"/>
        </w:numPr>
        <w:spacing w:before="0" w:after="0"/>
        <w:ind w:hanging="720"/>
        <w:jc w:val="both"/>
        <w:rPr>
          <w:b/>
          <w:smallCaps/>
          <w:color w:val="000000" w:themeColor="text1"/>
        </w:rPr>
      </w:pPr>
      <w:r w:rsidRPr="00734915">
        <w:rPr>
          <w:b/>
          <w:smallCaps/>
          <w:color w:val="000000" w:themeColor="text1"/>
        </w:rPr>
        <w:t xml:space="preserve">Identification of </w:t>
      </w:r>
      <w:r w:rsidR="00B872C9" w:rsidRPr="00734915">
        <w:rPr>
          <w:b/>
          <w:smallCaps/>
          <w:color w:val="000000" w:themeColor="text1"/>
        </w:rPr>
        <w:t xml:space="preserve">Military-Connected </w:t>
      </w:r>
      <w:r w:rsidR="00544FA4" w:rsidRPr="00734915">
        <w:rPr>
          <w:b/>
          <w:smallCaps/>
          <w:color w:val="000000" w:themeColor="text1"/>
        </w:rPr>
        <w:t>Scholars</w:t>
      </w:r>
    </w:p>
    <w:p w14:paraId="4D8512D6" w14:textId="77777777" w:rsidR="00DA5250" w:rsidRPr="00734915" w:rsidRDefault="00DA5250" w:rsidP="00FA4264">
      <w:pPr>
        <w:ind w:left="720"/>
        <w:jc w:val="both"/>
        <w:rPr>
          <w:color w:val="000000" w:themeColor="text1"/>
        </w:rPr>
      </w:pPr>
    </w:p>
    <w:p w14:paraId="05307D14" w14:textId="77777777" w:rsidR="00B872C9" w:rsidRPr="00734915" w:rsidRDefault="00090C0D" w:rsidP="00FA4264">
      <w:pPr>
        <w:ind w:left="720"/>
        <w:jc w:val="both"/>
        <w:rPr>
          <w:color w:val="000000" w:themeColor="text1"/>
        </w:rPr>
      </w:pPr>
      <w:r w:rsidRPr="00734915">
        <w:rPr>
          <w:color w:val="000000" w:themeColor="text1"/>
        </w:rPr>
        <w:t xml:space="preserve">The </w:t>
      </w:r>
      <w:r w:rsidR="00A16A1E" w:rsidRPr="00734915">
        <w:rPr>
          <w:color w:val="000000" w:themeColor="text1"/>
        </w:rPr>
        <w:t xml:space="preserve">principal shall </w:t>
      </w:r>
      <w:r w:rsidR="00643239" w:rsidRPr="00734915">
        <w:rPr>
          <w:color w:val="000000" w:themeColor="text1"/>
        </w:rPr>
        <w:t xml:space="preserve">annually identify all military-connected </w:t>
      </w:r>
      <w:r w:rsidR="00544FA4" w:rsidRPr="00734915">
        <w:rPr>
          <w:color w:val="000000" w:themeColor="text1"/>
        </w:rPr>
        <w:t>scholars</w:t>
      </w:r>
      <w:r w:rsidR="00643239" w:rsidRPr="00734915">
        <w:rPr>
          <w:color w:val="000000" w:themeColor="text1"/>
        </w:rPr>
        <w:t xml:space="preserve"> enrolled in the school and shall </w:t>
      </w:r>
      <w:r w:rsidR="00A16A1E" w:rsidRPr="00734915">
        <w:rPr>
          <w:color w:val="000000" w:themeColor="text1"/>
        </w:rPr>
        <w:t>develop a means for serving the</w:t>
      </w:r>
      <w:r w:rsidR="00643239" w:rsidRPr="00734915">
        <w:rPr>
          <w:color w:val="000000" w:themeColor="text1"/>
        </w:rPr>
        <w:t>ir</w:t>
      </w:r>
      <w:r w:rsidR="00A16A1E" w:rsidRPr="00734915">
        <w:rPr>
          <w:color w:val="000000" w:themeColor="text1"/>
        </w:rPr>
        <w:t xml:space="preserve"> unique needs.  </w:t>
      </w:r>
      <w:r w:rsidR="00F86714" w:rsidRPr="00734915">
        <w:rPr>
          <w:color w:val="000000" w:themeColor="text1"/>
        </w:rPr>
        <w:t xml:space="preserve">For purposes of this section, a military-connected </w:t>
      </w:r>
      <w:r w:rsidR="004D59AB" w:rsidRPr="00734915">
        <w:rPr>
          <w:color w:val="000000" w:themeColor="text1"/>
        </w:rPr>
        <w:t>scholar</w:t>
      </w:r>
      <w:r w:rsidR="00F86714" w:rsidRPr="00734915">
        <w:rPr>
          <w:color w:val="000000" w:themeColor="text1"/>
        </w:rPr>
        <w:t xml:space="preserve"> is defined as a </w:t>
      </w:r>
      <w:r w:rsidR="004D59AB" w:rsidRPr="00734915">
        <w:rPr>
          <w:color w:val="000000" w:themeColor="text1"/>
        </w:rPr>
        <w:t>scholar</w:t>
      </w:r>
      <w:r w:rsidR="00F86714" w:rsidRPr="00734915">
        <w:rPr>
          <w:color w:val="000000" w:themeColor="text1"/>
        </w:rPr>
        <w:t xml:space="preserve"> who has a parent, </w:t>
      </w:r>
      <w:proofErr w:type="gramStart"/>
      <w:r w:rsidR="00F86714" w:rsidRPr="00734915">
        <w:rPr>
          <w:color w:val="000000" w:themeColor="text1"/>
        </w:rPr>
        <w:t>step-parent</w:t>
      </w:r>
      <w:proofErr w:type="gramEnd"/>
      <w:r w:rsidR="00F86714" w:rsidRPr="00734915">
        <w:rPr>
          <w:color w:val="000000" w:themeColor="text1"/>
        </w:rPr>
        <w:t xml:space="preserve">, sibling, or any other person who resides in the same household serving in the active or reserve components of the Army, Navy, Air Force, Marine Corps, Coast Guard, or National Guard.  </w:t>
      </w:r>
    </w:p>
    <w:p w14:paraId="303B19DF" w14:textId="77777777" w:rsidR="00F86714" w:rsidRPr="00734915" w:rsidRDefault="00F86714" w:rsidP="00FA4264">
      <w:pPr>
        <w:ind w:left="720"/>
        <w:jc w:val="both"/>
        <w:rPr>
          <w:color w:val="000000" w:themeColor="text1"/>
        </w:rPr>
      </w:pPr>
    </w:p>
    <w:p w14:paraId="665C3CED" w14:textId="77777777" w:rsidR="00B872C9" w:rsidRPr="00734915" w:rsidRDefault="00F86714" w:rsidP="00FA4264">
      <w:pPr>
        <w:ind w:left="720"/>
        <w:jc w:val="both"/>
        <w:rPr>
          <w:color w:val="000000" w:themeColor="text1"/>
        </w:rPr>
      </w:pPr>
      <w:r w:rsidRPr="00734915">
        <w:rPr>
          <w:color w:val="000000" w:themeColor="text1"/>
        </w:rPr>
        <w:t xml:space="preserve">The identification of military-connected </w:t>
      </w:r>
      <w:r w:rsidR="00544FA4" w:rsidRPr="00734915">
        <w:rPr>
          <w:color w:val="000000" w:themeColor="text1"/>
        </w:rPr>
        <w:t>scholars</w:t>
      </w:r>
      <w:r w:rsidRPr="00734915">
        <w:rPr>
          <w:color w:val="000000" w:themeColor="text1"/>
        </w:rPr>
        <w:t xml:space="preserve"> is not a public record subject to public records law.  </w:t>
      </w:r>
    </w:p>
    <w:p w14:paraId="7B9A43C9" w14:textId="77777777" w:rsidR="00F86714" w:rsidRPr="00734915" w:rsidRDefault="00F86714" w:rsidP="00FA4264">
      <w:pPr>
        <w:ind w:left="720"/>
        <w:jc w:val="both"/>
        <w:rPr>
          <w:color w:val="000000" w:themeColor="text1"/>
        </w:rPr>
      </w:pPr>
    </w:p>
    <w:p w14:paraId="6827613D" w14:textId="77777777" w:rsidR="00B872C9" w:rsidRPr="00734915" w:rsidRDefault="00B872C9" w:rsidP="00DA5250">
      <w:pPr>
        <w:pStyle w:val="ListParagraph"/>
        <w:numPr>
          <w:ilvl w:val="0"/>
          <w:numId w:val="12"/>
        </w:numPr>
        <w:spacing w:before="0" w:after="0"/>
        <w:ind w:hanging="720"/>
        <w:jc w:val="both"/>
        <w:rPr>
          <w:b/>
          <w:smallCaps/>
          <w:color w:val="000000" w:themeColor="text1"/>
        </w:rPr>
      </w:pPr>
      <w:r w:rsidRPr="00734915">
        <w:rPr>
          <w:b/>
          <w:smallCaps/>
          <w:color w:val="000000" w:themeColor="text1"/>
        </w:rPr>
        <w:t>Compliance with the Interstate Compact on Educational Opportunity for Military Children</w:t>
      </w:r>
    </w:p>
    <w:p w14:paraId="49CA5EAA" w14:textId="77777777" w:rsidR="00DA5250" w:rsidRPr="00734915" w:rsidRDefault="00DA5250" w:rsidP="00FA4264">
      <w:pPr>
        <w:ind w:left="720"/>
        <w:jc w:val="both"/>
        <w:rPr>
          <w:color w:val="000000" w:themeColor="text1"/>
        </w:rPr>
      </w:pPr>
    </w:p>
    <w:p w14:paraId="739E831C" w14:textId="77777777" w:rsidR="00A16A1E" w:rsidRPr="00734915" w:rsidRDefault="00B872C9" w:rsidP="00FA4264">
      <w:pPr>
        <w:ind w:left="720"/>
        <w:jc w:val="both"/>
        <w:rPr>
          <w:color w:val="000000" w:themeColor="text1"/>
        </w:rPr>
      </w:pPr>
      <w:r w:rsidRPr="00734915">
        <w:rPr>
          <w:color w:val="000000" w:themeColor="text1"/>
        </w:rPr>
        <w:t>I</w:t>
      </w:r>
      <w:r w:rsidR="00A16A1E" w:rsidRPr="00734915">
        <w:rPr>
          <w:color w:val="000000" w:themeColor="text1"/>
        </w:rPr>
        <w:t xml:space="preserve">n order to promote flexibility and cooperation among the school, parents and guardians, and </w:t>
      </w:r>
      <w:r w:rsidR="00F86714" w:rsidRPr="00734915">
        <w:rPr>
          <w:color w:val="000000" w:themeColor="text1"/>
        </w:rPr>
        <w:t>children of military families</w:t>
      </w:r>
      <w:r w:rsidR="00A16A1E" w:rsidRPr="00734915">
        <w:rPr>
          <w:color w:val="000000" w:themeColor="text1"/>
        </w:rPr>
        <w:t xml:space="preserve">, to promote </w:t>
      </w:r>
      <w:r w:rsidR="00F86714" w:rsidRPr="00734915">
        <w:rPr>
          <w:color w:val="000000" w:themeColor="text1"/>
        </w:rPr>
        <w:t xml:space="preserve">the children’s </w:t>
      </w:r>
      <w:r w:rsidR="00A16A1E" w:rsidRPr="00734915">
        <w:rPr>
          <w:color w:val="000000" w:themeColor="text1"/>
        </w:rPr>
        <w:t xml:space="preserve">well-being, and to assist </w:t>
      </w:r>
      <w:r w:rsidR="00F86714" w:rsidRPr="00734915">
        <w:rPr>
          <w:color w:val="000000" w:themeColor="text1"/>
        </w:rPr>
        <w:t xml:space="preserve">these children </w:t>
      </w:r>
      <w:r w:rsidR="00A16A1E" w:rsidRPr="00734915">
        <w:rPr>
          <w:color w:val="000000" w:themeColor="text1"/>
        </w:rPr>
        <w:t xml:space="preserve">in achieving educational success in their new schools, the </w:t>
      </w:r>
      <w:r w:rsidR="00F63801" w:rsidRPr="00734915">
        <w:rPr>
          <w:color w:val="000000" w:themeColor="text1"/>
        </w:rPr>
        <w:t>principal</w:t>
      </w:r>
      <w:r w:rsidR="00A16A1E" w:rsidRPr="00734915">
        <w:rPr>
          <w:color w:val="000000" w:themeColor="text1"/>
        </w:rPr>
        <w:t xml:space="preserve"> shall adopt procedures necessary to ensure compliance with the Interstate Compact on Educational Opportunity for Military Children (hereinafter “Compact”) and to educate employees about the unique needs of children</w:t>
      </w:r>
      <w:r w:rsidR="00F86714" w:rsidRPr="00734915">
        <w:rPr>
          <w:color w:val="000000" w:themeColor="text1"/>
        </w:rPr>
        <w:t xml:space="preserve"> of military families</w:t>
      </w:r>
      <w:r w:rsidR="00A16A1E" w:rsidRPr="00734915">
        <w:rPr>
          <w:color w:val="000000" w:themeColor="text1"/>
        </w:rPr>
        <w:t>.</w:t>
      </w:r>
    </w:p>
    <w:p w14:paraId="2318C3D5" w14:textId="77777777" w:rsidR="00E6591F" w:rsidRPr="00734915" w:rsidRDefault="00E6591F" w:rsidP="00AA5A01">
      <w:pPr>
        <w:jc w:val="both"/>
        <w:rPr>
          <w:color w:val="000000" w:themeColor="text1"/>
        </w:rPr>
      </w:pPr>
    </w:p>
    <w:p w14:paraId="081D8332" w14:textId="77777777" w:rsidR="00353DB5" w:rsidRPr="00734915" w:rsidRDefault="00353DB5" w:rsidP="00FA4264">
      <w:pPr>
        <w:pStyle w:val="ListParagraph"/>
        <w:numPr>
          <w:ilvl w:val="0"/>
          <w:numId w:val="1"/>
        </w:numPr>
        <w:tabs>
          <w:tab w:val="clear" w:pos="720"/>
        </w:tabs>
        <w:spacing w:before="0" w:after="0"/>
        <w:ind w:left="1440"/>
        <w:jc w:val="both"/>
        <w:rPr>
          <w:b/>
          <w:smallCaps/>
          <w:color w:val="000000" w:themeColor="text1"/>
        </w:rPr>
      </w:pPr>
      <w:r w:rsidRPr="00734915">
        <w:rPr>
          <w:color w:val="000000" w:themeColor="text1"/>
        </w:rPr>
        <w:t>Definitions</w:t>
      </w:r>
    </w:p>
    <w:p w14:paraId="6F3ECD35" w14:textId="77777777" w:rsidR="00C678E1" w:rsidRPr="00734915" w:rsidRDefault="00C678E1" w:rsidP="00AA5A01">
      <w:pPr>
        <w:pStyle w:val="ListParagraph"/>
        <w:spacing w:before="0" w:after="0"/>
        <w:ind w:left="0"/>
        <w:jc w:val="both"/>
        <w:rPr>
          <w:color w:val="000000" w:themeColor="text1"/>
        </w:rPr>
      </w:pPr>
    </w:p>
    <w:p w14:paraId="5753655C" w14:textId="77777777" w:rsidR="00E6591F" w:rsidRPr="00734915" w:rsidRDefault="00E6591F" w:rsidP="00FA4264">
      <w:pPr>
        <w:pStyle w:val="ListParagraph"/>
        <w:spacing w:before="0" w:after="0"/>
        <w:ind w:left="1440"/>
        <w:jc w:val="both"/>
        <w:rPr>
          <w:color w:val="000000" w:themeColor="text1"/>
        </w:rPr>
      </w:pPr>
      <w:r w:rsidRPr="00734915">
        <w:rPr>
          <w:color w:val="000000" w:themeColor="text1"/>
        </w:rPr>
        <w:t>The following definitions apply to all policies and procedures adopted in compliance with the Compact.</w:t>
      </w:r>
    </w:p>
    <w:p w14:paraId="3564650C" w14:textId="77777777" w:rsidR="00C678E1" w:rsidRPr="00734915" w:rsidRDefault="00C678E1" w:rsidP="00B872C9">
      <w:pPr>
        <w:pStyle w:val="ListParagraph"/>
        <w:spacing w:before="0" w:after="0"/>
        <w:ind w:left="2160" w:hanging="720"/>
        <w:jc w:val="both"/>
        <w:rPr>
          <w:color w:val="000000" w:themeColor="text1"/>
        </w:rPr>
      </w:pPr>
    </w:p>
    <w:p w14:paraId="6785430A" w14:textId="77777777" w:rsidR="00E6591F" w:rsidRPr="00734915" w:rsidRDefault="00E6591F" w:rsidP="00B872C9">
      <w:pPr>
        <w:pStyle w:val="ListParagraph"/>
        <w:numPr>
          <w:ilvl w:val="0"/>
          <w:numId w:val="2"/>
        </w:numPr>
        <w:spacing w:before="0" w:after="0"/>
        <w:ind w:left="2160"/>
        <w:jc w:val="both"/>
        <w:rPr>
          <w:color w:val="000000" w:themeColor="text1"/>
        </w:rPr>
      </w:pPr>
      <w:r w:rsidRPr="00734915">
        <w:rPr>
          <w:color w:val="000000" w:themeColor="text1"/>
        </w:rPr>
        <w:t xml:space="preserve">Active Duty </w:t>
      </w:r>
    </w:p>
    <w:p w14:paraId="7E69D3FC" w14:textId="77777777" w:rsidR="00C678E1" w:rsidRPr="00734915" w:rsidRDefault="00C678E1" w:rsidP="00B872C9">
      <w:pPr>
        <w:pStyle w:val="ListParagraph"/>
        <w:spacing w:before="0" w:after="0"/>
        <w:ind w:left="2160" w:hanging="720"/>
        <w:jc w:val="both"/>
        <w:rPr>
          <w:color w:val="000000" w:themeColor="text1"/>
        </w:rPr>
      </w:pPr>
    </w:p>
    <w:p w14:paraId="3CF66654" w14:textId="77777777" w:rsidR="00C678E1" w:rsidRPr="00734915" w:rsidRDefault="00BE00B0" w:rsidP="00FA4264">
      <w:pPr>
        <w:pStyle w:val="ListParagraph"/>
        <w:spacing w:before="0" w:after="0"/>
        <w:ind w:left="2160"/>
        <w:jc w:val="both"/>
        <w:rPr>
          <w:color w:val="000000" w:themeColor="text1"/>
        </w:rPr>
      </w:pPr>
      <w:r w:rsidRPr="00734915">
        <w:rPr>
          <w:color w:val="000000" w:themeColor="text1"/>
        </w:rPr>
        <w:t>Active duty is full</w:t>
      </w:r>
      <w:r w:rsidRPr="00734915">
        <w:rPr>
          <w:color w:val="000000" w:themeColor="text1"/>
        </w:rPr>
        <w:noBreakHyphen/>
        <w:t xml:space="preserve">time duty status in the active uniformed service of the United States, including members of the National Guard and Reserve on </w:t>
      </w:r>
      <w:proofErr w:type="gramStart"/>
      <w:r w:rsidRPr="00734915">
        <w:rPr>
          <w:color w:val="000000" w:themeColor="text1"/>
        </w:rPr>
        <w:t>active duty</w:t>
      </w:r>
      <w:proofErr w:type="gramEnd"/>
      <w:r w:rsidRPr="00734915">
        <w:rPr>
          <w:color w:val="000000" w:themeColor="text1"/>
        </w:rPr>
        <w:t xml:space="preserve"> orders pursuant to 10 U.S.C. 12301</w:t>
      </w:r>
      <w:r w:rsidR="00E70EAD" w:rsidRPr="00734915">
        <w:rPr>
          <w:color w:val="000000" w:themeColor="text1"/>
        </w:rPr>
        <w:t xml:space="preserve"> </w:t>
      </w:r>
      <w:r w:rsidR="00E70EAD" w:rsidRPr="00734915">
        <w:rPr>
          <w:i/>
          <w:color w:val="000000" w:themeColor="text1"/>
        </w:rPr>
        <w:t>et seq</w:t>
      </w:r>
      <w:r w:rsidR="00E70EAD" w:rsidRPr="00734915">
        <w:rPr>
          <w:color w:val="000000" w:themeColor="text1"/>
        </w:rPr>
        <w:t>. and 10 U.S.C. 12401</w:t>
      </w:r>
      <w:r w:rsidRPr="00734915">
        <w:rPr>
          <w:color w:val="000000" w:themeColor="text1"/>
        </w:rPr>
        <w:t xml:space="preserve"> </w:t>
      </w:r>
      <w:r w:rsidRPr="00734915">
        <w:rPr>
          <w:i/>
          <w:color w:val="000000" w:themeColor="text1"/>
        </w:rPr>
        <w:t>et seq</w:t>
      </w:r>
      <w:r w:rsidRPr="00734915">
        <w:rPr>
          <w:color w:val="000000" w:themeColor="text1"/>
        </w:rPr>
        <w:t>.</w:t>
      </w:r>
    </w:p>
    <w:p w14:paraId="53C0810D" w14:textId="77777777" w:rsidR="00C678E1" w:rsidRPr="00734915" w:rsidRDefault="00C678E1" w:rsidP="00B872C9">
      <w:pPr>
        <w:pStyle w:val="ListParagraph"/>
        <w:spacing w:before="0" w:after="0"/>
        <w:ind w:left="2160" w:hanging="720"/>
        <w:jc w:val="both"/>
        <w:rPr>
          <w:color w:val="000000" w:themeColor="text1"/>
        </w:rPr>
      </w:pPr>
    </w:p>
    <w:p w14:paraId="1B23B614" w14:textId="77777777" w:rsidR="00E6591F" w:rsidRPr="00734915" w:rsidRDefault="00E6591F" w:rsidP="00B872C9">
      <w:pPr>
        <w:pStyle w:val="ListParagraph"/>
        <w:numPr>
          <w:ilvl w:val="0"/>
          <w:numId w:val="2"/>
        </w:numPr>
        <w:spacing w:before="0" w:after="0"/>
        <w:ind w:left="2160"/>
        <w:jc w:val="both"/>
        <w:rPr>
          <w:color w:val="000000" w:themeColor="text1"/>
        </w:rPr>
      </w:pPr>
      <w:r w:rsidRPr="00734915">
        <w:rPr>
          <w:color w:val="000000" w:themeColor="text1"/>
        </w:rPr>
        <w:t>Children of Military Families</w:t>
      </w:r>
    </w:p>
    <w:p w14:paraId="440CD563" w14:textId="77777777" w:rsidR="00C678E1" w:rsidRPr="00734915" w:rsidRDefault="00C678E1" w:rsidP="00B872C9">
      <w:pPr>
        <w:pStyle w:val="ListParagraph"/>
        <w:spacing w:before="0" w:after="0"/>
        <w:ind w:left="2160" w:hanging="720"/>
        <w:jc w:val="both"/>
        <w:rPr>
          <w:color w:val="000000" w:themeColor="text1"/>
        </w:rPr>
      </w:pPr>
    </w:p>
    <w:p w14:paraId="3B6312AD" w14:textId="77777777" w:rsidR="00C678E1" w:rsidRPr="00734915" w:rsidRDefault="00BE00B0" w:rsidP="00FA4264">
      <w:pPr>
        <w:pStyle w:val="ListParagraph"/>
        <w:spacing w:before="0" w:after="0"/>
        <w:ind w:left="2160"/>
        <w:jc w:val="both"/>
        <w:rPr>
          <w:color w:val="000000" w:themeColor="text1"/>
        </w:rPr>
      </w:pPr>
      <w:r w:rsidRPr="00734915">
        <w:rPr>
          <w:color w:val="000000" w:themeColor="text1"/>
        </w:rPr>
        <w:lastRenderedPageBreak/>
        <w:t>Children of military families are school</w:t>
      </w:r>
      <w:r w:rsidRPr="00734915">
        <w:rPr>
          <w:color w:val="000000" w:themeColor="text1"/>
        </w:rPr>
        <w:noBreakHyphen/>
        <w:t xml:space="preserve">aged children, enrolled in kindergarten through twelfth grade, in the household of an </w:t>
      </w:r>
      <w:proofErr w:type="gramStart"/>
      <w:r w:rsidRPr="00734915">
        <w:rPr>
          <w:color w:val="000000" w:themeColor="text1"/>
        </w:rPr>
        <w:t>active duty</w:t>
      </w:r>
      <w:proofErr w:type="gramEnd"/>
      <w:r w:rsidRPr="00734915">
        <w:rPr>
          <w:color w:val="000000" w:themeColor="text1"/>
        </w:rPr>
        <w:t xml:space="preserve"> member.</w:t>
      </w:r>
    </w:p>
    <w:p w14:paraId="62D05D46" w14:textId="77777777" w:rsidR="00C678E1" w:rsidRPr="00734915" w:rsidRDefault="00C678E1" w:rsidP="00B872C9">
      <w:pPr>
        <w:pStyle w:val="ListParagraph"/>
        <w:spacing w:before="0" w:after="0"/>
        <w:ind w:left="2160" w:hanging="720"/>
        <w:jc w:val="both"/>
        <w:rPr>
          <w:color w:val="000000" w:themeColor="text1"/>
        </w:rPr>
      </w:pPr>
    </w:p>
    <w:p w14:paraId="6E972BE1" w14:textId="77777777" w:rsidR="00E6591F" w:rsidRPr="00734915" w:rsidRDefault="00E6591F" w:rsidP="00B872C9">
      <w:pPr>
        <w:pStyle w:val="ListParagraph"/>
        <w:numPr>
          <w:ilvl w:val="0"/>
          <w:numId w:val="2"/>
        </w:numPr>
        <w:spacing w:before="0" w:after="0"/>
        <w:ind w:left="2160"/>
        <w:jc w:val="both"/>
        <w:rPr>
          <w:color w:val="000000" w:themeColor="text1"/>
        </w:rPr>
      </w:pPr>
      <w:r w:rsidRPr="00734915">
        <w:rPr>
          <w:color w:val="000000" w:themeColor="text1"/>
        </w:rPr>
        <w:t>Deployment</w:t>
      </w:r>
    </w:p>
    <w:p w14:paraId="387B54B2" w14:textId="77777777" w:rsidR="00C678E1" w:rsidRPr="00734915" w:rsidRDefault="00C678E1" w:rsidP="00063DF8">
      <w:pPr>
        <w:jc w:val="both"/>
        <w:rPr>
          <w:color w:val="000000" w:themeColor="text1"/>
        </w:rPr>
      </w:pPr>
    </w:p>
    <w:p w14:paraId="6E6CF12D" w14:textId="77777777" w:rsidR="00C678E1" w:rsidRPr="00734915" w:rsidRDefault="00BE00B0" w:rsidP="00B872C9">
      <w:pPr>
        <w:pStyle w:val="ListParagraph"/>
        <w:spacing w:before="0" w:after="0"/>
        <w:ind w:left="2160"/>
        <w:jc w:val="both"/>
        <w:rPr>
          <w:color w:val="000000" w:themeColor="text1"/>
        </w:rPr>
      </w:pPr>
      <w:r w:rsidRPr="00734915">
        <w:rPr>
          <w:color w:val="000000" w:themeColor="text1"/>
        </w:rPr>
        <w:t>Deployment is the period one month prior to the service members</w:t>
      </w:r>
      <w:r w:rsidR="001E211F" w:rsidRPr="00734915">
        <w:rPr>
          <w:color w:val="000000" w:themeColor="text1"/>
        </w:rPr>
        <w:t xml:space="preserve">’ </w:t>
      </w:r>
      <w:r w:rsidRPr="00734915">
        <w:rPr>
          <w:color w:val="000000" w:themeColor="text1"/>
        </w:rPr>
        <w:t>departure from their home station on military orders though six months after their return to their home station.</w:t>
      </w:r>
    </w:p>
    <w:p w14:paraId="646D343F" w14:textId="77777777" w:rsidR="00C678E1" w:rsidRPr="00734915" w:rsidRDefault="00C678E1" w:rsidP="00B872C9">
      <w:pPr>
        <w:pStyle w:val="ListParagraph"/>
        <w:spacing w:before="0" w:after="0"/>
        <w:ind w:left="2160"/>
        <w:jc w:val="both"/>
        <w:rPr>
          <w:color w:val="000000" w:themeColor="text1"/>
        </w:rPr>
      </w:pPr>
    </w:p>
    <w:p w14:paraId="4C7A3A1D" w14:textId="77777777" w:rsidR="00E6591F" w:rsidRPr="00734915" w:rsidRDefault="00E6591F" w:rsidP="00FA4264">
      <w:pPr>
        <w:pStyle w:val="ListParagraph"/>
        <w:numPr>
          <w:ilvl w:val="0"/>
          <w:numId w:val="2"/>
        </w:numPr>
        <w:spacing w:before="0" w:after="0"/>
        <w:ind w:firstLine="0"/>
        <w:jc w:val="both"/>
        <w:rPr>
          <w:color w:val="000000" w:themeColor="text1"/>
        </w:rPr>
      </w:pPr>
      <w:r w:rsidRPr="00734915">
        <w:rPr>
          <w:color w:val="000000" w:themeColor="text1"/>
        </w:rPr>
        <w:t>Education Records</w:t>
      </w:r>
    </w:p>
    <w:p w14:paraId="08145397" w14:textId="77777777" w:rsidR="00C678E1" w:rsidRPr="00734915" w:rsidRDefault="00C678E1" w:rsidP="00B872C9">
      <w:pPr>
        <w:pStyle w:val="ListParagraph"/>
        <w:spacing w:before="0" w:after="0"/>
        <w:ind w:left="2160"/>
        <w:jc w:val="both"/>
        <w:rPr>
          <w:color w:val="000000" w:themeColor="text1"/>
        </w:rPr>
      </w:pPr>
    </w:p>
    <w:p w14:paraId="0ED76E4C" w14:textId="77777777" w:rsidR="00C678E1" w:rsidRPr="00734915" w:rsidRDefault="00BE00B0" w:rsidP="00B872C9">
      <w:pPr>
        <w:pStyle w:val="ListParagraph"/>
        <w:spacing w:before="0" w:after="0"/>
        <w:ind w:left="2160"/>
        <w:jc w:val="both"/>
        <w:rPr>
          <w:color w:val="000000" w:themeColor="text1"/>
        </w:rPr>
      </w:pPr>
      <w:r w:rsidRPr="00734915">
        <w:rPr>
          <w:color w:val="000000" w:themeColor="text1"/>
        </w:rPr>
        <w:t xml:space="preserve">Education </w:t>
      </w:r>
      <w:r w:rsidR="00584415" w:rsidRPr="00734915">
        <w:rPr>
          <w:color w:val="000000" w:themeColor="text1"/>
        </w:rPr>
        <w:t>r</w:t>
      </w:r>
      <w:r w:rsidRPr="00734915">
        <w:rPr>
          <w:color w:val="000000" w:themeColor="text1"/>
        </w:rPr>
        <w:t xml:space="preserve">ecords are those official records, files and data directly related to a </w:t>
      </w:r>
      <w:r w:rsidR="004D59AB" w:rsidRPr="00734915">
        <w:rPr>
          <w:color w:val="000000" w:themeColor="text1"/>
        </w:rPr>
        <w:t>scholar</w:t>
      </w:r>
      <w:r w:rsidRPr="00734915">
        <w:rPr>
          <w:color w:val="000000" w:themeColor="text1"/>
        </w:rPr>
        <w:t xml:space="preserve"> and maintained by the school or school, including but not limited to records encompassing all the material kept in the </w:t>
      </w:r>
      <w:r w:rsidR="004D59AB" w:rsidRPr="00734915">
        <w:rPr>
          <w:color w:val="000000" w:themeColor="text1"/>
        </w:rPr>
        <w:t>scholar</w:t>
      </w:r>
      <w:r w:rsidR="001E211F" w:rsidRPr="00734915">
        <w:rPr>
          <w:color w:val="000000" w:themeColor="text1"/>
        </w:rPr>
        <w:t>’</w:t>
      </w:r>
      <w:r w:rsidRPr="00734915">
        <w:rPr>
          <w:color w:val="000000" w:themeColor="text1"/>
        </w:rPr>
        <w:t>s cumulative folder, such as general identifying data, records of attendance and of academic work completed, records of achievement and results of evaluative tests, health data, disciplinary status, test protocols</w:t>
      </w:r>
      <w:r w:rsidR="00DF0ED5" w:rsidRPr="00734915">
        <w:rPr>
          <w:color w:val="000000" w:themeColor="text1"/>
        </w:rPr>
        <w:t>,</w:t>
      </w:r>
      <w:r w:rsidRPr="00734915">
        <w:rPr>
          <w:color w:val="000000" w:themeColor="text1"/>
        </w:rPr>
        <w:t xml:space="preserve"> and individualized education programs.</w:t>
      </w:r>
    </w:p>
    <w:p w14:paraId="79AF140D" w14:textId="77777777" w:rsidR="00C678E1" w:rsidRPr="00734915" w:rsidRDefault="00C678E1" w:rsidP="00B872C9">
      <w:pPr>
        <w:pStyle w:val="ListParagraph"/>
        <w:spacing w:before="0" w:after="0"/>
        <w:ind w:left="2160"/>
        <w:jc w:val="both"/>
        <w:rPr>
          <w:color w:val="000000" w:themeColor="text1"/>
        </w:rPr>
      </w:pPr>
    </w:p>
    <w:p w14:paraId="4CA12AA3" w14:textId="77777777" w:rsidR="00E6591F" w:rsidRPr="00734915" w:rsidRDefault="00E6591F" w:rsidP="00FA4264">
      <w:pPr>
        <w:pStyle w:val="ListParagraph"/>
        <w:numPr>
          <w:ilvl w:val="0"/>
          <w:numId w:val="2"/>
        </w:numPr>
        <w:spacing w:before="0" w:after="0"/>
        <w:ind w:firstLine="0"/>
        <w:jc w:val="both"/>
        <w:rPr>
          <w:color w:val="000000" w:themeColor="text1"/>
        </w:rPr>
      </w:pPr>
      <w:r w:rsidRPr="00734915">
        <w:rPr>
          <w:color w:val="000000" w:themeColor="text1"/>
        </w:rPr>
        <w:t>Extracurricular Activities</w:t>
      </w:r>
    </w:p>
    <w:p w14:paraId="5DED890D" w14:textId="77777777" w:rsidR="00C678E1" w:rsidRPr="00734915" w:rsidRDefault="00C678E1" w:rsidP="00B872C9">
      <w:pPr>
        <w:pStyle w:val="ListParagraph"/>
        <w:spacing w:before="0" w:after="0"/>
        <w:ind w:left="2160"/>
        <w:jc w:val="both"/>
        <w:rPr>
          <w:color w:val="000000" w:themeColor="text1"/>
        </w:rPr>
      </w:pPr>
    </w:p>
    <w:p w14:paraId="7CAFAFC1" w14:textId="77777777" w:rsidR="00C678E1" w:rsidRPr="00734915" w:rsidRDefault="00BE00B0" w:rsidP="00B872C9">
      <w:pPr>
        <w:pStyle w:val="ListParagraph"/>
        <w:spacing w:before="0" w:after="0"/>
        <w:ind w:left="2160"/>
        <w:jc w:val="both"/>
        <w:rPr>
          <w:color w:val="000000" w:themeColor="text1"/>
        </w:rPr>
      </w:pPr>
      <w:r w:rsidRPr="00734915">
        <w:rPr>
          <w:color w:val="000000" w:themeColor="text1"/>
        </w:rPr>
        <w:t>Extracurricular activities are voluntary activities sponsored by the school or an organization sanctioned by the school.  Extracurricular activities include, but are not limited to, preparation for and involvement in public performances, contests, athletic competitions, demonstrations, displays</w:t>
      </w:r>
      <w:r w:rsidR="00D907AD" w:rsidRPr="00734915">
        <w:rPr>
          <w:color w:val="000000" w:themeColor="text1"/>
        </w:rPr>
        <w:t>,</w:t>
      </w:r>
      <w:r w:rsidRPr="00734915">
        <w:rPr>
          <w:color w:val="000000" w:themeColor="text1"/>
        </w:rPr>
        <w:t xml:space="preserve"> and club activities.</w:t>
      </w:r>
    </w:p>
    <w:p w14:paraId="7AF67EDD" w14:textId="77777777" w:rsidR="00C678E1" w:rsidRPr="00734915" w:rsidRDefault="00C678E1" w:rsidP="00B872C9">
      <w:pPr>
        <w:pStyle w:val="ListParagraph"/>
        <w:spacing w:before="0" w:after="0"/>
        <w:ind w:left="2160"/>
        <w:jc w:val="both"/>
        <w:rPr>
          <w:color w:val="000000" w:themeColor="text1"/>
        </w:rPr>
      </w:pPr>
    </w:p>
    <w:p w14:paraId="5D6DD8F2" w14:textId="77777777" w:rsidR="00E6591F" w:rsidRPr="00734915" w:rsidRDefault="00E6591F" w:rsidP="00FA4264">
      <w:pPr>
        <w:pStyle w:val="ListParagraph"/>
        <w:numPr>
          <w:ilvl w:val="0"/>
          <w:numId w:val="2"/>
        </w:numPr>
        <w:spacing w:before="0" w:after="0"/>
        <w:ind w:firstLine="0"/>
        <w:jc w:val="both"/>
        <w:rPr>
          <w:color w:val="000000" w:themeColor="text1"/>
        </w:rPr>
      </w:pPr>
      <w:r w:rsidRPr="00734915">
        <w:rPr>
          <w:color w:val="000000" w:themeColor="text1"/>
        </w:rPr>
        <w:t xml:space="preserve">Member </w:t>
      </w:r>
      <w:r w:rsidR="00C678E1" w:rsidRPr="00734915">
        <w:rPr>
          <w:color w:val="000000" w:themeColor="text1"/>
        </w:rPr>
        <w:t>S</w:t>
      </w:r>
      <w:r w:rsidRPr="00734915">
        <w:rPr>
          <w:color w:val="000000" w:themeColor="text1"/>
        </w:rPr>
        <w:t>tate</w:t>
      </w:r>
    </w:p>
    <w:p w14:paraId="5A28B512" w14:textId="77777777" w:rsidR="00C678E1" w:rsidRPr="00734915" w:rsidRDefault="00C678E1" w:rsidP="00B872C9">
      <w:pPr>
        <w:pStyle w:val="ListParagraph"/>
        <w:spacing w:before="0" w:after="0"/>
        <w:ind w:left="2160"/>
        <w:jc w:val="both"/>
        <w:rPr>
          <w:color w:val="000000" w:themeColor="text1"/>
        </w:rPr>
      </w:pPr>
    </w:p>
    <w:p w14:paraId="66B768BA" w14:textId="77777777" w:rsidR="00C678E1" w:rsidRPr="00734915" w:rsidRDefault="008C2C2E" w:rsidP="00B872C9">
      <w:pPr>
        <w:pStyle w:val="ListParagraph"/>
        <w:spacing w:before="0" w:after="0"/>
        <w:ind w:left="2160"/>
        <w:jc w:val="both"/>
        <w:rPr>
          <w:color w:val="000000" w:themeColor="text1"/>
        </w:rPr>
      </w:pPr>
      <w:r w:rsidRPr="00734915">
        <w:rPr>
          <w:color w:val="000000" w:themeColor="text1"/>
        </w:rPr>
        <w:t xml:space="preserve">A member state is a state that has enacted </w:t>
      </w:r>
      <w:r w:rsidR="00400AC6" w:rsidRPr="00734915">
        <w:rPr>
          <w:color w:val="000000" w:themeColor="text1"/>
        </w:rPr>
        <w:t>the Compact</w:t>
      </w:r>
      <w:r w:rsidRPr="00734915">
        <w:rPr>
          <w:color w:val="000000" w:themeColor="text1"/>
        </w:rPr>
        <w:t>.</w:t>
      </w:r>
    </w:p>
    <w:p w14:paraId="253984B5" w14:textId="77777777" w:rsidR="00C678E1" w:rsidRPr="00734915" w:rsidRDefault="00C678E1" w:rsidP="00B872C9">
      <w:pPr>
        <w:pStyle w:val="ListParagraph"/>
        <w:spacing w:before="0" w:after="0"/>
        <w:ind w:left="2160"/>
        <w:jc w:val="both"/>
        <w:rPr>
          <w:color w:val="000000" w:themeColor="text1"/>
        </w:rPr>
      </w:pPr>
    </w:p>
    <w:p w14:paraId="2AA4E521" w14:textId="77777777" w:rsidR="00E6591F" w:rsidRPr="00734915" w:rsidRDefault="00E6591F" w:rsidP="00FA4264">
      <w:pPr>
        <w:pStyle w:val="ListParagraph"/>
        <w:numPr>
          <w:ilvl w:val="0"/>
          <w:numId w:val="2"/>
        </w:numPr>
        <w:spacing w:before="0" w:after="0"/>
        <w:ind w:firstLine="0"/>
        <w:jc w:val="both"/>
        <w:rPr>
          <w:color w:val="000000" w:themeColor="text1"/>
        </w:rPr>
      </w:pPr>
      <w:r w:rsidRPr="00734915">
        <w:rPr>
          <w:color w:val="000000" w:themeColor="text1"/>
        </w:rPr>
        <w:t>Non-</w:t>
      </w:r>
      <w:r w:rsidR="00C678E1" w:rsidRPr="00734915">
        <w:rPr>
          <w:color w:val="000000" w:themeColor="text1"/>
        </w:rPr>
        <w:t>M</w:t>
      </w:r>
      <w:r w:rsidRPr="00734915">
        <w:rPr>
          <w:color w:val="000000" w:themeColor="text1"/>
        </w:rPr>
        <w:t xml:space="preserve">ember </w:t>
      </w:r>
      <w:r w:rsidR="00C678E1" w:rsidRPr="00734915">
        <w:rPr>
          <w:color w:val="000000" w:themeColor="text1"/>
        </w:rPr>
        <w:t>S</w:t>
      </w:r>
      <w:r w:rsidRPr="00734915">
        <w:rPr>
          <w:color w:val="000000" w:themeColor="text1"/>
        </w:rPr>
        <w:t>tate</w:t>
      </w:r>
    </w:p>
    <w:p w14:paraId="12F6E082" w14:textId="77777777" w:rsidR="00C678E1" w:rsidRPr="00734915" w:rsidRDefault="00C678E1" w:rsidP="00B872C9">
      <w:pPr>
        <w:pStyle w:val="ListParagraph"/>
        <w:spacing w:before="0" w:after="0"/>
        <w:ind w:left="2160"/>
        <w:jc w:val="both"/>
        <w:rPr>
          <w:color w:val="000000" w:themeColor="text1"/>
        </w:rPr>
      </w:pPr>
    </w:p>
    <w:p w14:paraId="240F9393" w14:textId="77777777" w:rsidR="00C678E1" w:rsidRPr="00734915" w:rsidRDefault="00E90084" w:rsidP="00B872C9">
      <w:pPr>
        <w:pStyle w:val="ListParagraph"/>
        <w:spacing w:before="0" w:after="0"/>
        <w:ind w:left="2160"/>
        <w:jc w:val="both"/>
        <w:rPr>
          <w:color w:val="000000" w:themeColor="text1"/>
        </w:rPr>
      </w:pPr>
      <w:r w:rsidRPr="00734915">
        <w:rPr>
          <w:color w:val="000000" w:themeColor="text1"/>
        </w:rPr>
        <w:t>A non-member state is a state that has not enacted the Compact.</w:t>
      </w:r>
    </w:p>
    <w:p w14:paraId="049D38A9" w14:textId="77777777" w:rsidR="00C678E1" w:rsidRPr="00734915" w:rsidRDefault="00C678E1" w:rsidP="00B872C9">
      <w:pPr>
        <w:pStyle w:val="ListParagraph"/>
        <w:spacing w:before="0" w:after="0"/>
        <w:ind w:left="2160"/>
        <w:jc w:val="both"/>
        <w:rPr>
          <w:color w:val="000000" w:themeColor="text1"/>
        </w:rPr>
      </w:pPr>
    </w:p>
    <w:p w14:paraId="1E935F19" w14:textId="77777777" w:rsidR="00E6591F" w:rsidRPr="00734915" w:rsidRDefault="00E6591F" w:rsidP="00FA4264">
      <w:pPr>
        <w:pStyle w:val="ListParagraph"/>
        <w:numPr>
          <w:ilvl w:val="0"/>
          <w:numId w:val="2"/>
        </w:numPr>
        <w:spacing w:before="0" w:after="0"/>
        <w:ind w:firstLine="0"/>
        <w:jc w:val="both"/>
        <w:rPr>
          <w:color w:val="000000" w:themeColor="text1"/>
        </w:rPr>
      </w:pPr>
      <w:r w:rsidRPr="00734915">
        <w:rPr>
          <w:color w:val="000000" w:themeColor="text1"/>
        </w:rPr>
        <w:t xml:space="preserve">Receiving </w:t>
      </w:r>
      <w:r w:rsidR="00C678E1" w:rsidRPr="00734915">
        <w:rPr>
          <w:color w:val="000000" w:themeColor="text1"/>
        </w:rPr>
        <w:t>S</w:t>
      </w:r>
      <w:r w:rsidRPr="00734915">
        <w:rPr>
          <w:color w:val="000000" w:themeColor="text1"/>
        </w:rPr>
        <w:t>tate</w:t>
      </w:r>
    </w:p>
    <w:p w14:paraId="16B4024C" w14:textId="77777777" w:rsidR="00C678E1" w:rsidRPr="00734915" w:rsidRDefault="00C678E1" w:rsidP="00B872C9">
      <w:pPr>
        <w:pStyle w:val="ListParagraph"/>
        <w:spacing w:before="0" w:after="0"/>
        <w:ind w:left="2160"/>
        <w:jc w:val="both"/>
        <w:rPr>
          <w:color w:val="000000" w:themeColor="text1"/>
        </w:rPr>
      </w:pPr>
    </w:p>
    <w:p w14:paraId="12C8EAA4" w14:textId="77777777" w:rsidR="00C678E1" w:rsidRPr="00734915" w:rsidRDefault="007F1D5F" w:rsidP="00B872C9">
      <w:pPr>
        <w:pStyle w:val="ListParagraph"/>
        <w:spacing w:before="0" w:after="0"/>
        <w:ind w:left="2160"/>
        <w:jc w:val="both"/>
        <w:rPr>
          <w:color w:val="000000" w:themeColor="text1"/>
        </w:rPr>
      </w:pPr>
      <w:r w:rsidRPr="00734915">
        <w:rPr>
          <w:color w:val="000000" w:themeColor="text1"/>
        </w:rPr>
        <w:t>The receiving state is the state to which a child of a military family is sent, brought, or caused to be sent or brought.</w:t>
      </w:r>
    </w:p>
    <w:p w14:paraId="40DE3E90" w14:textId="77777777" w:rsidR="00C678E1" w:rsidRPr="00734915" w:rsidRDefault="00C678E1" w:rsidP="00B872C9">
      <w:pPr>
        <w:pStyle w:val="ListParagraph"/>
        <w:spacing w:before="0" w:after="0"/>
        <w:ind w:left="2160"/>
        <w:jc w:val="both"/>
        <w:rPr>
          <w:color w:val="000000" w:themeColor="text1"/>
        </w:rPr>
      </w:pPr>
    </w:p>
    <w:p w14:paraId="291301DD" w14:textId="77777777" w:rsidR="00E6591F" w:rsidRPr="00734915" w:rsidRDefault="00E6591F" w:rsidP="00FA4264">
      <w:pPr>
        <w:pStyle w:val="ListParagraph"/>
        <w:numPr>
          <w:ilvl w:val="0"/>
          <w:numId w:val="2"/>
        </w:numPr>
        <w:spacing w:before="0" w:after="0"/>
        <w:ind w:firstLine="0"/>
        <w:jc w:val="both"/>
        <w:rPr>
          <w:color w:val="000000" w:themeColor="text1"/>
        </w:rPr>
      </w:pPr>
      <w:r w:rsidRPr="00734915">
        <w:rPr>
          <w:color w:val="000000" w:themeColor="text1"/>
        </w:rPr>
        <w:t>Rule</w:t>
      </w:r>
    </w:p>
    <w:p w14:paraId="593B562C" w14:textId="77777777" w:rsidR="00C678E1" w:rsidRPr="00734915" w:rsidRDefault="00C678E1" w:rsidP="00B872C9">
      <w:pPr>
        <w:pStyle w:val="ListParagraph"/>
        <w:spacing w:before="0" w:after="0"/>
        <w:ind w:left="2160"/>
        <w:jc w:val="both"/>
        <w:rPr>
          <w:color w:val="000000" w:themeColor="text1"/>
        </w:rPr>
      </w:pPr>
    </w:p>
    <w:p w14:paraId="5465BC7C" w14:textId="77777777" w:rsidR="00C678E1" w:rsidRPr="00734915" w:rsidRDefault="007F1D5F" w:rsidP="00B872C9">
      <w:pPr>
        <w:pStyle w:val="ListParagraph"/>
        <w:spacing w:before="0" w:after="0"/>
        <w:ind w:left="2160"/>
        <w:jc w:val="both"/>
        <w:rPr>
          <w:color w:val="000000" w:themeColor="text1"/>
        </w:rPr>
      </w:pPr>
      <w:r w:rsidRPr="00734915">
        <w:rPr>
          <w:color w:val="000000" w:themeColor="text1"/>
        </w:rPr>
        <w:t>A rule is a written statement by the Interstate Commission promulgated pursuant to Article XII of the Compact that is of general applicability, implements, interprets</w:t>
      </w:r>
      <w:r w:rsidR="005319B3" w:rsidRPr="00734915">
        <w:rPr>
          <w:color w:val="000000" w:themeColor="text1"/>
        </w:rPr>
        <w:t>,</w:t>
      </w:r>
      <w:r w:rsidRPr="00734915">
        <w:rPr>
          <w:color w:val="000000" w:themeColor="text1"/>
        </w:rPr>
        <w:t xml:space="preserve"> or prescribes a policy or provision of the Compact, </w:t>
      </w:r>
      <w:r w:rsidRPr="00734915">
        <w:rPr>
          <w:color w:val="000000" w:themeColor="text1"/>
        </w:rPr>
        <w:lastRenderedPageBreak/>
        <w:t>or an organizational, procedural, or practice requirement of the Interstate Commission, and has the force and effect of rules promulgated under the Administrative Procedures Act as found in Chapter 150B of the North Carolina General Statutes, and includes the amendment, repeal, or suspension of an existing rule.</w:t>
      </w:r>
    </w:p>
    <w:p w14:paraId="5DFCCD77" w14:textId="77777777" w:rsidR="00C678E1" w:rsidRPr="00734915" w:rsidRDefault="00C678E1" w:rsidP="00AA5A01">
      <w:pPr>
        <w:pStyle w:val="ListParagraph"/>
        <w:spacing w:before="0" w:after="0"/>
        <w:jc w:val="both"/>
        <w:rPr>
          <w:color w:val="000000" w:themeColor="text1"/>
        </w:rPr>
      </w:pPr>
    </w:p>
    <w:p w14:paraId="46634810" w14:textId="77777777" w:rsidR="00E6591F" w:rsidRPr="00734915" w:rsidRDefault="00E6591F" w:rsidP="00B872C9">
      <w:pPr>
        <w:pStyle w:val="ListParagraph"/>
        <w:numPr>
          <w:ilvl w:val="0"/>
          <w:numId w:val="2"/>
        </w:numPr>
        <w:tabs>
          <w:tab w:val="clear" w:pos="1440"/>
        </w:tabs>
        <w:spacing w:before="0" w:after="0"/>
        <w:ind w:left="2160"/>
        <w:jc w:val="both"/>
        <w:rPr>
          <w:color w:val="000000" w:themeColor="text1"/>
        </w:rPr>
      </w:pPr>
      <w:r w:rsidRPr="00734915">
        <w:rPr>
          <w:color w:val="000000" w:themeColor="text1"/>
        </w:rPr>
        <w:t xml:space="preserve">Sending </w:t>
      </w:r>
      <w:r w:rsidR="00C678E1" w:rsidRPr="00734915">
        <w:rPr>
          <w:color w:val="000000" w:themeColor="text1"/>
        </w:rPr>
        <w:t>S</w:t>
      </w:r>
      <w:r w:rsidRPr="00734915">
        <w:rPr>
          <w:color w:val="000000" w:themeColor="text1"/>
        </w:rPr>
        <w:t>tate</w:t>
      </w:r>
    </w:p>
    <w:p w14:paraId="69D074FD" w14:textId="77777777" w:rsidR="00C678E1" w:rsidRPr="00734915" w:rsidRDefault="00C678E1" w:rsidP="00B872C9">
      <w:pPr>
        <w:pStyle w:val="ListParagraph"/>
        <w:spacing w:before="0" w:after="0"/>
        <w:ind w:left="2160"/>
        <w:jc w:val="both"/>
        <w:rPr>
          <w:color w:val="000000" w:themeColor="text1"/>
        </w:rPr>
      </w:pPr>
    </w:p>
    <w:p w14:paraId="7D24EC51" w14:textId="77777777" w:rsidR="00C678E1" w:rsidRPr="00734915" w:rsidRDefault="006A6BDB" w:rsidP="00B872C9">
      <w:pPr>
        <w:pStyle w:val="ListParagraph"/>
        <w:spacing w:before="0" w:after="0"/>
        <w:ind w:left="2160"/>
        <w:jc w:val="both"/>
        <w:rPr>
          <w:color w:val="000000" w:themeColor="text1"/>
        </w:rPr>
      </w:pPr>
      <w:r w:rsidRPr="00734915">
        <w:rPr>
          <w:color w:val="000000" w:themeColor="text1"/>
        </w:rPr>
        <w:t>The sending state is the state from which a child of a military family is sent, brought, or caused to be sent or brought.</w:t>
      </w:r>
    </w:p>
    <w:p w14:paraId="0C8ADA89" w14:textId="77777777" w:rsidR="00C678E1" w:rsidRPr="00734915" w:rsidRDefault="00C678E1" w:rsidP="00B872C9">
      <w:pPr>
        <w:pStyle w:val="ListParagraph"/>
        <w:spacing w:before="0" w:after="0"/>
        <w:ind w:left="2160"/>
        <w:jc w:val="both"/>
        <w:rPr>
          <w:color w:val="000000" w:themeColor="text1"/>
        </w:rPr>
      </w:pPr>
    </w:p>
    <w:p w14:paraId="45EE7E07" w14:textId="77777777" w:rsidR="00E6591F" w:rsidRPr="00734915" w:rsidRDefault="004D59AB" w:rsidP="00B872C9">
      <w:pPr>
        <w:pStyle w:val="ListParagraph"/>
        <w:numPr>
          <w:ilvl w:val="0"/>
          <w:numId w:val="2"/>
        </w:numPr>
        <w:tabs>
          <w:tab w:val="clear" w:pos="1440"/>
        </w:tabs>
        <w:spacing w:before="0" w:after="0"/>
        <w:ind w:left="2160"/>
        <w:jc w:val="both"/>
        <w:rPr>
          <w:color w:val="000000" w:themeColor="text1"/>
        </w:rPr>
      </w:pPr>
      <w:r w:rsidRPr="00734915">
        <w:rPr>
          <w:color w:val="000000" w:themeColor="text1"/>
        </w:rPr>
        <w:t>Scholar</w:t>
      </w:r>
    </w:p>
    <w:p w14:paraId="6965BE96" w14:textId="77777777" w:rsidR="00C678E1" w:rsidRPr="00734915" w:rsidRDefault="00C678E1" w:rsidP="00B872C9">
      <w:pPr>
        <w:pStyle w:val="ListParagraph"/>
        <w:spacing w:before="0" w:after="0"/>
        <w:ind w:left="2160"/>
        <w:jc w:val="both"/>
        <w:rPr>
          <w:color w:val="000000" w:themeColor="text1"/>
        </w:rPr>
      </w:pPr>
    </w:p>
    <w:p w14:paraId="7F4D7DD8" w14:textId="77777777" w:rsidR="00C678E1" w:rsidRPr="00734915" w:rsidRDefault="006A6BDB" w:rsidP="00B872C9">
      <w:pPr>
        <w:pStyle w:val="ListParagraph"/>
        <w:spacing w:before="0" w:after="0"/>
        <w:ind w:left="2160"/>
        <w:jc w:val="both"/>
        <w:rPr>
          <w:color w:val="000000" w:themeColor="text1"/>
        </w:rPr>
      </w:pPr>
      <w:r w:rsidRPr="00734915">
        <w:rPr>
          <w:color w:val="000000" w:themeColor="text1"/>
        </w:rPr>
        <w:t xml:space="preserve">The </w:t>
      </w:r>
      <w:r w:rsidR="004D59AB" w:rsidRPr="00734915">
        <w:rPr>
          <w:color w:val="000000" w:themeColor="text1"/>
        </w:rPr>
        <w:t>scholar</w:t>
      </w:r>
      <w:r w:rsidRPr="00734915">
        <w:rPr>
          <w:color w:val="000000" w:themeColor="text1"/>
        </w:rPr>
        <w:t xml:space="preserve"> is the child of a military family for whom the school receives public funding and who is formally enrolled in </w:t>
      </w:r>
      <w:r w:rsidR="00090C0D" w:rsidRPr="00734915">
        <w:rPr>
          <w:color w:val="000000" w:themeColor="text1"/>
        </w:rPr>
        <w:t>the school</w:t>
      </w:r>
      <w:r w:rsidRPr="00734915">
        <w:rPr>
          <w:color w:val="000000" w:themeColor="text1"/>
        </w:rPr>
        <w:t>.</w:t>
      </w:r>
    </w:p>
    <w:p w14:paraId="5AE1C340" w14:textId="77777777" w:rsidR="00C678E1" w:rsidRPr="00734915" w:rsidRDefault="00C678E1" w:rsidP="00B872C9">
      <w:pPr>
        <w:pStyle w:val="ListParagraph"/>
        <w:spacing w:before="0" w:after="0"/>
        <w:ind w:left="2160"/>
        <w:jc w:val="both"/>
        <w:rPr>
          <w:color w:val="000000" w:themeColor="text1"/>
        </w:rPr>
      </w:pPr>
    </w:p>
    <w:p w14:paraId="220C4ACA" w14:textId="77777777" w:rsidR="00E6591F" w:rsidRPr="00734915" w:rsidRDefault="00E6591F" w:rsidP="00B872C9">
      <w:pPr>
        <w:pStyle w:val="ListParagraph"/>
        <w:numPr>
          <w:ilvl w:val="0"/>
          <w:numId w:val="2"/>
        </w:numPr>
        <w:tabs>
          <w:tab w:val="clear" w:pos="1440"/>
        </w:tabs>
        <w:spacing w:before="0" w:after="0"/>
        <w:ind w:left="2160"/>
        <w:jc w:val="both"/>
        <w:rPr>
          <w:color w:val="000000" w:themeColor="text1"/>
        </w:rPr>
      </w:pPr>
      <w:r w:rsidRPr="00734915">
        <w:rPr>
          <w:color w:val="000000" w:themeColor="text1"/>
        </w:rPr>
        <w:t>Transition</w:t>
      </w:r>
    </w:p>
    <w:p w14:paraId="4C9DE75F" w14:textId="77777777" w:rsidR="00C678E1" w:rsidRPr="00734915" w:rsidRDefault="00C678E1" w:rsidP="00B872C9">
      <w:pPr>
        <w:pStyle w:val="ListParagraph"/>
        <w:spacing w:before="0" w:after="0"/>
        <w:ind w:left="2160"/>
        <w:jc w:val="both"/>
        <w:rPr>
          <w:color w:val="000000" w:themeColor="text1"/>
        </w:rPr>
      </w:pPr>
    </w:p>
    <w:p w14:paraId="60C205FF" w14:textId="77777777" w:rsidR="00C678E1" w:rsidRPr="00734915" w:rsidRDefault="006A6BDB" w:rsidP="00B872C9">
      <w:pPr>
        <w:pStyle w:val="ListParagraph"/>
        <w:spacing w:before="0" w:after="0"/>
        <w:ind w:left="2160"/>
        <w:jc w:val="both"/>
        <w:rPr>
          <w:color w:val="000000" w:themeColor="text1"/>
        </w:rPr>
      </w:pPr>
      <w:r w:rsidRPr="00734915">
        <w:rPr>
          <w:color w:val="000000" w:themeColor="text1"/>
        </w:rPr>
        <w:t xml:space="preserve">The transition is (1) the formal and physical process of transferring from school to school or (2) the </w:t>
      </w:r>
      <w:proofErr w:type="gramStart"/>
      <w:r w:rsidRPr="00734915">
        <w:rPr>
          <w:color w:val="000000" w:themeColor="text1"/>
        </w:rPr>
        <w:t>period of time</w:t>
      </w:r>
      <w:proofErr w:type="gramEnd"/>
      <w:r w:rsidRPr="00734915">
        <w:rPr>
          <w:color w:val="000000" w:themeColor="text1"/>
        </w:rPr>
        <w:t xml:space="preserve"> in which a </w:t>
      </w:r>
      <w:r w:rsidR="004D59AB" w:rsidRPr="00734915">
        <w:rPr>
          <w:color w:val="000000" w:themeColor="text1"/>
        </w:rPr>
        <w:t>scholar</w:t>
      </w:r>
      <w:r w:rsidRPr="00734915">
        <w:rPr>
          <w:color w:val="000000" w:themeColor="text1"/>
        </w:rPr>
        <w:t xml:space="preserve"> moves from one school in the sending state to another school in the receiving state.</w:t>
      </w:r>
    </w:p>
    <w:p w14:paraId="0E6CE35A" w14:textId="77777777" w:rsidR="00C678E1" w:rsidRPr="00734915" w:rsidRDefault="00C678E1" w:rsidP="00B872C9">
      <w:pPr>
        <w:pStyle w:val="ListParagraph"/>
        <w:spacing w:before="0" w:after="0"/>
        <w:ind w:left="2160"/>
        <w:jc w:val="both"/>
        <w:rPr>
          <w:color w:val="000000" w:themeColor="text1"/>
        </w:rPr>
      </w:pPr>
    </w:p>
    <w:p w14:paraId="025AB3C3" w14:textId="77777777" w:rsidR="00E6591F" w:rsidRPr="00734915" w:rsidRDefault="00E6591F" w:rsidP="00B872C9">
      <w:pPr>
        <w:pStyle w:val="ListParagraph"/>
        <w:numPr>
          <w:ilvl w:val="0"/>
          <w:numId w:val="2"/>
        </w:numPr>
        <w:tabs>
          <w:tab w:val="clear" w:pos="1440"/>
        </w:tabs>
        <w:spacing w:before="0" w:after="0"/>
        <w:ind w:left="2160"/>
        <w:jc w:val="both"/>
        <w:rPr>
          <w:color w:val="000000" w:themeColor="text1"/>
        </w:rPr>
      </w:pPr>
      <w:r w:rsidRPr="00734915">
        <w:rPr>
          <w:color w:val="000000" w:themeColor="text1"/>
        </w:rPr>
        <w:t>Uniformed Services</w:t>
      </w:r>
    </w:p>
    <w:p w14:paraId="6CAEFEED" w14:textId="77777777" w:rsidR="00C678E1" w:rsidRPr="00734915" w:rsidRDefault="00C678E1" w:rsidP="00B872C9">
      <w:pPr>
        <w:pStyle w:val="ListParagraph"/>
        <w:spacing w:before="0" w:after="0"/>
        <w:ind w:left="2160"/>
        <w:jc w:val="both"/>
        <w:rPr>
          <w:color w:val="000000" w:themeColor="text1"/>
        </w:rPr>
      </w:pPr>
    </w:p>
    <w:p w14:paraId="1076C80F" w14:textId="77777777" w:rsidR="00C678E1" w:rsidRPr="00734915" w:rsidRDefault="006A6BDB" w:rsidP="00B872C9">
      <w:pPr>
        <w:pStyle w:val="ListParagraph"/>
        <w:spacing w:before="0" w:after="0"/>
        <w:ind w:left="2160"/>
        <w:jc w:val="both"/>
        <w:rPr>
          <w:color w:val="000000" w:themeColor="text1"/>
        </w:rPr>
      </w:pPr>
      <w:r w:rsidRPr="00734915">
        <w:rPr>
          <w:color w:val="000000" w:themeColor="text1"/>
        </w:rPr>
        <w:t>The uniformed services are the Army, Navy, Air Force, Marine Corps, and Coast Guard, as well as the Commissioned Corps of the National Oceanic and Atmospheric Administration and the Public Health Services.</w:t>
      </w:r>
    </w:p>
    <w:p w14:paraId="37E59887" w14:textId="77777777" w:rsidR="00C678E1" w:rsidRPr="00734915" w:rsidRDefault="00C678E1" w:rsidP="00B872C9">
      <w:pPr>
        <w:pStyle w:val="ListParagraph"/>
        <w:spacing w:before="0" w:after="0"/>
        <w:ind w:left="2160"/>
        <w:jc w:val="both"/>
        <w:rPr>
          <w:color w:val="000000" w:themeColor="text1"/>
        </w:rPr>
      </w:pPr>
    </w:p>
    <w:p w14:paraId="7E194BE8" w14:textId="77777777" w:rsidR="00E6591F" w:rsidRPr="00734915" w:rsidRDefault="00E6591F" w:rsidP="00B872C9">
      <w:pPr>
        <w:pStyle w:val="ListParagraph"/>
        <w:numPr>
          <w:ilvl w:val="0"/>
          <w:numId w:val="2"/>
        </w:numPr>
        <w:tabs>
          <w:tab w:val="clear" w:pos="1440"/>
        </w:tabs>
        <w:spacing w:before="0" w:after="0"/>
        <w:ind w:left="2160"/>
        <w:jc w:val="both"/>
        <w:rPr>
          <w:color w:val="000000" w:themeColor="text1"/>
        </w:rPr>
      </w:pPr>
      <w:r w:rsidRPr="00734915">
        <w:rPr>
          <w:color w:val="000000" w:themeColor="text1"/>
        </w:rPr>
        <w:t>Veteran</w:t>
      </w:r>
    </w:p>
    <w:p w14:paraId="2B81ED75" w14:textId="77777777" w:rsidR="00C678E1" w:rsidRPr="00734915" w:rsidRDefault="00C678E1" w:rsidP="00B872C9">
      <w:pPr>
        <w:pStyle w:val="ListParagraph"/>
        <w:spacing w:before="0" w:after="0"/>
        <w:ind w:left="2160"/>
        <w:jc w:val="both"/>
        <w:rPr>
          <w:color w:val="000000" w:themeColor="text1"/>
        </w:rPr>
      </w:pPr>
    </w:p>
    <w:p w14:paraId="327F63D1" w14:textId="77777777" w:rsidR="00C678E1" w:rsidRPr="00734915" w:rsidRDefault="006A6BDB" w:rsidP="00B872C9">
      <w:pPr>
        <w:pStyle w:val="ListParagraph"/>
        <w:spacing w:before="0" w:after="0"/>
        <w:ind w:left="2160"/>
        <w:jc w:val="both"/>
        <w:rPr>
          <w:color w:val="000000" w:themeColor="text1"/>
        </w:rPr>
      </w:pPr>
      <w:r w:rsidRPr="00734915">
        <w:rPr>
          <w:color w:val="000000" w:themeColor="text1"/>
        </w:rPr>
        <w:t>A veteran is a person who served in the uniformed services and who w</w:t>
      </w:r>
      <w:r w:rsidR="00C23487" w:rsidRPr="00734915">
        <w:rPr>
          <w:color w:val="000000" w:themeColor="text1"/>
        </w:rPr>
        <w:t>as discharged or released there</w:t>
      </w:r>
      <w:r w:rsidRPr="00734915">
        <w:rPr>
          <w:color w:val="000000" w:themeColor="text1"/>
        </w:rPr>
        <w:t>from under conditions other than dishonorable.</w:t>
      </w:r>
    </w:p>
    <w:p w14:paraId="5C25193F" w14:textId="77777777" w:rsidR="00D907AD" w:rsidRPr="00734915" w:rsidRDefault="00D907AD" w:rsidP="00AA5A01">
      <w:pPr>
        <w:pStyle w:val="ListParagraph"/>
        <w:spacing w:before="0" w:after="0"/>
        <w:jc w:val="both"/>
        <w:rPr>
          <w:b/>
          <w:smallCaps/>
          <w:color w:val="000000" w:themeColor="text1"/>
        </w:rPr>
      </w:pPr>
    </w:p>
    <w:p w14:paraId="16467B4D" w14:textId="77777777" w:rsidR="00C678E1" w:rsidRPr="00734915" w:rsidRDefault="00AA5A01" w:rsidP="00FA4264">
      <w:pPr>
        <w:pStyle w:val="ListParagraph"/>
        <w:numPr>
          <w:ilvl w:val="0"/>
          <w:numId w:val="1"/>
        </w:numPr>
        <w:tabs>
          <w:tab w:val="clear" w:pos="720"/>
        </w:tabs>
        <w:spacing w:before="0" w:after="0"/>
        <w:ind w:left="1440"/>
        <w:jc w:val="both"/>
        <w:rPr>
          <w:color w:val="000000" w:themeColor="text1"/>
        </w:rPr>
      </w:pPr>
      <w:r w:rsidRPr="00734915">
        <w:rPr>
          <w:color w:val="000000" w:themeColor="text1"/>
        </w:rPr>
        <w:t>Those to Whom</w:t>
      </w:r>
      <w:r w:rsidR="00C678E1" w:rsidRPr="00734915">
        <w:rPr>
          <w:color w:val="000000" w:themeColor="text1"/>
        </w:rPr>
        <w:t xml:space="preserve"> Adopted Policies and Procedures</w:t>
      </w:r>
      <w:r w:rsidRPr="00734915">
        <w:rPr>
          <w:color w:val="000000" w:themeColor="text1"/>
        </w:rPr>
        <w:t xml:space="preserve"> Apply</w:t>
      </w:r>
    </w:p>
    <w:p w14:paraId="28F504A7" w14:textId="77777777" w:rsidR="00C678E1" w:rsidRPr="00734915" w:rsidRDefault="00C678E1" w:rsidP="00AA5A01">
      <w:pPr>
        <w:pStyle w:val="ListParagraph"/>
        <w:spacing w:before="0" w:after="0"/>
        <w:ind w:left="0"/>
        <w:jc w:val="both"/>
        <w:rPr>
          <w:color w:val="000000" w:themeColor="text1"/>
        </w:rPr>
      </w:pPr>
    </w:p>
    <w:p w14:paraId="5AC03FAD" w14:textId="77777777" w:rsidR="00E6591F" w:rsidRPr="00734915" w:rsidRDefault="00E6591F" w:rsidP="00FA4264">
      <w:pPr>
        <w:pStyle w:val="ListParagraph"/>
        <w:spacing w:before="0" w:after="0"/>
        <w:ind w:left="1440"/>
        <w:jc w:val="both"/>
        <w:rPr>
          <w:color w:val="000000" w:themeColor="text1"/>
        </w:rPr>
      </w:pPr>
      <w:r w:rsidRPr="00734915">
        <w:rPr>
          <w:color w:val="000000" w:themeColor="text1"/>
        </w:rPr>
        <w:t>Policies and procedures that are adopted to comply with the C</w:t>
      </w:r>
      <w:r w:rsidR="00C23487" w:rsidRPr="00734915">
        <w:rPr>
          <w:color w:val="000000" w:themeColor="text1"/>
        </w:rPr>
        <w:t>ompact apply to the children of:</w:t>
      </w:r>
    </w:p>
    <w:p w14:paraId="1C57B4DA" w14:textId="77777777" w:rsidR="00C678E1" w:rsidRPr="00734915" w:rsidRDefault="00C678E1" w:rsidP="00AA5A01">
      <w:pPr>
        <w:pStyle w:val="ListParagraph"/>
        <w:spacing w:before="0" w:after="0"/>
        <w:ind w:left="0"/>
        <w:jc w:val="both"/>
        <w:rPr>
          <w:color w:val="000000" w:themeColor="text1"/>
        </w:rPr>
      </w:pPr>
    </w:p>
    <w:p w14:paraId="6BC1E356" w14:textId="77777777" w:rsidR="00E6591F" w:rsidRPr="00734915" w:rsidRDefault="00522238" w:rsidP="00FA4264">
      <w:pPr>
        <w:pStyle w:val="ListParagraph"/>
        <w:numPr>
          <w:ilvl w:val="0"/>
          <w:numId w:val="3"/>
        </w:numPr>
        <w:tabs>
          <w:tab w:val="clear" w:pos="1440"/>
        </w:tabs>
        <w:spacing w:before="0" w:after="0"/>
        <w:ind w:left="2160"/>
        <w:jc w:val="both"/>
        <w:rPr>
          <w:color w:val="000000" w:themeColor="text1"/>
        </w:rPr>
      </w:pPr>
      <w:proofErr w:type="gramStart"/>
      <w:r w:rsidRPr="00734915">
        <w:rPr>
          <w:color w:val="000000" w:themeColor="text1"/>
        </w:rPr>
        <w:t>a</w:t>
      </w:r>
      <w:r w:rsidR="00E6591F" w:rsidRPr="00734915">
        <w:rPr>
          <w:color w:val="000000" w:themeColor="text1"/>
        </w:rPr>
        <w:t>ctive duty</w:t>
      </w:r>
      <w:proofErr w:type="gramEnd"/>
      <w:r w:rsidR="006A6BDB" w:rsidRPr="00734915">
        <w:rPr>
          <w:color w:val="000000" w:themeColor="text1"/>
        </w:rPr>
        <w:t xml:space="preserve"> members of the uniformed services as defined in </w:t>
      </w:r>
      <w:r w:rsidR="001E1F92" w:rsidRPr="00734915">
        <w:rPr>
          <w:color w:val="000000" w:themeColor="text1"/>
        </w:rPr>
        <w:t>S</w:t>
      </w:r>
      <w:r w:rsidR="006A6BDB" w:rsidRPr="00734915">
        <w:rPr>
          <w:color w:val="000000" w:themeColor="text1"/>
        </w:rPr>
        <w:t>ection A of this policy, including members of the National Guard and Reserve on active duty ord</w:t>
      </w:r>
      <w:r w:rsidR="00E70EAD" w:rsidRPr="00734915">
        <w:rPr>
          <w:color w:val="000000" w:themeColor="text1"/>
        </w:rPr>
        <w:t>ers pursuant to 10 U.S.C. 12301</w:t>
      </w:r>
      <w:r w:rsidR="006A6BDB" w:rsidRPr="00734915">
        <w:rPr>
          <w:color w:val="000000" w:themeColor="text1"/>
        </w:rPr>
        <w:t xml:space="preserve"> </w:t>
      </w:r>
      <w:r w:rsidR="006A6BDB" w:rsidRPr="00734915">
        <w:rPr>
          <w:i/>
          <w:color w:val="000000" w:themeColor="text1"/>
        </w:rPr>
        <w:t>et seq</w:t>
      </w:r>
      <w:r w:rsidR="006A6BDB" w:rsidRPr="00734915">
        <w:rPr>
          <w:color w:val="000000" w:themeColor="text1"/>
        </w:rPr>
        <w:t>. and</w:t>
      </w:r>
      <w:r w:rsidR="00E70EAD" w:rsidRPr="00734915">
        <w:rPr>
          <w:color w:val="000000" w:themeColor="text1"/>
        </w:rPr>
        <w:t xml:space="preserve"> 10 U.S.C. 12401</w:t>
      </w:r>
      <w:r w:rsidR="006A6BDB" w:rsidRPr="00734915">
        <w:rPr>
          <w:color w:val="000000" w:themeColor="text1"/>
        </w:rPr>
        <w:t xml:space="preserve"> </w:t>
      </w:r>
      <w:r w:rsidR="006A6BDB" w:rsidRPr="00734915">
        <w:rPr>
          <w:i/>
          <w:color w:val="000000" w:themeColor="text1"/>
        </w:rPr>
        <w:t>et seq</w:t>
      </w:r>
      <w:r w:rsidR="006A6BDB" w:rsidRPr="00734915">
        <w:rPr>
          <w:color w:val="000000" w:themeColor="text1"/>
        </w:rPr>
        <w:t>.;</w:t>
      </w:r>
    </w:p>
    <w:p w14:paraId="083B59C6" w14:textId="77777777" w:rsidR="00C678E1" w:rsidRPr="00734915" w:rsidRDefault="00C678E1" w:rsidP="00AA5A01">
      <w:pPr>
        <w:pStyle w:val="ListParagraph"/>
        <w:spacing w:before="0" w:after="0"/>
        <w:jc w:val="both"/>
        <w:rPr>
          <w:color w:val="000000" w:themeColor="text1"/>
        </w:rPr>
      </w:pPr>
    </w:p>
    <w:p w14:paraId="67EFBA66" w14:textId="77777777" w:rsidR="00E6591F" w:rsidRPr="00734915" w:rsidRDefault="00522238" w:rsidP="00FA4264">
      <w:pPr>
        <w:pStyle w:val="ListParagraph"/>
        <w:numPr>
          <w:ilvl w:val="0"/>
          <w:numId w:val="3"/>
        </w:numPr>
        <w:tabs>
          <w:tab w:val="clear" w:pos="1440"/>
        </w:tabs>
        <w:spacing w:before="0" w:after="0"/>
        <w:ind w:left="2160"/>
        <w:jc w:val="both"/>
        <w:rPr>
          <w:color w:val="000000" w:themeColor="text1"/>
        </w:rPr>
      </w:pPr>
      <w:r w:rsidRPr="00734915">
        <w:rPr>
          <w:color w:val="000000" w:themeColor="text1"/>
        </w:rPr>
        <w:t>m</w:t>
      </w:r>
      <w:r w:rsidR="00E6591F" w:rsidRPr="00734915">
        <w:rPr>
          <w:color w:val="000000" w:themeColor="text1"/>
        </w:rPr>
        <w:t>embers or veterans</w:t>
      </w:r>
      <w:r w:rsidR="006A6BDB" w:rsidRPr="00734915">
        <w:rPr>
          <w:color w:val="000000" w:themeColor="text1"/>
        </w:rPr>
        <w:t xml:space="preserve"> of the uniformed services who are severely injured and medically discharged or retired for a period of one year after medical discharge or retirement; and</w:t>
      </w:r>
    </w:p>
    <w:p w14:paraId="72CEC11B" w14:textId="77777777" w:rsidR="00C678E1" w:rsidRPr="00734915" w:rsidRDefault="00C678E1" w:rsidP="00AA5A01">
      <w:pPr>
        <w:pStyle w:val="ListParagraph"/>
        <w:spacing w:before="0" w:after="0"/>
        <w:jc w:val="both"/>
        <w:rPr>
          <w:color w:val="000000" w:themeColor="text1"/>
        </w:rPr>
      </w:pPr>
    </w:p>
    <w:p w14:paraId="00D311CA" w14:textId="77777777" w:rsidR="00E6591F" w:rsidRPr="00734915" w:rsidRDefault="00522238" w:rsidP="00FA4264">
      <w:pPr>
        <w:pStyle w:val="ListParagraph"/>
        <w:numPr>
          <w:ilvl w:val="0"/>
          <w:numId w:val="3"/>
        </w:numPr>
        <w:tabs>
          <w:tab w:val="clear" w:pos="1440"/>
        </w:tabs>
        <w:spacing w:before="0" w:after="0"/>
        <w:ind w:left="2160"/>
        <w:jc w:val="both"/>
        <w:rPr>
          <w:color w:val="000000" w:themeColor="text1"/>
        </w:rPr>
      </w:pPr>
      <w:r w:rsidRPr="00734915">
        <w:rPr>
          <w:color w:val="000000" w:themeColor="text1"/>
        </w:rPr>
        <w:lastRenderedPageBreak/>
        <w:t>m</w:t>
      </w:r>
      <w:r w:rsidR="00E6591F" w:rsidRPr="00734915">
        <w:rPr>
          <w:color w:val="000000" w:themeColor="text1"/>
        </w:rPr>
        <w:t>embers of uniformed services who</w:t>
      </w:r>
      <w:r w:rsidR="006A6BDB" w:rsidRPr="00734915">
        <w:rPr>
          <w:color w:val="000000" w:themeColor="text1"/>
        </w:rPr>
        <w:t xml:space="preserve"> die on active duty or as a result of injuries sustained on active duty for a period of one year after death.</w:t>
      </w:r>
    </w:p>
    <w:p w14:paraId="3C5E11EE" w14:textId="77777777" w:rsidR="00C678E1" w:rsidRPr="00734915" w:rsidRDefault="00C678E1" w:rsidP="00AA5A01">
      <w:pPr>
        <w:pStyle w:val="ListParagraph"/>
        <w:spacing w:before="0" w:after="0"/>
        <w:jc w:val="both"/>
        <w:rPr>
          <w:color w:val="000000" w:themeColor="text1"/>
        </w:rPr>
      </w:pPr>
    </w:p>
    <w:p w14:paraId="7FE29CFE" w14:textId="77777777" w:rsidR="00C678E1" w:rsidRPr="00734915" w:rsidRDefault="00C678E1" w:rsidP="00FA4264">
      <w:pPr>
        <w:pStyle w:val="ListParagraph"/>
        <w:numPr>
          <w:ilvl w:val="0"/>
          <w:numId w:val="1"/>
        </w:numPr>
        <w:tabs>
          <w:tab w:val="clear" w:pos="720"/>
        </w:tabs>
        <w:spacing w:before="0" w:after="0"/>
        <w:ind w:left="1440"/>
        <w:jc w:val="both"/>
        <w:rPr>
          <w:color w:val="000000" w:themeColor="text1"/>
        </w:rPr>
      </w:pPr>
      <w:r w:rsidRPr="00734915">
        <w:rPr>
          <w:color w:val="000000" w:themeColor="text1"/>
        </w:rPr>
        <w:t>Those to Whom Adopted Policies and Procedures Do Not Apply</w:t>
      </w:r>
    </w:p>
    <w:p w14:paraId="33ADB728" w14:textId="77777777" w:rsidR="00C678E1" w:rsidRPr="00734915" w:rsidRDefault="00C678E1" w:rsidP="00AA5A01">
      <w:pPr>
        <w:pStyle w:val="ListParagraph"/>
        <w:spacing w:before="0" w:after="0"/>
        <w:ind w:left="0"/>
        <w:jc w:val="both"/>
        <w:rPr>
          <w:color w:val="000000" w:themeColor="text1"/>
        </w:rPr>
      </w:pPr>
    </w:p>
    <w:p w14:paraId="2A584F2D" w14:textId="77777777" w:rsidR="00E6591F" w:rsidRPr="00734915" w:rsidRDefault="00E6591F" w:rsidP="00FA4264">
      <w:pPr>
        <w:pStyle w:val="ListParagraph"/>
        <w:spacing w:before="0" w:after="0"/>
        <w:ind w:left="1440"/>
        <w:jc w:val="both"/>
        <w:rPr>
          <w:color w:val="000000" w:themeColor="text1"/>
        </w:rPr>
      </w:pPr>
      <w:r w:rsidRPr="00734915">
        <w:rPr>
          <w:color w:val="000000" w:themeColor="text1"/>
        </w:rPr>
        <w:t>The policies and procedures adopted to comply with the Compact do not apply to</w:t>
      </w:r>
      <w:r w:rsidR="006A6BDB" w:rsidRPr="00734915">
        <w:rPr>
          <w:color w:val="000000" w:themeColor="text1"/>
        </w:rPr>
        <w:t xml:space="preserve"> the children of</w:t>
      </w:r>
      <w:r w:rsidRPr="00734915">
        <w:rPr>
          <w:color w:val="000000" w:themeColor="text1"/>
        </w:rPr>
        <w:t>:</w:t>
      </w:r>
    </w:p>
    <w:p w14:paraId="18E23C6E" w14:textId="77777777" w:rsidR="00C678E1" w:rsidRPr="00734915" w:rsidRDefault="00C678E1" w:rsidP="00AA5A01">
      <w:pPr>
        <w:pStyle w:val="ListParagraph"/>
        <w:spacing w:before="0" w:after="0"/>
        <w:jc w:val="both"/>
        <w:rPr>
          <w:color w:val="000000" w:themeColor="text1"/>
        </w:rPr>
      </w:pPr>
    </w:p>
    <w:p w14:paraId="3A34FB96" w14:textId="77777777" w:rsidR="00E6591F" w:rsidRPr="00734915" w:rsidRDefault="00522238" w:rsidP="00B872C9">
      <w:pPr>
        <w:pStyle w:val="ListParagraph"/>
        <w:numPr>
          <w:ilvl w:val="0"/>
          <w:numId w:val="10"/>
        </w:numPr>
        <w:tabs>
          <w:tab w:val="clear" w:pos="1440"/>
        </w:tabs>
        <w:spacing w:before="0" w:after="0"/>
        <w:ind w:left="2160"/>
        <w:jc w:val="both"/>
        <w:rPr>
          <w:color w:val="000000" w:themeColor="text1"/>
        </w:rPr>
      </w:pPr>
      <w:r w:rsidRPr="00734915">
        <w:rPr>
          <w:color w:val="000000" w:themeColor="text1"/>
        </w:rPr>
        <w:t>i</w:t>
      </w:r>
      <w:r w:rsidR="00E6591F" w:rsidRPr="00734915">
        <w:rPr>
          <w:color w:val="000000" w:themeColor="text1"/>
        </w:rPr>
        <w:t>nactive members</w:t>
      </w:r>
      <w:r w:rsidR="006A6BDB" w:rsidRPr="00734915">
        <w:rPr>
          <w:color w:val="000000" w:themeColor="text1"/>
        </w:rPr>
        <w:t xml:space="preserve"> of the National Guard and Military </w:t>
      </w:r>
      <w:proofErr w:type="gramStart"/>
      <w:r w:rsidR="006A6BDB" w:rsidRPr="00734915">
        <w:rPr>
          <w:color w:val="000000" w:themeColor="text1"/>
        </w:rPr>
        <w:t>Reserves;</w:t>
      </w:r>
      <w:proofErr w:type="gramEnd"/>
    </w:p>
    <w:p w14:paraId="1DA4891A" w14:textId="77777777" w:rsidR="00C678E1" w:rsidRPr="00734915" w:rsidRDefault="00C678E1" w:rsidP="00B872C9">
      <w:pPr>
        <w:pStyle w:val="ListParagraph"/>
        <w:spacing w:before="0" w:after="0"/>
        <w:ind w:left="2160"/>
        <w:jc w:val="both"/>
        <w:rPr>
          <w:color w:val="000000" w:themeColor="text1"/>
        </w:rPr>
      </w:pPr>
    </w:p>
    <w:p w14:paraId="4C2C7B98" w14:textId="77777777" w:rsidR="00E6591F" w:rsidRPr="00734915" w:rsidRDefault="00522238" w:rsidP="00B872C9">
      <w:pPr>
        <w:pStyle w:val="ListParagraph"/>
        <w:numPr>
          <w:ilvl w:val="0"/>
          <w:numId w:val="10"/>
        </w:numPr>
        <w:tabs>
          <w:tab w:val="clear" w:pos="1440"/>
        </w:tabs>
        <w:spacing w:before="0" w:after="0"/>
        <w:ind w:left="2160"/>
        <w:jc w:val="both"/>
        <w:rPr>
          <w:color w:val="000000" w:themeColor="text1"/>
        </w:rPr>
      </w:pPr>
      <w:r w:rsidRPr="00734915">
        <w:rPr>
          <w:color w:val="000000" w:themeColor="text1"/>
        </w:rPr>
        <w:t>m</w:t>
      </w:r>
      <w:r w:rsidR="00E6591F" w:rsidRPr="00734915">
        <w:rPr>
          <w:color w:val="000000" w:themeColor="text1"/>
        </w:rPr>
        <w:t>embers</w:t>
      </w:r>
      <w:r w:rsidR="006A6BDB" w:rsidRPr="00734915">
        <w:rPr>
          <w:color w:val="000000" w:themeColor="text1"/>
        </w:rPr>
        <w:t xml:space="preserve"> of the uniformed services now </w:t>
      </w:r>
      <w:r w:rsidR="00F86B79" w:rsidRPr="00734915">
        <w:rPr>
          <w:color w:val="000000" w:themeColor="text1"/>
        </w:rPr>
        <w:t>retired, except as provided in S</w:t>
      </w:r>
      <w:r w:rsidR="006A6BDB" w:rsidRPr="00734915">
        <w:rPr>
          <w:color w:val="000000" w:themeColor="text1"/>
        </w:rPr>
        <w:t>ection B of this policy;</w:t>
      </w:r>
      <w:r w:rsidR="001E1071" w:rsidRPr="00734915">
        <w:rPr>
          <w:color w:val="000000" w:themeColor="text1"/>
        </w:rPr>
        <w:t xml:space="preserve"> </w:t>
      </w:r>
      <w:r w:rsidR="00FE7128" w:rsidRPr="00734915">
        <w:rPr>
          <w:color w:val="000000" w:themeColor="text1"/>
        </w:rPr>
        <w:t>and</w:t>
      </w:r>
    </w:p>
    <w:p w14:paraId="618E4531" w14:textId="77777777" w:rsidR="002746D9" w:rsidRPr="00734915" w:rsidRDefault="002746D9" w:rsidP="00B872C9">
      <w:pPr>
        <w:pStyle w:val="ListParagraph"/>
        <w:ind w:left="2160"/>
        <w:rPr>
          <w:color w:val="000000" w:themeColor="text1"/>
        </w:rPr>
      </w:pPr>
    </w:p>
    <w:p w14:paraId="269C7F36" w14:textId="77777777" w:rsidR="00A63A8D" w:rsidRPr="00734915" w:rsidRDefault="002746D9" w:rsidP="00A63A8D">
      <w:pPr>
        <w:pStyle w:val="ListParagraph"/>
        <w:numPr>
          <w:ilvl w:val="0"/>
          <w:numId w:val="10"/>
        </w:numPr>
        <w:tabs>
          <w:tab w:val="clear" w:pos="1440"/>
        </w:tabs>
        <w:spacing w:before="0" w:after="0"/>
        <w:ind w:left="2160"/>
        <w:jc w:val="both"/>
        <w:rPr>
          <w:color w:val="000000" w:themeColor="text1"/>
        </w:rPr>
      </w:pPr>
      <w:r w:rsidRPr="00734915">
        <w:rPr>
          <w:color w:val="000000" w:themeColor="text1"/>
        </w:rPr>
        <w:t>veterans of the uniform s</w:t>
      </w:r>
      <w:r w:rsidR="00F86B79" w:rsidRPr="00734915">
        <w:rPr>
          <w:color w:val="000000" w:themeColor="text1"/>
        </w:rPr>
        <w:t>ervices, except as provided in S</w:t>
      </w:r>
      <w:r w:rsidRPr="00734915">
        <w:rPr>
          <w:color w:val="000000" w:themeColor="text1"/>
        </w:rPr>
        <w:t xml:space="preserve">ection B of this policy, and other U.S. Department of Defense personnel and other federal agency civilians and contract employees not defined as </w:t>
      </w:r>
      <w:proofErr w:type="gramStart"/>
      <w:r w:rsidRPr="00734915">
        <w:rPr>
          <w:color w:val="000000" w:themeColor="text1"/>
        </w:rPr>
        <w:t>active duty</w:t>
      </w:r>
      <w:proofErr w:type="gramEnd"/>
      <w:r w:rsidRPr="00734915">
        <w:rPr>
          <w:color w:val="000000" w:themeColor="text1"/>
        </w:rPr>
        <w:t xml:space="preserve"> members of the uniformed services.</w:t>
      </w:r>
    </w:p>
    <w:p w14:paraId="5CC90984" w14:textId="77777777" w:rsidR="00A63A8D" w:rsidRPr="00734915" w:rsidRDefault="00A63A8D" w:rsidP="00A63A8D">
      <w:pPr>
        <w:pStyle w:val="ListParagraph"/>
        <w:rPr>
          <w:b/>
          <w:bCs/>
          <w:color w:val="000000" w:themeColor="text1"/>
        </w:rPr>
      </w:pPr>
    </w:p>
    <w:p w14:paraId="4431CD10" w14:textId="5ACD5C6E" w:rsidR="00A63A8D" w:rsidRPr="00734915" w:rsidRDefault="00A63A8D" w:rsidP="00A63A8D">
      <w:pPr>
        <w:pStyle w:val="ListParagraph"/>
        <w:jc w:val="both"/>
        <w:rPr>
          <w:color w:val="000000" w:themeColor="text1"/>
        </w:rPr>
      </w:pPr>
      <w:r w:rsidRPr="00734915">
        <w:rPr>
          <w:color w:val="000000" w:themeColor="text1"/>
        </w:rPr>
        <w:t xml:space="preserve">C. </w:t>
      </w:r>
      <w:r w:rsidRPr="00734915">
        <w:rPr>
          <w:color w:val="000000" w:themeColor="text1"/>
        </w:rPr>
        <w:tab/>
        <w:t xml:space="preserve">Resolution of Issues </w:t>
      </w:r>
    </w:p>
    <w:p w14:paraId="0FFB8182" w14:textId="22F07363" w:rsidR="00E6591F" w:rsidRPr="00734915" w:rsidRDefault="00A63A8D" w:rsidP="00A63A8D">
      <w:pPr>
        <w:pStyle w:val="NormalWeb"/>
        <w:ind w:left="1440"/>
        <w:rPr>
          <w:color w:val="000000" w:themeColor="text1"/>
        </w:rPr>
      </w:pPr>
      <w:r w:rsidRPr="00734915">
        <w:rPr>
          <w:color w:val="000000" w:themeColor="text1"/>
        </w:rPr>
        <w:t xml:space="preserve">The grievance procedure provided in policy </w:t>
      </w:r>
      <w:hyperlink r:id="rId9" w:history="1">
        <w:r w:rsidRPr="00734915">
          <w:rPr>
            <w:rStyle w:val="Hyperlink"/>
            <w:color w:val="000000" w:themeColor="text1"/>
          </w:rPr>
          <w:t>1740/4010</w:t>
        </w:r>
      </w:hyperlink>
      <w:r w:rsidRPr="00734915">
        <w:rPr>
          <w:color w:val="000000" w:themeColor="text1"/>
        </w:rPr>
        <w:t xml:space="preserve">, Student and Parent Grievance Procedure, may be utilized by parents or guardians who disagree with a decision pertaining to education records, enrollment or eligibility for enrollment, placement, attendance, extracurricular activities, or graduation of a child of a military family, or a rule, as defined in this policy.  In addition, parents or guardians may seek informal resolution of such decisions at any time by contacting the office of the North Carolina Department of Public Instruction (NCDPI) Military Liaison or the North Carolina Commissioner of the North Carolina State Council for the Interstate Compact on Educational Opportunity for Military Children.  Specific contact information may be found online at </w:t>
      </w:r>
      <w:hyperlink r:id="rId10" w:tgtFrame="_blank" w:history="1">
        <w:r w:rsidRPr="00734915">
          <w:rPr>
            <w:rStyle w:val="Hyperlink"/>
            <w:color w:val="000000" w:themeColor="text1"/>
          </w:rPr>
          <w:t>www.dpi.nc.gov/students-families/student-support/nc-supports-military-children</w:t>
        </w:r>
      </w:hyperlink>
      <w:r w:rsidRPr="00734915">
        <w:rPr>
          <w:color w:val="000000" w:themeColor="text1"/>
        </w:rPr>
        <w:t xml:space="preserve"> or by calling NCDPI at (984) 236-2100.</w:t>
      </w:r>
    </w:p>
    <w:p w14:paraId="3EA4167E" w14:textId="77777777" w:rsidR="00E6591F" w:rsidRPr="00734915" w:rsidRDefault="00E6591F" w:rsidP="00AA5A01">
      <w:pPr>
        <w:jc w:val="both"/>
        <w:rPr>
          <w:color w:val="000000" w:themeColor="text1"/>
        </w:rPr>
      </w:pPr>
      <w:r w:rsidRPr="00734915">
        <w:rPr>
          <w:color w:val="000000" w:themeColor="text1"/>
        </w:rPr>
        <w:t xml:space="preserve">Legal References:  </w:t>
      </w:r>
      <w:r w:rsidR="00A16A1E" w:rsidRPr="00734915">
        <w:rPr>
          <w:color w:val="000000" w:themeColor="text1"/>
        </w:rPr>
        <w:t>G.S. 115C-</w:t>
      </w:r>
      <w:r w:rsidR="00F86714" w:rsidRPr="00734915">
        <w:rPr>
          <w:color w:val="000000" w:themeColor="text1"/>
        </w:rPr>
        <w:t>12(18)(f), -</w:t>
      </w:r>
      <w:r w:rsidR="00A16A1E" w:rsidRPr="00734915">
        <w:rPr>
          <w:color w:val="000000" w:themeColor="text1"/>
        </w:rPr>
        <w:t>288(m)</w:t>
      </w:r>
      <w:r w:rsidR="004440B4" w:rsidRPr="00734915">
        <w:rPr>
          <w:color w:val="000000" w:themeColor="text1"/>
        </w:rPr>
        <w:t>, -</w:t>
      </w:r>
      <w:r w:rsidRPr="00734915">
        <w:rPr>
          <w:color w:val="000000" w:themeColor="text1"/>
        </w:rPr>
        <w:t>407.5</w:t>
      </w:r>
    </w:p>
    <w:p w14:paraId="37FFB771" w14:textId="77777777" w:rsidR="00E6591F" w:rsidRPr="00734915" w:rsidRDefault="00E6591F" w:rsidP="00AA5A01">
      <w:pPr>
        <w:jc w:val="both"/>
        <w:rPr>
          <w:color w:val="000000" w:themeColor="text1"/>
        </w:rPr>
      </w:pPr>
    </w:p>
    <w:p w14:paraId="682D3175" w14:textId="77777777" w:rsidR="00E6591F" w:rsidRPr="00734915" w:rsidRDefault="00E6591F" w:rsidP="00AA5A01">
      <w:pPr>
        <w:jc w:val="both"/>
        <w:rPr>
          <w:color w:val="000000" w:themeColor="text1"/>
        </w:rPr>
      </w:pPr>
      <w:r w:rsidRPr="00734915">
        <w:rPr>
          <w:color w:val="000000" w:themeColor="text1"/>
        </w:rPr>
        <w:t xml:space="preserve">Cross References:  </w:t>
      </w:r>
      <w:r w:rsidR="004D59AB" w:rsidRPr="00734915">
        <w:rPr>
          <w:color w:val="000000" w:themeColor="text1"/>
        </w:rPr>
        <w:t>Scholar</w:t>
      </w:r>
      <w:r w:rsidR="00DA20B0" w:rsidRPr="00734915">
        <w:rPr>
          <w:color w:val="000000" w:themeColor="text1"/>
        </w:rPr>
        <w:t xml:space="preserve"> Promotion and Accountability (policy 3420), Graduation Requirements (policy 3460), Extracurricular Activities and </w:t>
      </w:r>
      <w:r w:rsidR="004D59AB" w:rsidRPr="00734915">
        <w:rPr>
          <w:color w:val="000000" w:themeColor="text1"/>
        </w:rPr>
        <w:t>Scholar</w:t>
      </w:r>
      <w:r w:rsidR="00DA20B0" w:rsidRPr="00734915">
        <w:rPr>
          <w:color w:val="000000" w:themeColor="text1"/>
        </w:rPr>
        <w:t xml:space="preserve"> Organizations (policy 3620), Immunization and Health Requirements for School Admission (policy 4110), Domicile or Residence Requirements (policy 4120), Assignment to Classes (policy 4155), Attendance (policy 4400), </w:t>
      </w:r>
      <w:r w:rsidR="004D59AB" w:rsidRPr="00734915">
        <w:rPr>
          <w:color w:val="000000" w:themeColor="text1"/>
        </w:rPr>
        <w:t>Scholar</w:t>
      </w:r>
      <w:r w:rsidR="00DA20B0" w:rsidRPr="00734915">
        <w:rPr>
          <w:color w:val="000000" w:themeColor="text1"/>
        </w:rPr>
        <w:t xml:space="preserve"> Records (policy 4700)</w:t>
      </w:r>
    </w:p>
    <w:p w14:paraId="28CF3351" w14:textId="77777777" w:rsidR="00C23487" w:rsidRPr="00734915" w:rsidRDefault="00C23487" w:rsidP="00AA5A01">
      <w:pPr>
        <w:jc w:val="both"/>
        <w:rPr>
          <w:color w:val="000000" w:themeColor="text1"/>
        </w:rPr>
      </w:pPr>
    </w:p>
    <w:p w14:paraId="2FF06DCA" w14:textId="77777777" w:rsidR="00235881" w:rsidRPr="00734915" w:rsidRDefault="00235881" w:rsidP="00235881">
      <w:pPr>
        <w:jc w:val="both"/>
        <w:rPr>
          <w:color w:val="000000" w:themeColor="text1"/>
        </w:rPr>
      </w:pPr>
      <w:r w:rsidRPr="00734915">
        <w:rPr>
          <w:color w:val="000000" w:themeColor="text1"/>
        </w:rPr>
        <w:t>Adopt</w:t>
      </w:r>
      <w:r w:rsidR="00C23487" w:rsidRPr="00734915">
        <w:rPr>
          <w:color w:val="000000" w:themeColor="text1"/>
        </w:rPr>
        <w:t>ed:</w:t>
      </w:r>
      <w:r w:rsidR="00FE710A" w:rsidRPr="00734915">
        <w:rPr>
          <w:color w:val="000000" w:themeColor="text1"/>
        </w:rPr>
        <w:t xml:space="preserve">  </w:t>
      </w:r>
      <w:r w:rsidR="00984F6D" w:rsidRPr="00734915">
        <w:rPr>
          <w:color w:val="000000" w:themeColor="text1"/>
        </w:rPr>
        <w:t>April 15, 2020</w:t>
      </w:r>
    </w:p>
    <w:p w14:paraId="35B09D2C" w14:textId="6266F296" w:rsidR="00C23487" w:rsidRPr="00734915" w:rsidRDefault="00A63A8D" w:rsidP="00AA5A01">
      <w:pPr>
        <w:jc w:val="both"/>
        <w:rPr>
          <w:color w:val="000000" w:themeColor="text1"/>
        </w:rPr>
      </w:pPr>
      <w:r w:rsidRPr="00734915">
        <w:rPr>
          <w:color w:val="000000" w:themeColor="text1"/>
        </w:rPr>
        <w:t>Revised:</w:t>
      </w:r>
      <w:r w:rsidR="00734915" w:rsidRPr="00734915">
        <w:rPr>
          <w:color w:val="000000" w:themeColor="text1"/>
        </w:rPr>
        <w:t xml:space="preserve"> June 8, 2022</w:t>
      </w:r>
    </w:p>
    <w:sectPr w:rsidR="00C23487" w:rsidRPr="00734915" w:rsidSect="00984F6D">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AB41" w14:textId="77777777" w:rsidR="00C06984" w:rsidRDefault="00C06984">
      <w:r>
        <w:separator/>
      </w:r>
    </w:p>
  </w:endnote>
  <w:endnote w:type="continuationSeparator" w:id="0">
    <w:p w14:paraId="7A6C71FF" w14:textId="77777777" w:rsidR="00C06984" w:rsidRDefault="00C0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7DD3" w14:textId="77777777" w:rsidR="00F86714" w:rsidRDefault="00F86714" w:rsidP="00353DB5">
    <w:pPr>
      <w:spacing w:line="240" w:lineRule="exact"/>
      <w:ind w:right="-360"/>
    </w:pPr>
  </w:p>
  <w:p w14:paraId="5FBCC40B" w14:textId="77777777" w:rsidR="00F86714" w:rsidRDefault="00EB65FA" w:rsidP="00353DB5">
    <w:pPr>
      <w:spacing w:line="109" w:lineRule="exact"/>
    </w:pPr>
    <w:r>
      <w:rPr>
        <w:i/>
        <w:noProof/>
        <w:sz w:val="16"/>
      </w:rPr>
      <mc:AlternateContent>
        <mc:Choice Requires="wps">
          <w:drawing>
            <wp:anchor distT="4294967295" distB="4294967295" distL="114300" distR="114300" simplePos="0" relativeHeight="251661312" behindDoc="0" locked="0" layoutInCell="1" allowOverlap="1" wp14:anchorId="0C80EBBF" wp14:editId="48E0BE86">
              <wp:simplePos x="0" y="0"/>
              <wp:positionH relativeFrom="column">
                <wp:posOffset>0</wp:posOffset>
              </wp:positionH>
              <wp:positionV relativeFrom="paragraph">
                <wp:posOffset>8254</wp:posOffset>
              </wp:positionV>
              <wp:extent cx="5943600" cy="0"/>
              <wp:effectExtent l="0" t="25400" r="25400" b="254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01B35" id="Line 9"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5pt" to="468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" strokeweight="4.5pt">
              <v:stroke linestyle="thickThin"/>
              <o:lock v:ext="edit" shapetype="f"/>
            </v:line>
          </w:pict>
        </mc:Fallback>
      </mc:AlternateContent>
    </w:r>
  </w:p>
  <w:p w14:paraId="67B9C345" w14:textId="77777777" w:rsidR="00F86714" w:rsidRPr="00235881" w:rsidRDefault="00A6164B" w:rsidP="00235881">
    <w:pPr>
      <w:tabs>
        <w:tab w:val="right" w:pos="9360"/>
      </w:tabs>
      <w:ind w:right="720"/>
    </w:pPr>
    <w:r>
      <w:rPr>
        <w:b/>
        <w:snapToGrid w:val="0"/>
      </w:rPr>
      <w:t>NE REGIONAL SCHOOL BOARD OF DIRECTORS POLICY MANUAL</w:t>
    </w:r>
    <w:r w:rsidR="00235881">
      <w:rPr>
        <w:b/>
        <w:szCs w:val="24"/>
      </w:rPr>
      <w:tab/>
    </w:r>
    <w:sdt>
      <w:sdtPr>
        <w:id w:val="250395305"/>
        <w:docPartObj>
          <w:docPartGallery w:val="Page Numbers (Top of Page)"/>
          <w:docPartUnique/>
        </w:docPartObj>
      </w:sdtPr>
      <w:sdtEndPr/>
      <w:sdtContent>
        <w:r w:rsidR="00235881">
          <w:t xml:space="preserve">Page </w:t>
        </w:r>
        <w:r w:rsidR="004B57CF">
          <w:fldChar w:fldCharType="begin"/>
        </w:r>
        <w:r w:rsidR="004B57CF">
          <w:instrText xml:space="preserve"> PAGE </w:instrText>
        </w:r>
        <w:r w:rsidR="004B57CF">
          <w:fldChar w:fldCharType="separate"/>
        </w:r>
        <w:r w:rsidR="00090C0D">
          <w:rPr>
            <w:noProof/>
          </w:rPr>
          <w:t>4</w:t>
        </w:r>
        <w:r w:rsidR="004B57CF">
          <w:rPr>
            <w:noProof/>
          </w:rPr>
          <w:fldChar w:fldCharType="end"/>
        </w:r>
        <w:r w:rsidR="00235881">
          <w:t xml:space="preserve"> of </w:t>
        </w:r>
        <w:fldSimple w:instr=" NUMPAGES  ">
          <w:r w:rsidR="00090C0D">
            <w:rPr>
              <w:noProof/>
            </w:rPr>
            <w:t>4</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F007" w14:textId="77777777" w:rsidR="00C06984" w:rsidRDefault="00C06984">
      <w:r>
        <w:separator/>
      </w:r>
    </w:p>
  </w:footnote>
  <w:footnote w:type="continuationSeparator" w:id="0">
    <w:p w14:paraId="111D5E0E" w14:textId="77777777" w:rsidR="00C06984" w:rsidRDefault="00C0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F35F" w14:textId="77777777" w:rsidR="00F86714" w:rsidRPr="00845D5C" w:rsidRDefault="00F86714" w:rsidP="00845D5C">
    <w:pPr>
      <w:tabs>
        <w:tab w:val="left" w:pos="6840"/>
        <w:tab w:val="right" w:pos="9360"/>
      </w:tabs>
      <w:ind w:firstLine="6840"/>
    </w:pPr>
    <w:r w:rsidRPr="00845D5C">
      <w:rPr>
        <w:i/>
        <w:sz w:val="20"/>
      </w:rPr>
      <w:t>Policy Code:</w:t>
    </w:r>
    <w:r w:rsidRPr="00845D5C">
      <w:tab/>
    </w:r>
    <w:r>
      <w:rPr>
        <w:b/>
      </w:rPr>
      <w:t>4050</w:t>
    </w:r>
  </w:p>
  <w:p w14:paraId="5A17788C" w14:textId="77777777" w:rsidR="00F86714" w:rsidRPr="00845D5C" w:rsidRDefault="00EB65FA" w:rsidP="00845D5C">
    <w:pPr>
      <w:tabs>
        <w:tab w:val="left" w:pos="6840"/>
        <w:tab w:val="right" w:pos="9360"/>
      </w:tabs>
      <w:spacing w:line="109" w:lineRule="exact"/>
    </w:pPr>
    <w:r>
      <w:rPr>
        <w:noProof/>
      </w:rPr>
      <mc:AlternateContent>
        <mc:Choice Requires="wps">
          <w:drawing>
            <wp:anchor distT="4294967295" distB="4294967295" distL="114300" distR="114300" simplePos="0" relativeHeight="251659264" behindDoc="0" locked="0" layoutInCell="0" allowOverlap="1" wp14:anchorId="70FA0719" wp14:editId="42EF43EA">
              <wp:simplePos x="0" y="0"/>
              <wp:positionH relativeFrom="column">
                <wp:posOffset>0</wp:posOffset>
              </wp:positionH>
              <wp:positionV relativeFrom="paragraph">
                <wp:posOffset>38099</wp:posOffset>
              </wp:positionV>
              <wp:extent cx="5943600" cy="0"/>
              <wp:effectExtent l="0" t="25400" r="25400"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87E2" id="Line 7"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" o:allowincell="f" strokeweight="4.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505"/>
    <w:multiLevelType w:val="multilevel"/>
    <w:tmpl w:val="32F68A06"/>
    <w:lvl w:ilvl="0">
      <w:start w:val="1"/>
      <w:numFmt w:val="upperLetter"/>
      <w:lvlText w:val="%1."/>
      <w:lvlJc w:val="left"/>
      <w:pPr>
        <w:tabs>
          <w:tab w:val="num" w:pos="1080"/>
        </w:tabs>
        <w:ind w:left="1080" w:hanging="720"/>
      </w:pPr>
      <w:rPr>
        <w:rFonts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AC94093"/>
    <w:multiLevelType w:val="multilevel"/>
    <w:tmpl w:val="4C1083F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7736DF8"/>
    <w:multiLevelType w:val="multilevel"/>
    <w:tmpl w:val="FC667BCE"/>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8EB5DB2"/>
    <w:multiLevelType w:val="hybridMultilevel"/>
    <w:tmpl w:val="9030174C"/>
    <w:lvl w:ilvl="0" w:tplc="04090019">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5160F23"/>
    <w:multiLevelType w:val="hybridMultilevel"/>
    <w:tmpl w:val="D8748264"/>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375BA"/>
    <w:multiLevelType w:val="hybridMultilevel"/>
    <w:tmpl w:val="C0ECB3F6"/>
    <w:lvl w:ilvl="0" w:tplc="870A1C52">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696AF2"/>
    <w:multiLevelType w:val="hybridMultilevel"/>
    <w:tmpl w:val="3FAAB27E"/>
    <w:lvl w:ilvl="0" w:tplc="EED628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1699E"/>
    <w:multiLevelType w:val="hybridMultilevel"/>
    <w:tmpl w:val="4C1083FE"/>
    <w:lvl w:ilvl="0" w:tplc="7C9E56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8A55D50"/>
    <w:multiLevelType w:val="multilevel"/>
    <w:tmpl w:val="5CF6E33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6F2662E5"/>
    <w:multiLevelType w:val="hybridMultilevel"/>
    <w:tmpl w:val="65804A70"/>
    <w:lvl w:ilvl="0" w:tplc="04090019">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17C7AB3"/>
    <w:multiLevelType w:val="hybridMultilevel"/>
    <w:tmpl w:val="0618FF04"/>
    <w:lvl w:ilvl="0" w:tplc="EED628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03B8F"/>
    <w:multiLevelType w:val="hybridMultilevel"/>
    <w:tmpl w:val="40D6C6F2"/>
    <w:lvl w:ilvl="0" w:tplc="04090019">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C10CE0"/>
    <w:multiLevelType w:val="hybridMultilevel"/>
    <w:tmpl w:val="3F3C53FA"/>
    <w:lvl w:ilvl="0" w:tplc="03809742">
      <w:start w:val="4"/>
      <w:numFmt w:val="upperLetter"/>
      <w:lvlText w:val="%1."/>
      <w:lvlJc w:val="left"/>
      <w:pPr>
        <w:tabs>
          <w:tab w:val="num" w:pos="720"/>
        </w:tabs>
        <w:ind w:left="720" w:hanging="720"/>
      </w:pPr>
      <w:rPr>
        <w:rFonts w:hint="default"/>
        <w:b/>
        <w:i w:val="0"/>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7DF165B9"/>
    <w:multiLevelType w:val="hybridMultilevel"/>
    <w:tmpl w:val="9C8E8EBE"/>
    <w:lvl w:ilvl="0" w:tplc="2CD2DCA8">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482F86"/>
    <w:multiLevelType w:val="multilevel"/>
    <w:tmpl w:val="9392E55C"/>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931087147">
    <w:abstractNumId w:val="5"/>
  </w:num>
  <w:num w:numId="2" w16cid:durableId="1444763931">
    <w:abstractNumId w:val="3"/>
  </w:num>
  <w:num w:numId="3" w16cid:durableId="510878854">
    <w:abstractNumId w:val="9"/>
  </w:num>
  <w:num w:numId="4" w16cid:durableId="430125449">
    <w:abstractNumId w:val="7"/>
  </w:num>
  <w:num w:numId="5" w16cid:durableId="596059465">
    <w:abstractNumId w:val="2"/>
  </w:num>
  <w:num w:numId="6" w16cid:durableId="781192528">
    <w:abstractNumId w:val="0"/>
  </w:num>
  <w:num w:numId="7" w16cid:durableId="807017867">
    <w:abstractNumId w:val="14"/>
  </w:num>
  <w:num w:numId="8" w16cid:durableId="423306348">
    <w:abstractNumId w:val="8"/>
  </w:num>
  <w:num w:numId="9" w16cid:durableId="372583590">
    <w:abstractNumId w:val="1"/>
  </w:num>
  <w:num w:numId="10" w16cid:durableId="962267251">
    <w:abstractNumId w:val="11"/>
  </w:num>
  <w:num w:numId="11" w16cid:durableId="785585410">
    <w:abstractNumId w:val="12"/>
  </w:num>
  <w:num w:numId="12" w16cid:durableId="69352526">
    <w:abstractNumId w:val="4"/>
  </w:num>
  <w:num w:numId="13" w16cid:durableId="29116460">
    <w:abstractNumId w:val="6"/>
  </w:num>
  <w:num w:numId="14" w16cid:durableId="608972191">
    <w:abstractNumId w:val="10"/>
  </w:num>
  <w:num w:numId="15" w16cid:durableId="1130709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92"/>
    <w:rsid w:val="00014F5B"/>
    <w:rsid w:val="00045EFF"/>
    <w:rsid w:val="00061A30"/>
    <w:rsid w:val="00063DF8"/>
    <w:rsid w:val="00075DD4"/>
    <w:rsid w:val="00087132"/>
    <w:rsid w:val="00090C0D"/>
    <w:rsid w:val="000D6FDE"/>
    <w:rsid w:val="000E6F5A"/>
    <w:rsid w:val="00163A49"/>
    <w:rsid w:val="00172892"/>
    <w:rsid w:val="0018187F"/>
    <w:rsid w:val="0018333D"/>
    <w:rsid w:val="001E1071"/>
    <w:rsid w:val="001E1F92"/>
    <w:rsid w:val="001E211F"/>
    <w:rsid w:val="00227A37"/>
    <w:rsid w:val="002351D9"/>
    <w:rsid w:val="00235881"/>
    <w:rsid w:val="002445DF"/>
    <w:rsid w:val="00246917"/>
    <w:rsid w:val="00263D71"/>
    <w:rsid w:val="002746D9"/>
    <w:rsid w:val="0028282E"/>
    <w:rsid w:val="002856C2"/>
    <w:rsid w:val="002A600F"/>
    <w:rsid w:val="002F75AB"/>
    <w:rsid w:val="00304ABF"/>
    <w:rsid w:val="00321FDB"/>
    <w:rsid w:val="003231AF"/>
    <w:rsid w:val="00325617"/>
    <w:rsid w:val="00325D4D"/>
    <w:rsid w:val="00336EB6"/>
    <w:rsid w:val="00347663"/>
    <w:rsid w:val="00347A7A"/>
    <w:rsid w:val="00353DB5"/>
    <w:rsid w:val="00353F0F"/>
    <w:rsid w:val="003651E0"/>
    <w:rsid w:val="00385806"/>
    <w:rsid w:val="003B6D33"/>
    <w:rsid w:val="003D61DF"/>
    <w:rsid w:val="003E4D5F"/>
    <w:rsid w:val="00400AC6"/>
    <w:rsid w:val="004440B4"/>
    <w:rsid w:val="00460EF7"/>
    <w:rsid w:val="0046684E"/>
    <w:rsid w:val="00485B17"/>
    <w:rsid w:val="0049510E"/>
    <w:rsid w:val="004B57CF"/>
    <w:rsid w:val="004D59AB"/>
    <w:rsid w:val="004E3294"/>
    <w:rsid w:val="00522238"/>
    <w:rsid w:val="00522D1F"/>
    <w:rsid w:val="005319B3"/>
    <w:rsid w:val="00544FA4"/>
    <w:rsid w:val="005511E2"/>
    <w:rsid w:val="00584415"/>
    <w:rsid w:val="005B2DE1"/>
    <w:rsid w:val="005C43D7"/>
    <w:rsid w:val="005E5AB5"/>
    <w:rsid w:val="006029A1"/>
    <w:rsid w:val="00620A15"/>
    <w:rsid w:val="0064061A"/>
    <w:rsid w:val="00643239"/>
    <w:rsid w:val="00646F27"/>
    <w:rsid w:val="00655511"/>
    <w:rsid w:val="006712DA"/>
    <w:rsid w:val="00683D3A"/>
    <w:rsid w:val="006A6BDB"/>
    <w:rsid w:val="006B2278"/>
    <w:rsid w:val="006C5237"/>
    <w:rsid w:val="006E2102"/>
    <w:rsid w:val="00713DE8"/>
    <w:rsid w:val="00715A88"/>
    <w:rsid w:val="00726415"/>
    <w:rsid w:val="00734915"/>
    <w:rsid w:val="007424B1"/>
    <w:rsid w:val="00751410"/>
    <w:rsid w:val="0077558F"/>
    <w:rsid w:val="007A6B2C"/>
    <w:rsid w:val="007C0996"/>
    <w:rsid w:val="007F1D5F"/>
    <w:rsid w:val="007F4840"/>
    <w:rsid w:val="007F6750"/>
    <w:rsid w:val="00845D5C"/>
    <w:rsid w:val="00890B86"/>
    <w:rsid w:val="008B2435"/>
    <w:rsid w:val="008C2C2E"/>
    <w:rsid w:val="008E41FC"/>
    <w:rsid w:val="008E6E11"/>
    <w:rsid w:val="008F0778"/>
    <w:rsid w:val="0092497E"/>
    <w:rsid w:val="00932AF9"/>
    <w:rsid w:val="009339DA"/>
    <w:rsid w:val="00964007"/>
    <w:rsid w:val="0097660D"/>
    <w:rsid w:val="00984F6D"/>
    <w:rsid w:val="009B1DBB"/>
    <w:rsid w:val="009B5198"/>
    <w:rsid w:val="009E2EA8"/>
    <w:rsid w:val="009E6057"/>
    <w:rsid w:val="00A105DD"/>
    <w:rsid w:val="00A1517B"/>
    <w:rsid w:val="00A16A1E"/>
    <w:rsid w:val="00A16CB3"/>
    <w:rsid w:val="00A22A19"/>
    <w:rsid w:val="00A31EBC"/>
    <w:rsid w:val="00A445E4"/>
    <w:rsid w:val="00A6164B"/>
    <w:rsid w:val="00A63A8D"/>
    <w:rsid w:val="00A8037F"/>
    <w:rsid w:val="00A86383"/>
    <w:rsid w:val="00A86FFE"/>
    <w:rsid w:val="00A9017C"/>
    <w:rsid w:val="00AA5A01"/>
    <w:rsid w:val="00AB6EA9"/>
    <w:rsid w:val="00AD4EF4"/>
    <w:rsid w:val="00AE3EFB"/>
    <w:rsid w:val="00AF22FA"/>
    <w:rsid w:val="00AF27D7"/>
    <w:rsid w:val="00B35EC7"/>
    <w:rsid w:val="00B36641"/>
    <w:rsid w:val="00B37BB3"/>
    <w:rsid w:val="00B55087"/>
    <w:rsid w:val="00B872C9"/>
    <w:rsid w:val="00B963CB"/>
    <w:rsid w:val="00BA0E73"/>
    <w:rsid w:val="00BE00B0"/>
    <w:rsid w:val="00C06984"/>
    <w:rsid w:val="00C13A0E"/>
    <w:rsid w:val="00C17BC8"/>
    <w:rsid w:val="00C23487"/>
    <w:rsid w:val="00C372E8"/>
    <w:rsid w:val="00C461C0"/>
    <w:rsid w:val="00C47CAA"/>
    <w:rsid w:val="00C65F12"/>
    <w:rsid w:val="00C678E1"/>
    <w:rsid w:val="00C67B75"/>
    <w:rsid w:val="00C764E2"/>
    <w:rsid w:val="00CA37A5"/>
    <w:rsid w:val="00CB5E8F"/>
    <w:rsid w:val="00CC35A9"/>
    <w:rsid w:val="00CD1A07"/>
    <w:rsid w:val="00CE2DBA"/>
    <w:rsid w:val="00CF5C6E"/>
    <w:rsid w:val="00D34FF3"/>
    <w:rsid w:val="00D63CED"/>
    <w:rsid w:val="00D7479D"/>
    <w:rsid w:val="00D907AD"/>
    <w:rsid w:val="00D91FD2"/>
    <w:rsid w:val="00D958D8"/>
    <w:rsid w:val="00DA20B0"/>
    <w:rsid w:val="00DA5250"/>
    <w:rsid w:val="00DB4233"/>
    <w:rsid w:val="00DC7867"/>
    <w:rsid w:val="00DD2A8B"/>
    <w:rsid w:val="00DF0ED5"/>
    <w:rsid w:val="00E1273D"/>
    <w:rsid w:val="00E1668A"/>
    <w:rsid w:val="00E32F8D"/>
    <w:rsid w:val="00E33D73"/>
    <w:rsid w:val="00E52223"/>
    <w:rsid w:val="00E650D6"/>
    <w:rsid w:val="00E6591F"/>
    <w:rsid w:val="00E70EAD"/>
    <w:rsid w:val="00E71668"/>
    <w:rsid w:val="00E86092"/>
    <w:rsid w:val="00E90084"/>
    <w:rsid w:val="00EA652B"/>
    <w:rsid w:val="00EB65FA"/>
    <w:rsid w:val="00EB718C"/>
    <w:rsid w:val="00F00A6C"/>
    <w:rsid w:val="00F15BE2"/>
    <w:rsid w:val="00F40C2E"/>
    <w:rsid w:val="00F63801"/>
    <w:rsid w:val="00F659F7"/>
    <w:rsid w:val="00F86714"/>
    <w:rsid w:val="00F86B79"/>
    <w:rsid w:val="00F9074C"/>
    <w:rsid w:val="00F90E0B"/>
    <w:rsid w:val="00FA4264"/>
    <w:rsid w:val="00FB7EAA"/>
    <w:rsid w:val="00FE710A"/>
    <w:rsid w:val="00FE712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A95C3A"/>
  <w15:docId w15:val="{1C84AB7F-D2D7-4F58-8988-A356E352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CB3"/>
    <w:rPr>
      <w:rFonts w:eastAsia="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6CB3"/>
    <w:pPr>
      <w:spacing w:before="120" w:after="320"/>
      <w:ind w:left="720"/>
      <w:contextualSpacing/>
    </w:pPr>
  </w:style>
  <w:style w:type="paragraph" w:styleId="Header">
    <w:name w:val="header"/>
    <w:basedOn w:val="Normal"/>
    <w:rsid w:val="00353DB5"/>
    <w:pPr>
      <w:tabs>
        <w:tab w:val="center" w:pos="4320"/>
        <w:tab w:val="right" w:pos="8640"/>
      </w:tabs>
    </w:pPr>
  </w:style>
  <w:style w:type="paragraph" w:styleId="Footer">
    <w:name w:val="footer"/>
    <w:basedOn w:val="Normal"/>
    <w:rsid w:val="00353DB5"/>
    <w:pPr>
      <w:tabs>
        <w:tab w:val="center" w:pos="4320"/>
        <w:tab w:val="right" w:pos="8640"/>
      </w:tabs>
    </w:pPr>
  </w:style>
  <w:style w:type="character" w:styleId="PageNumber">
    <w:name w:val="page number"/>
    <w:basedOn w:val="DefaultParagraphFont"/>
    <w:rsid w:val="00353DB5"/>
  </w:style>
  <w:style w:type="paragraph" w:styleId="FootnoteText">
    <w:name w:val="footnote text"/>
    <w:basedOn w:val="Normal"/>
    <w:semiHidden/>
    <w:rsid w:val="00BE00B0"/>
    <w:rPr>
      <w:sz w:val="20"/>
      <w:szCs w:val="20"/>
    </w:rPr>
  </w:style>
  <w:style w:type="character" w:styleId="FootnoteReference">
    <w:name w:val="footnote reference"/>
    <w:basedOn w:val="DefaultParagraphFont"/>
    <w:semiHidden/>
    <w:rsid w:val="00BE00B0"/>
    <w:rPr>
      <w:vertAlign w:val="superscript"/>
    </w:rPr>
  </w:style>
  <w:style w:type="paragraph" w:styleId="BalloonText">
    <w:name w:val="Balloon Text"/>
    <w:basedOn w:val="Normal"/>
    <w:link w:val="BalloonTextChar"/>
    <w:rsid w:val="004440B4"/>
    <w:rPr>
      <w:rFonts w:ascii="Tahoma" w:hAnsi="Tahoma" w:cs="Tahoma"/>
      <w:sz w:val="16"/>
      <w:szCs w:val="16"/>
    </w:rPr>
  </w:style>
  <w:style w:type="character" w:customStyle="1" w:styleId="BalloonTextChar">
    <w:name w:val="Balloon Text Char"/>
    <w:basedOn w:val="DefaultParagraphFont"/>
    <w:link w:val="BalloonText"/>
    <w:rsid w:val="004440B4"/>
    <w:rPr>
      <w:rFonts w:ascii="Tahoma" w:eastAsia="Times New Roman" w:hAnsi="Tahoma" w:cs="Tahoma"/>
      <w:sz w:val="16"/>
      <w:szCs w:val="16"/>
    </w:rPr>
  </w:style>
  <w:style w:type="paragraph" w:styleId="Revision">
    <w:name w:val="Revision"/>
    <w:hidden/>
    <w:uiPriority w:val="99"/>
    <w:semiHidden/>
    <w:rsid w:val="00FA4264"/>
    <w:rPr>
      <w:rFonts w:eastAsia="Times New Roman"/>
      <w:sz w:val="24"/>
      <w:szCs w:val="22"/>
    </w:rPr>
  </w:style>
  <w:style w:type="character" w:styleId="LineNumber">
    <w:name w:val="line number"/>
    <w:basedOn w:val="DefaultParagraphFont"/>
    <w:semiHidden/>
    <w:unhideWhenUsed/>
    <w:rsid w:val="00EB65FA"/>
  </w:style>
  <w:style w:type="paragraph" w:styleId="NormalWeb">
    <w:name w:val="Normal (Web)"/>
    <w:basedOn w:val="Normal"/>
    <w:uiPriority w:val="99"/>
    <w:unhideWhenUsed/>
    <w:rsid w:val="00A63A8D"/>
    <w:pPr>
      <w:spacing w:before="100" w:beforeAutospacing="1" w:after="100" w:afterAutospacing="1"/>
    </w:pPr>
    <w:rPr>
      <w:szCs w:val="24"/>
    </w:rPr>
  </w:style>
  <w:style w:type="character" w:styleId="Hyperlink">
    <w:name w:val="Hyperlink"/>
    <w:basedOn w:val="DefaultParagraphFont"/>
    <w:uiPriority w:val="99"/>
    <w:semiHidden/>
    <w:unhideWhenUsed/>
    <w:rsid w:val="00A63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pi.nc.gov/students-families/student-support/nc-supports-military-children" TargetMode="External"/><Relationship Id="rId4" Type="http://schemas.openxmlformats.org/officeDocument/2006/relationships/settings" Target="settings.xml"/><Relationship Id="rId9" Type="http://schemas.openxmlformats.org/officeDocument/2006/relationships/hyperlink" Target="javascript:doJump(14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FCAE-8442-854A-AF7C-AA9543E6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CHILDREN OF MILITARY FAMILIES</vt:lpstr>
    </vt:vector>
  </TitlesOfParts>
  <Company>Microsoft</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OF MILITARY FAMILIES</dc:title>
  <dc:creator>Janine</dc:creator>
  <cp:lastModifiedBy>Larry Price</cp:lastModifiedBy>
  <cp:revision>9</cp:revision>
  <cp:lastPrinted>2014-09-29T13:51:00Z</cp:lastPrinted>
  <dcterms:created xsi:type="dcterms:W3CDTF">2020-01-21T01:31:00Z</dcterms:created>
  <dcterms:modified xsi:type="dcterms:W3CDTF">2022-06-18T01:41:00Z</dcterms:modified>
</cp:coreProperties>
</file>