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F240" w14:textId="77777777" w:rsidR="002B2385" w:rsidRPr="00A318AA" w:rsidRDefault="002B2385" w:rsidP="002B2385">
      <w:pPr>
        <w:widowControl/>
        <w:tabs>
          <w:tab w:val="left" w:pos="6840"/>
          <w:tab w:val="right" w:pos="9360"/>
        </w:tabs>
        <w:rPr>
          <w:color w:val="000000" w:themeColor="text1"/>
        </w:rPr>
      </w:pPr>
      <w:r w:rsidRPr="00A318AA">
        <w:rPr>
          <w:b/>
          <w:color w:val="000000" w:themeColor="text1"/>
          <w:sz w:val="28"/>
        </w:rPr>
        <w:t>DOMICILE OR RESIDENCE REQUIREMENTS</w:t>
      </w:r>
      <w:r w:rsidRPr="00A318AA">
        <w:rPr>
          <w:color w:val="000000" w:themeColor="text1"/>
          <w:sz w:val="28"/>
        </w:rPr>
        <w:tab/>
      </w:r>
      <w:r w:rsidRPr="00A318AA">
        <w:rPr>
          <w:i/>
          <w:color w:val="000000" w:themeColor="text1"/>
          <w:sz w:val="20"/>
        </w:rPr>
        <w:t>Policy Code:</w:t>
      </w:r>
      <w:r w:rsidRPr="00A318AA">
        <w:rPr>
          <w:color w:val="000000" w:themeColor="text1"/>
        </w:rPr>
        <w:tab/>
      </w:r>
      <w:r w:rsidRPr="00A318AA">
        <w:rPr>
          <w:b/>
          <w:color w:val="000000" w:themeColor="text1"/>
        </w:rPr>
        <w:t>4120</w:t>
      </w:r>
    </w:p>
    <w:p w14:paraId="2415656E" w14:textId="77777777" w:rsidR="002B2385" w:rsidRPr="00A318AA" w:rsidRDefault="000E0633" w:rsidP="002B2385">
      <w:pPr>
        <w:pStyle w:val="Header"/>
        <w:widowControl/>
        <w:tabs>
          <w:tab w:val="clear" w:pos="4320"/>
          <w:tab w:val="clear" w:pos="8640"/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A318AA">
        <w:rPr>
          <w:noProof/>
          <w:snapToGrid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C195512" wp14:editId="72E19995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943600" cy="0"/>
                <wp:effectExtent l="0" t="25400" r="25400" b="254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346C" id="Line 5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4.3pt" to="468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63E1012E" w14:textId="77777777" w:rsidR="002B2385" w:rsidRPr="00A318AA" w:rsidRDefault="002B2385" w:rsidP="002B2385">
      <w:pPr>
        <w:widowControl/>
        <w:tabs>
          <w:tab w:val="left" w:pos="-1440"/>
          <w:tab w:val="left" w:pos="0"/>
        </w:tabs>
        <w:jc w:val="both"/>
        <w:rPr>
          <w:color w:val="000000" w:themeColor="text1"/>
        </w:rPr>
      </w:pPr>
    </w:p>
    <w:p w14:paraId="49F721D8" w14:textId="77777777" w:rsidR="003A1638" w:rsidRPr="00A318AA" w:rsidRDefault="003A1638" w:rsidP="002B2385">
      <w:pPr>
        <w:widowControl/>
        <w:tabs>
          <w:tab w:val="left" w:pos="-1440"/>
        </w:tabs>
        <w:jc w:val="both"/>
        <w:rPr>
          <w:color w:val="000000" w:themeColor="text1"/>
        </w:rPr>
        <w:sectPr w:rsidR="003A1638" w:rsidRPr="00A318AA" w:rsidSect="00620B68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8DA3708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67E0665" w14:textId="6ACDB84C" w:rsidR="0031316C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who is domiciled </w:t>
      </w:r>
      <w:proofErr w:type="gramStart"/>
      <w:r w:rsidR="00E76F95" w:rsidRPr="00A318AA">
        <w:rPr>
          <w:color w:val="000000" w:themeColor="text1"/>
        </w:rPr>
        <w:t xml:space="preserve">within </w:t>
      </w:r>
      <w:r w:rsidR="00BF547D" w:rsidRPr="00A318AA">
        <w:rPr>
          <w:color w:val="000000" w:themeColor="text1"/>
        </w:rPr>
        <w:t xml:space="preserve"> the</w:t>
      </w:r>
      <w:proofErr w:type="gramEnd"/>
      <w:r w:rsidR="00BF547D" w:rsidRPr="00A318AA">
        <w:rPr>
          <w:color w:val="000000" w:themeColor="text1"/>
        </w:rPr>
        <w:t xml:space="preserve"> school’s participating school systems </w:t>
      </w:r>
      <w:r w:rsidR="002F1B28" w:rsidRPr="00A318AA">
        <w:rPr>
          <w:color w:val="000000" w:themeColor="text1"/>
        </w:rPr>
        <w:t xml:space="preserve"> who is under age 21</w:t>
      </w:r>
      <w:r w:rsidR="00642D5A" w:rsidRPr="00A318AA">
        <w:rPr>
          <w:color w:val="000000" w:themeColor="text1"/>
        </w:rPr>
        <w:t xml:space="preserve"> (22 for </w:t>
      </w:r>
      <w:r w:rsidR="00A36A7B" w:rsidRPr="00A318AA">
        <w:rPr>
          <w:color w:val="000000" w:themeColor="text1"/>
        </w:rPr>
        <w:t>scholars</w:t>
      </w:r>
      <w:r w:rsidR="00642D5A" w:rsidRPr="00A318AA">
        <w:rPr>
          <w:color w:val="000000" w:themeColor="text1"/>
        </w:rPr>
        <w:t xml:space="preserve"> entitled to special education services)</w:t>
      </w:r>
      <w:r w:rsidR="00F46863" w:rsidRPr="00A318AA">
        <w:rPr>
          <w:color w:val="000000" w:themeColor="text1"/>
        </w:rPr>
        <w:t>;</w:t>
      </w:r>
      <w:r w:rsidR="002F1B28" w:rsidRPr="00A318AA">
        <w:rPr>
          <w:color w:val="000000" w:themeColor="text1"/>
        </w:rPr>
        <w:t xml:space="preserve"> who has not completed the prescribed courses for high school graduation</w:t>
      </w:r>
      <w:r w:rsidR="00F46863" w:rsidRPr="00A318AA">
        <w:rPr>
          <w:color w:val="000000" w:themeColor="text1"/>
        </w:rPr>
        <w:t>;</w:t>
      </w:r>
      <w:r w:rsidRPr="00A318AA">
        <w:rPr>
          <w:color w:val="000000" w:themeColor="text1"/>
        </w:rPr>
        <w:t xml:space="preserve"> and who otherwise qualifies for admission</w:t>
      </w:r>
      <w:r w:rsidR="00860283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</w:t>
      </w:r>
      <w:r w:rsidR="00F46863" w:rsidRPr="00A318AA">
        <w:rPr>
          <w:color w:val="000000" w:themeColor="text1"/>
        </w:rPr>
        <w:t>may apply for admission</w:t>
      </w:r>
      <w:r w:rsidR="00DB3269" w:rsidRPr="00A318AA">
        <w:rPr>
          <w:color w:val="000000" w:themeColor="text1"/>
        </w:rPr>
        <w:t>.</w:t>
      </w:r>
      <w:r w:rsidR="00E232BC" w:rsidRPr="00A318AA">
        <w:rPr>
          <w:color w:val="000000" w:themeColor="text1"/>
        </w:rPr>
        <w:t xml:space="preserve"> </w:t>
      </w:r>
      <w:r w:rsidR="00DB3269" w:rsidRPr="00A318AA">
        <w:rPr>
          <w:color w:val="000000" w:themeColor="text1"/>
        </w:rPr>
        <w:t xml:space="preserve"> </w:t>
      </w:r>
      <w:r w:rsidR="0031316C" w:rsidRPr="00A318AA">
        <w:rPr>
          <w:color w:val="000000" w:themeColor="text1"/>
        </w:rPr>
        <w:t xml:space="preserve">Children with disabilities are required to meet </w:t>
      </w:r>
      <w:r w:rsidR="006B323C" w:rsidRPr="00A318AA">
        <w:rPr>
          <w:color w:val="000000" w:themeColor="text1"/>
        </w:rPr>
        <w:t>state</w:t>
      </w:r>
      <w:r w:rsidR="0031316C" w:rsidRPr="00A318AA">
        <w:rPr>
          <w:color w:val="000000" w:themeColor="text1"/>
        </w:rPr>
        <w:t xml:space="preserve"> domicile requirements to be entitled to </w:t>
      </w:r>
      <w:r w:rsidR="00F46863" w:rsidRPr="00A318AA">
        <w:rPr>
          <w:color w:val="000000" w:themeColor="text1"/>
        </w:rPr>
        <w:t xml:space="preserve">apply for </w:t>
      </w:r>
      <w:r w:rsidR="0031316C" w:rsidRPr="00A318AA">
        <w:rPr>
          <w:color w:val="000000" w:themeColor="text1"/>
        </w:rPr>
        <w:t xml:space="preserve">admission to </w:t>
      </w:r>
      <w:r w:rsidR="00F32E51" w:rsidRPr="00A318AA">
        <w:rPr>
          <w:color w:val="000000" w:themeColor="text1"/>
        </w:rPr>
        <w:t xml:space="preserve">the </w:t>
      </w:r>
      <w:r w:rsidR="0031316C" w:rsidRPr="00A318AA">
        <w:rPr>
          <w:color w:val="000000" w:themeColor="text1"/>
        </w:rPr>
        <w:t xml:space="preserve">school unless they otherwise meet one of the circumstances that entitle them to </w:t>
      </w:r>
      <w:r w:rsidR="00C1638A" w:rsidRPr="00A318AA">
        <w:rPr>
          <w:color w:val="000000" w:themeColor="text1"/>
        </w:rPr>
        <w:t xml:space="preserve">apply for </w:t>
      </w:r>
      <w:r w:rsidR="0031316C" w:rsidRPr="00A318AA">
        <w:rPr>
          <w:color w:val="000000" w:themeColor="text1"/>
        </w:rPr>
        <w:t>admission</w:t>
      </w:r>
      <w:r w:rsidR="00CC45AD" w:rsidRPr="00A318AA">
        <w:rPr>
          <w:color w:val="000000" w:themeColor="text1"/>
        </w:rPr>
        <w:t xml:space="preserve">.  (See </w:t>
      </w:r>
      <w:r w:rsidR="001D3F09" w:rsidRPr="00A318AA">
        <w:rPr>
          <w:color w:val="000000" w:themeColor="text1"/>
        </w:rPr>
        <w:t>S</w:t>
      </w:r>
      <w:r w:rsidR="0031316C" w:rsidRPr="00A318AA">
        <w:rPr>
          <w:color w:val="000000" w:themeColor="text1"/>
        </w:rPr>
        <w:t>ection C</w:t>
      </w:r>
      <w:r w:rsidR="006B323C" w:rsidRPr="00A318AA">
        <w:rPr>
          <w:color w:val="000000" w:themeColor="text1"/>
        </w:rPr>
        <w:t>,</w:t>
      </w:r>
      <w:r w:rsidR="0031316C" w:rsidRPr="00A318AA">
        <w:rPr>
          <w:color w:val="000000" w:themeColor="text1"/>
        </w:rPr>
        <w:t xml:space="preserve"> below</w:t>
      </w:r>
      <w:r w:rsidR="0060731F" w:rsidRPr="00A318AA">
        <w:rPr>
          <w:color w:val="000000" w:themeColor="text1"/>
        </w:rPr>
        <w:t>.</w:t>
      </w:r>
      <w:r w:rsidR="0031316C" w:rsidRPr="00A318AA">
        <w:rPr>
          <w:color w:val="000000" w:themeColor="text1"/>
        </w:rPr>
        <w:t>)</w:t>
      </w:r>
    </w:p>
    <w:p w14:paraId="3BC83E63" w14:textId="77777777" w:rsidR="00055922" w:rsidRPr="00A318AA" w:rsidRDefault="00055922" w:rsidP="002B2385">
      <w:pPr>
        <w:widowControl/>
        <w:tabs>
          <w:tab w:val="left" w:pos="-1440"/>
        </w:tabs>
        <w:jc w:val="both"/>
        <w:rPr>
          <w:b/>
          <w:smallCaps/>
          <w:color w:val="000000" w:themeColor="text1"/>
        </w:rPr>
      </w:pPr>
    </w:p>
    <w:p w14:paraId="0C0E32CF" w14:textId="77777777" w:rsidR="002B2385" w:rsidRPr="00A318AA" w:rsidRDefault="002B2385" w:rsidP="00273299">
      <w:pPr>
        <w:widowControl/>
        <w:numPr>
          <w:ilvl w:val="0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b/>
          <w:smallCaps/>
          <w:color w:val="000000" w:themeColor="text1"/>
        </w:rPr>
        <w:t>Domicile and Residence Defined</w:t>
      </w:r>
    </w:p>
    <w:p w14:paraId="17BFF6AF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3A6755FD" w14:textId="77777777" w:rsidR="00D13082" w:rsidRPr="00A318AA" w:rsidRDefault="002B2385" w:rsidP="006656E7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A318AA">
        <w:rPr>
          <w:color w:val="000000" w:themeColor="text1"/>
        </w:rPr>
        <w:t>Domicile requires the intent to abandon one</w:t>
      </w:r>
      <w:r w:rsidR="00A73E6D" w:rsidRPr="00A318AA">
        <w:rPr>
          <w:color w:val="000000" w:themeColor="text1"/>
        </w:rPr>
        <w:t>’</w:t>
      </w:r>
      <w:r w:rsidRPr="00A318AA">
        <w:rPr>
          <w:color w:val="000000" w:themeColor="text1"/>
        </w:rPr>
        <w:t xml:space="preserve">s prior home and remain in the new location as a permanent </w:t>
      </w:r>
      <w:r w:rsidR="00DB3269" w:rsidRPr="00A318AA">
        <w:rPr>
          <w:color w:val="000000" w:themeColor="text1"/>
        </w:rPr>
        <w:t xml:space="preserve">home for an indefinite period. </w:t>
      </w:r>
      <w:r w:rsidR="00273299" w:rsidRPr="00A318AA">
        <w:rPr>
          <w:color w:val="000000" w:themeColor="text1"/>
        </w:rPr>
        <w:t xml:space="preserve"> </w:t>
      </w:r>
      <w:r w:rsidRPr="00A318AA">
        <w:rPr>
          <w:color w:val="000000" w:themeColor="text1"/>
        </w:rPr>
        <w:t>In contrast, a residence need not be one</w:t>
      </w:r>
      <w:r w:rsidR="00A73E6D" w:rsidRPr="00A318AA">
        <w:rPr>
          <w:color w:val="000000" w:themeColor="text1"/>
        </w:rPr>
        <w:t>’</w:t>
      </w:r>
      <w:r w:rsidRPr="00A318AA">
        <w:rPr>
          <w:color w:val="000000" w:themeColor="text1"/>
        </w:rPr>
        <w:t>s exclusive home and does not require an intention that the residence be the permanent home.</w:t>
      </w:r>
    </w:p>
    <w:p w14:paraId="295AB084" w14:textId="77777777" w:rsidR="00D13082" w:rsidRPr="00A318AA" w:rsidRDefault="00D13082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1732771F" w14:textId="77777777" w:rsidR="002B2385" w:rsidRPr="00A318AA" w:rsidRDefault="002B2385" w:rsidP="006656E7">
      <w:pPr>
        <w:widowControl/>
        <w:numPr>
          <w:ilvl w:val="0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b/>
          <w:smallCaps/>
          <w:color w:val="000000" w:themeColor="text1"/>
        </w:rPr>
        <w:t>Meeting Domicile Requirements</w:t>
      </w:r>
    </w:p>
    <w:p w14:paraId="06109876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45B5A32F" w14:textId="77777777" w:rsidR="002B2385" w:rsidRPr="00A318AA" w:rsidRDefault="002B2385" w:rsidP="006656E7">
      <w:pPr>
        <w:widowControl/>
        <w:numPr>
          <w:ilvl w:val="1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Domicile of </w:t>
      </w:r>
      <w:r w:rsidR="00A36A7B" w:rsidRPr="00A318AA">
        <w:rPr>
          <w:color w:val="000000" w:themeColor="text1"/>
        </w:rPr>
        <w:t>Scholars</w:t>
      </w:r>
      <w:r w:rsidRPr="00A318AA">
        <w:rPr>
          <w:color w:val="000000" w:themeColor="text1"/>
        </w:rPr>
        <w:t xml:space="preserve"> Generally</w:t>
      </w:r>
    </w:p>
    <w:p w14:paraId="64422461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87A8311" w14:textId="77777777" w:rsidR="002B2385" w:rsidRPr="00A318AA" w:rsidRDefault="002B2385" w:rsidP="006656E7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The domicile of 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under 18 years of age is presumed to be the domicile of his or her parents, legal guardian</w:t>
      </w:r>
      <w:r w:rsidR="000A4CD7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or legal custodian as defined by the General Statutes of North Carolina.  </w:t>
      </w:r>
    </w:p>
    <w:p w14:paraId="6F02F73E" w14:textId="77777777" w:rsidR="002B2385" w:rsidRPr="00A318AA" w:rsidRDefault="002B2385" w:rsidP="002B2385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5FD3FE15" w14:textId="77777777" w:rsidR="002B2385" w:rsidRPr="00A318AA" w:rsidRDefault="002B2385" w:rsidP="006656E7">
      <w:pPr>
        <w:widowControl/>
        <w:numPr>
          <w:ilvl w:val="1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Domicile of Emancipated </w:t>
      </w:r>
      <w:r w:rsidR="00A36A7B" w:rsidRPr="00A318AA">
        <w:rPr>
          <w:color w:val="000000" w:themeColor="text1"/>
        </w:rPr>
        <w:t>Scholars</w:t>
      </w:r>
    </w:p>
    <w:p w14:paraId="62C74F82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13420CF0" w14:textId="77777777" w:rsidR="002B2385" w:rsidRPr="00A318AA" w:rsidRDefault="002B2385" w:rsidP="006656E7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If </w:t>
      </w:r>
      <w:r w:rsidR="008F2154" w:rsidRPr="00A318AA">
        <w:rPr>
          <w:color w:val="000000" w:themeColor="text1"/>
        </w:rPr>
        <w:t xml:space="preserve">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is at least 18 years of age</w:t>
      </w:r>
      <w:r w:rsidR="00EF3026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</w:t>
      </w:r>
      <w:r w:rsidR="00E232BC" w:rsidRPr="00A318AA">
        <w:rPr>
          <w:color w:val="000000" w:themeColor="text1"/>
        </w:rPr>
        <w:t xml:space="preserve">is </w:t>
      </w:r>
      <w:r w:rsidRPr="00A318AA">
        <w:rPr>
          <w:color w:val="000000" w:themeColor="text1"/>
        </w:rPr>
        <w:t>married</w:t>
      </w:r>
      <w:r w:rsidR="00EF3026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or </w:t>
      </w:r>
      <w:r w:rsidR="00E232BC" w:rsidRPr="00A318AA">
        <w:rPr>
          <w:color w:val="000000" w:themeColor="text1"/>
        </w:rPr>
        <w:t xml:space="preserve">has been </w:t>
      </w:r>
      <w:r w:rsidR="00457074" w:rsidRPr="00A318AA">
        <w:rPr>
          <w:color w:val="000000" w:themeColor="text1"/>
        </w:rPr>
        <w:t>abandoned by his or her parents,</w:t>
      </w:r>
      <w:r w:rsidRPr="00A318AA">
        <w:rPr>
          <w:color w:val="000000" w:themeColor="text1"/>
        </w:rPr>
        <w:t xml:space="preserve"> or if the court declares 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to be emancipated, 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may establish a domicile independent from that of his or her parents, legal guardian</w:t>
      </w:r>
      <w:r w:rsidR="000A4CD7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or legal custodian.</w:t>
      </w:r>
      <w:r w:rsidR="00DB3269" w:rsidRPr="00A318AA">
        <w:rPr>
          <w:color w:val="000000" w:themeColor="text1"/>
        </w:rPr>
        <w:t xml:space="preserve"> </w:t>
      </w:r>
      <w:r w:rsidR="008F2154" w:rsidRPr="00A318AA">
        <w:rPr>
          <w:color w:val="000000" w:themeColor="text1"/>
        </w:rPr>
        <w:t xml:space="preserve"> </w:t>
      </w:r>
      <w:r w:rsidRPr="00A318AA">
        <w:rPr>
          <w:color w:val="000000" w:themeColor="text1"/>
        </w:rPr>
        <w:t xml:space="preserve">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who establishes domicile as a result of being emancipated </w:t>
      </w:r>
      <w:r w:rsidR="00BC0411" w:rsidRPr="00A318AA">
        <w:rPr>
          <w:color w:val="000000" w:themeColor="text1"/>
        </w:rPr>
        <w:t xml:space="preserve">is </w:t>
      </w:r>
      <w:r w:rsidRPr="00A318AA">
        <w:rPr>
          <w:color w:val="000000" w:themeColor="text1"/>
        </w:rPr>
        <w:t xml:space="preserve">a domiciliary of the </w:t>
      </w:r>
      <w:r w:rsidR="006F48DD" w:rsidRPr="00A318AA">
        <w:rPr>
          <w:color w:val="000000" w:themeColor="text1"/>
        </w:rPr>
        <w:t xml:space="preserve">participating </w:t>
      </w:r>
      <w:r w:rsidRPr="00A318AA">
        <w:rPr>
          <w:color w:val="000000" w:themeColor="text1"/>
        </w:rPr>
        <w:t xml:space="preserve">school </w:t>
      </w:r>
      <w:r w:rsidR="00EF3026" w:rsidRPr="00A318AA">
        <w:rPr>
          <w:color w:val="000000" w:themeColor="text1"/>
        </w:rPr>
        <w:t xml:space="preserve">system </w:t>
      </w:r>
      <w:r w:rsidRPr="00A318AA">
        <w:rPr>
          <w:color w:val="000000" w:themeColor="text1"/>
        </w:rPr>
        <w:t xml:space="preserve">and </w:t>
      </w:r>
      <w:r w:rsidR="00BC0411" w:rsidRPr="00A318AA">
        <w:rPr>
          <w:color w:val="000000" w:themeColor="text1"/>
        </w:rPr>
        <w:t xml:space="preserve">is </w:t>
      </w:r>
      <w:r w:rsidRPr="00A318AA">
        <w:rPr>
          <w:color w:val="000000" w:themeColor="text1"/>
        </w:rPr>
        <w:t xml:space="preserve">entitled to the same rights and privileges of other </w:t>
      </w:r>
      <w:r w:rsidR="00A36A7B" w:rsidRPr="00A318AA">
        <w:rPr>
          <w:color w:val="000000" w:themeColor="text1"/>
        </w:rPr>
        <w:t>scholars</w:t>
      </w:r>
      <w:r w:rsidRPr="00A318AA">
        <w:rPr>
          <w:color w:val="000000" w:themeColor="text1"/>
        </w:rPr>
        <w:t xml:space="preserve"> domiciled in the</w:t>
      </w:r>
      <w:r w:rsidR="006F48DD" w:rsidRPr="00A318AA">
        <w:rPr>
          <w:color w:val="000000" w:themeColor="text1"/>
        </w:rPr>
        <w:t xml:space="preserve"> participating</w:t>
      </w:r>
      <w:r w:rsidRPr="00A318AA">
        <w:rPr>
          <w:color w:val="000000" w:themeColor="text1"/>
        </w:rPr>
        <w:t xml:space="preserve"> school </w:t>
      </w:r>
      <w:r w:rsidR="00EF3026" w:rsidRPr="00A318AA">
        <w:rPr>
          <w:color w:val="000000" w:themeColor="text1"/>
        </w:rPr>
        <w:t>system</w:t>
      </w:r>
      <w:r w:rsidR="006F48DD" w:rsidRPr="00A318AA">
        <w:rPr>
          <w:color w:val="000000" w:themeColor="text1"/>
        </w:rPr>
        <w:t>, including the right to apply for admission to the school</w:t>
      </w:r>
      <w:r w:rsidRPr="00A318AA">
        <w:rPr>
          <w:color w:val="000000" w:themeColor="text1"/>
        </w:rPr>
        <w:t>.</w:t>
      </w:r>
    </w:p>
    <w:p w14:paraId="67F71D70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E31521E" w14:textId="77777777" w:rsidR="002B2385" w:rsidRPr="00A318AA" w:rsidRDefault="002B2385" w:rsidP="006656E7">
      <w:pPr>
        <w:widowControl/>
        <w:numPr>
          <w:ilvl w:val="1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Domicile of </w:t>
      </w:r>
      <w:r w:rsidR="00A36A7B" w:rsidRPr="00A318AA">
        <w:rPr>
          <w:color w:val="000000" w:themeColor="text1"/>
        </w:rPr>
        <w:t>Scholars</w:t>
      </w:r>
      <w:r w:rsidRPr="00A318AA">
        <w:rPr>
          <w:color w:val="000000" w:themeColor="text1"/>
        </w:rPr>
        <w:t xml:space="preserve"> with Divorced or Separated Parents</w:t>
      </w:r>
    </w:p>
    <w:p w14:paraId="1528091D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3BF26A90" w14:textId="77777777" w:rsidR="002B2385" w:rsidRPr="00A318AA" w:rsidRDefault="002B2385" w:rsidP="006656E7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Domicile </w:t>
      </w:r>
      <w:r w:rsidR="009251BF" w:rsidRPr="00A318AA">
        <w:rPr>
          <w:color w:val="000000" w:themeColor="text1"/>
        </w:rPr>
        <w:t xml:space="preserve">will </w:t>
      </w:r>
      <w:r w:rsidRPr="00A318AA">
        <w:rPr>
          <w:color w:val="000000" w:themeColor="text1"/>
        </w:rPr>
        <w:t>be determined by the following criteria</w:t>
      </w:r>
      <w:r w:rsidR="00337D6C" w:rsidRPr="00A318AA">
        <w:rPr>
          <w:color w:val="000000" w:themeColor="text1"/>
        </w:rPr>
        <w:t>.</w:t>
      </w:r>
      <w:r w:rsidRPr="00A318AA">
        <w:rPr>
          <w:color w:val="000000" w:themeColor="text1"/>
        </w:rPr>
        <w:t xml:space="preserve">  </w:t>
      </w:r>
    </w:p>
    <w:p w14:paraId="5DEEE5A9" w14:textId="77777777" w:rsidR="001A2BE9" w:rsidRPr="00A318AA" w:rsidRDefault="001A2BE9" w:rsidP="001A2BE9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30ED6BF2" w14:textId="77777777" w:rsidR="002B2385" w:rsidRPr="00A318AA" w:rsidRDefault="002B2385" w:rsidP="006656E7">
      <w:pPr>
        <w:pStyle w:val="a"/>
        <w:widowControl/>
        <w:numPr>
          <w:ilvl w:val="2"/>
          <w:numId w:val="16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 xml:space="preserve">In the event that </w:t>
      </w:r>
      <w:r w:rsidR="006A498B" w:rsidRPr="00A318AA">
        <w:rPr>
          <w:rFonts w:ascii="Times New Roman" w:hAnsi="Times New Roman"/>
          <w:color w:val="000000" w:themeColor="text1"/>
        </w:rPr>
        <w:t xml:space="preserve">a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6A498B" w:rsidRPr="00A318AA">
        <w:rPr>
          <w:rFonts w:ascii="Times New Roman" w:hAnsi="Times New Roman"/>
          <w:color w:val="000000" w:themeColor="text1"/>
        </w:rPr>
        <w:t>’s</w:t>
      </w:r>
      <w:r w:rsidRPr="00A318AA">
        <w:rPr>
          <w:rFonts w:ascii="Times New Roman" w:hAnsi="Times New Roman"/>
          <w:color w:val="000000" w:themeColor="text1"/>
        </w:rPr>
        <w:t xml:space="preserve"> parents are divorced or </w:t>
      </w:r>
      <w:proofErr w:type="gramStart"/>
      <w:r w:rsidRPr="00A318AA">
        <w:rPr>
          <w:rFonts w:ascii="Times New Roman" w:hAnsi="Times New Roman"/>
          <w:color w:val="000000" w:themeColor="text1"/>
        </w:rPr>
        <w:t>separated</w:t>
      </w:r>
      <w:proofErr w:type="gramEnd"/>
      <w:r w:rsidRPr="00A318AA">
        <w:rPr>
          <w:rFonts w:ascii="Times New Roman" w:hAnsi="Times New Roman"/>
          <w:color w:val="000000" w:themeColor="text1"/>
        </w:rPr>
        <w:t xml:space="preserve"> and physical custody has been give</w:t>
      </w:r>
      <w:r w:rsidR="00A73E6D" w:rsidRPr="00A318AA">
        <w:rPr>
          <w:rFonts w:ascii="Times New Roman" w:hAnsi="Times New Roman"/>
          <w:color w:val="000000" w:themeColor="text1"/>
        </w:rPr>
        <w:t xml:space="preserve">n to only one parent, </w:t>
      </w:r>
      <w:r w:rsidR="000108F7" w:rsidRPr="00A318AA">
        <w:rPr>
          <w:rFonts w:ascii="Times New Roman" w:hAnsi="Times New Roman"/>
          <w:color w:val="000000" w:themeColor="text1"/>
        </w:rPr>
        <w:t xml:space="preserve">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A73E6D" w:rsidRPr="00A318AA">
        <w:rPr>
          <w:rFonts w:ascii="Times New Roman" w:hAnsi="Times New Roman"/>
          <w:color w:val="000000" w:themeColor="text1"/>
        </w:rPr>
        <w:t>’</w:t>
      </w:r>
      <w:r w:rsidRPr="00A318AA">
        <w:rPr>
          <w:rFonts w:ascii="Times New Roman" w:hAnsi="Times New Roman"/>
          <w:color w:val="000000" w:themeColor="text1"/>
        </w:rPr>
        <w:t xml:space="preserve">s domicile follows that of the parent who has been granted physical custody.  </w:t>
      </w:r>
    </w:p>
    <w:p w14:paraId="1F52FDCE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4DDF87F9" w14:textId="77777777" w:rsidR="002B2385" w:rsidRPr="00A318AA" w:rsidRDefault="002B2385" w:rsidP="006656E7">
      <w:pPr>
        <w:pStyle w:val="a"/>
        <w:widowControl/>
        <w:numPr>
          <w:ilvl w:val="2"/>
          <w:numId w:val="16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 xml:space="preserve">If physical custody has not been determined or has been granted jointly to both parents, </w:t>
      </w:r>
      <w:proofErr w:type="gramStart"/>
      <w:r w:rsidRPr="00A318AA">
        <w:rPr>
          <w:rFonts w:ascii="Times New Roman" w:hAnsi="Times New Roman"/>
          <w:color w:val="000000" w:themeColor="text1"/>
        </w:rPr>
        <w:t>or</w:t>
      </w:r>
      <w:proofErr w:type="gramEnd"/>
      <w:r w:rsidRPr="00A318AA">
        <w:rPr>
          <w:rFonts w:ascii="Times New Roman" w:hAnsi="Times New Roman"/>
          <w:color w:val="000000" w:themeColor="text1"/>
        </w:rPr>
        <w:t xml:space="preserve"> if the custodial parent wishes 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Pr="00A318AA">
        <w:rPr>
          <w:rFonts w:ascii="Times New Roman" w:hAnsi="Times New Roman"/>
          <w:color w:val="000000" w:themeColor="text1"/>
        </w:rPr>
        <w:t xml:space="preserve"> to </w:t>
      </w:r>
      <w:r w:rsidR="006F48DD" w:rsidRPr="00A318AA">
        <w:rPr>
          <w:rFonts w:ascii="Times New Roman" w:hAnsi="Times New Roman"/>
          <w:color w:val="000000" w:themeColor="text1"/>
        </w:rPr>
        <w:t xml:space="preserve">apply to the </w:t>
      </w:r>
      <w:r w:rsidRPr="00A318AA">
        <w:rPr>
          <w:rFonts w:ascii="Times New Roman" w:hAnsi="Times New Roman"/>
          <w:color w:val="000000" w:themeColor="text1"/>
        </w:rPr>
        <w:t>sch</w:t>
      </w:r>
      <w:r w:rsidR="00A73E6D" w:rsidRPr="00A318AA">
        <w:rPr>
          <w:rFonts w:ascii="Times New Roman" w:hAnsi="Times New Roman"/>
          <w:color w:val="000000" w:themeColor="text1"/>
        </w:rPr>
        <w:t xml:space="preserve">ool </w:t>
      </w:r>
      <w:r w:rsidR="006F48DD" w:rsidRPr="00A318AA">
        <w:rPr>
          <w:rFonts w:ascii="Times New Roman" w:hAnsi="Times New Roman"/>
          <w:color w:val="000000" w:themeColor="text1"/>
        </w:rPr>
        <w:t xml:space="preserve">based on </w:t>
      </w:r>
      <w:r w:rsidR="00A73E6D" w:rsidRPr="00A318AA">
        <w:rPr>
          <w:rFonts w:ascii="Times New Roman" w:hAnsi="Times New Roman"/>
          <w:color w:val="000000" w:themeColor="text1"/>
        </w:rPr>
        <w:t>the non-custodial parent’</w:t>
      </w:r>
      <w:r w:rsidRPr="00A318AA">
        <w:rPr>
          <w:rFonts w:ascii="Times New Roman" w:hAnsi="Times New Roman"/>
          <w:color w:val="000000" w:themeColor="text1"/>
        </w:rPr>
        <w:t xml:space="preserve">s </w:t>
      </w:r>
      <w:r w:rsidR="00EF3026" w:rsidRPr="00A318AA">
        <w:rPr>
          <w:rFonts w:ascii="Times New Roman" w:hAnsi="Times New Roman"/>
          <w:color w:val="000000" w:themeColor="text1"/>
        </w:rPr>
        <w:t xml:space="preserve">system </w:t>
      </w:r>
      <w:r w:rsidRPr="00A318AA">
        <w:rPr>
          <w:rFonts w:ascii="Times New Roman" w:hAnsi="Times New Roman"/>
          <w:color w:val="000000" w:themeColor="text1"/>
        </w:rPr>
        <w:t>of residence, then the parents must jointly agree on which residence will be used to d</w:t>
      </w:r>
      <w:r w:rsidR="00DB3269" w:rsidRPr="00A318AA">
        <w:rPr>
          <w:rFonts w:ascii="Times New Roman" w:hAnsi="Times New Roman"/>
          <w:color w:val="000000" w:themeColor="text1"/>
        </w:rPr>
        <w:t xml:space="preserve">etermine the </w:t>
      </w:r>
      <w:r w:rsidR="00944F46" w:rsidRPr="00A318AA">
        <w:rPr>
          <w:rFonts w:ascii="Times New Roman" w:hAnsi="Times New Roman"/>
          <w:color w:val="000000" w:themeColor="text1"/>
        </w:rPr>
        <w:lastRenderedPageBreak/>
        <w:t>scholar</w:t>
      </w:r>
      <w:r w:rsidR="00DE669F" w:rsidRPr="00A318AA">
        <w:rPr>
          <w:rFonts w:ascii="Times New Roman" w:hAnsi="Times New Roman"/>
          <w:color w:val="000000" w:themeColor="text1"/>
        </w:rPr>
        <w:t>’s</w:t>
      </w:r>
      <w:r w:rsidR="007C7E52" w:rsidRPr="00A318AA">
        <w:rPr>
          <w:rFonts w:ascii="Times New Roman" w:hAnsi="Times New Roman"/>
          <w:color w:val="000000" w:themeColor="text1"/>
        </w:rPr>
        <w:t xml:space="preserve"> </w:t>
      </w:r>
      <w:r w:rsidR="00DB3269" w:rsidRPr="00A318AA">
        <w:rPr>
          <w:rFonts w:ascii="Times New Roman" w:hAnsi="Times New Roman"/>
          <w:color w:val="000000" w:themeColor="text1"/>
        </w:rPr>
        <w:t xml:space="preserve">domicile. </w:t>
      </w:r>
      <w:r w:rsidR="00860283" w:rsidRPr="00A318AA">
        <w:rPr>
          <w:rFonts w:ascii="Times New Roman" w:hAnsi="Times New Roman"/>
          <w:color w:val="000000" w:themeColor="text1"/>
        </w:rPr>
        <w:t xml:space="preserve"> </w:t>
      </w:r>
      <w:r w:rsidRPr="00A318AA">
        <w:rPr>
          <w:rFonts w:ascii="Times New Roman" w:hAnsi="Times New Roman"/>
          <w:color w:val="000000" w:themeColor="text1"/>
        </w:rPr>
        <w:t xml:space="preserve">The selected residence must be submitted in writing to the </w:t>
      </w:r>
      <w:r w:rsidR="001556DD" w:rsidRPr="00A318AA">
        <w:rPr>
          <w:rFonts w:ascii="Times New Roman" w:hAnsi="Times New Roman"/>
          <w:color w:val="000000" w:themeColor="text1"/>
        </w:rPr>
        <w:t>principal</w:t>
      </w:r>
      <w:r w:rsidRPr="00A318AA">
        <w:rPr>
          <w:rFonts w:ascii="Times New Roman" w:hAnsi="Times New Roman"/>
          <w:color w:val="000000" w:themeColor="text1"/>
        </w:rPr>
        <w:t xml:space="preserve">.  </w:t>
      </w:r>
    </w:p>
    <w:p w14:paraId="55825635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432166F" w14:textId="77777777" w:rsidR="002B2385" w:rsidRPr="00A318AA" w:rsidRDefault="002B2385" w:rsidP="00273299">
      <w:pPr>
        <w:widowControl/>
        <w:numPr>
          <w:ilvl w:val="0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b/>
          <w:smallCaps/>
          <w:color w:val="000000" w:themeColor="text1"/>
        </w:rPr>
        <w:t>Meeting Residence Requirements</w:t>
      </w:r>
    </w:p>
    <w:p w14:paraId="10935860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7FB20941" w14:textId="712434FE" w:rsidR="002B2385" w:rsidRPr="00A318AA" w:rsidRDefault="002B2385" w:rsidP="006656E7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who resides in</w:t>
      </w:r>
      <w:r w:rsidR="00BF547D" w:rsidRPr="00A318AA">
        <w:rPr>
          <w:color w:val="000000" w:themeColor="text1"/>
        </w:rPr>
        <w:t xml:space="preserve"> one of the school’s participating school </w:t>
      </w:r>
      <w:proofErr w:type="gramStart"/>
      <w:r w:rsidR="00BF547D" w:rsidRPr="00A318AA">
        <w:rPr>
          <w:color w:val="000000" w:themeColor="text1"/>
        </w:rPr>
        <w:t>systems</w:t>
      </w:r>
      <w:r w:rsidRPr="00A318AA">
        <w:rPr>
          <w:color w:val="000000" w:themeColor="text1"/>
        </w:rPr>
        <w:t xml:space="preserve"> </w:t>
      </w:r>
      <w:r w:rsidR="00C1638A" w:rsidRPr="00A318AA">
        <w:rPr>
          <w:color w:val="000000" w:themeColor="text1"/>
        </w:rPr>
        <w:t xml:space="preserve"> </w:t>
      </w:r>
      <w:r w:rsidRPr="00A318AA">
        <w:rPr>
          <w:color w:val="000000" w:themeColor="text1"/>
        </w:rPr>
        <w:t>in</w:t>
      </w:r>
      <w:proofErr w:type="gramEnd"/>
      <w:r w:rsidRPr="00A318AA">
        <w:rPr>
          <w:color w:val="000000" w:themeColor="text1"/>
        </w:rPr>
        <w:t xml:space="preserve"> any of the following circumstances </w:t>
      </w:r>
      <w:r w:rsidR="00C1638A" w:rsidRPr="00A318AA">
        <w:rPr>
          <w:color w:val="000000" w:themeColor="text1"/>
        </w:rPr>
        <w:t>may apply for admission</w:t>
      </w:r>
      <w:r w:rsidRPr="00A318AA">
        <w:rPr>
          <w:color w:val="000000" w:themeColor="text1"/>
        </w:rPr>
        <w:t>.</w:t>
      </w:r>
    </w:p>
    <w:p w14:paraId="6C19ED29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39AC2320" w14:textId="77777777" w:rsidR="002B2385" w:rsidRPr="00A318AA" w:rsidRDefault="002B2385" w:rsidP="006656E7">
      <w:pPr>
        <w:widowControl/>
        <w:numPr>
          <w:ilvl w:val="0"/>
          <w:numId w:val="14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is homeless</w:t>
      </w:r>
      <w:r w:rsidR="002F1B28" w:rsidRPr="00A318AA">
        <w:rPr>
          <w:color w:val="000000" w:themeColor="text1"/>
        </w:rPr>
        <w:t xml:space="preserve"> as defined in state and federal law and policy 4125, Homeless </w:t>
      </w:r>
      <w:r w:rsidR="00A36A7B" w:rsidRPr="00A318AA">
        <w:rPr>
          <w:color w:val="000000" w:themeColor="text1"/>
        </w:rPr>
        <w:t>Scholars</w:t>
      </w:r>
      <w:r w:rsidRPr="00A318AA">
        <w:rPr>
          <w:color w:val="000000" w:themeColor="text1"/>
        </w:rPr>
        <w:t>.</w:t>
      </w:r>
      <w:r w:rsidR="00732447" w:rsidRPr="00A318AA">
        <w:rPr>
          <w:color w:val="000000" w:themeColor="text1"/>
        </w:rPr>
        <w:t xml:space="preserve"> </w:t>
      </w:r>
      <w:r w:rsidR="003E0152" w:rsidRPr="00A318AA">
        <w:rPr>
          <w:color w:val="000000" w:themeColor="text1"/>
        </w:rPr>
        <w:t xml:space="preserve"> </w:t>
      </w:r>
      <w:r w:rsidRPr="00A318AA">
        <w:rPr>
          <w:color w:val="000000" w:themeColor="text1"/>
        </w:rPr>
        <w:t xml:space="preserve">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living with a friend or relative is not a homeless </w:t>
      </w:r>
      <w:r w:rsidR="00944F46" w:rsidRPr="00A318AA">
        <w:rPr>
          <w:color w:val="000000" w:themeColor="text1"/>
        </w:rPr>
        <w:t>scholar</w:t>
      </w:r>
      <w:r w:rsidR="002F1B28" w:rsidRPr="00A318AA">
        <w:rPr>
          <w:color w:val="000000" w:themeColor="text1"/>
        </w:rPr>
        <w:t xml:space="preserve"> unless he</w:t>
      </w:r>
      <w:r w:rsidR="000C6FAF" w:rsidRPr="00A318AA">
        <w:rPr>
          <w:color w:val="000000" w:themeColor="text1"/>
        </w:rPr>
        <w:t xml:space="preserve"> or </w:t>
      </w:r>
      <w:r w:rsidR="002F1B28" w:rsidRPr="00A318AA">
        <w:rPr>
          <w:color w:val="000000" w:themeColor="text1"/>
        </w:rPr>
        <w:t>she lives there due to conditions that constitut</w:t>
      </w:r>
      <w:r w:rsidR="00CC40A4" w:rsidRPr="00A318AA">
        <w:rPr>
          <w:color w:val="000000" w:themeColor="text1"/>
        </w:rPr>
        <w:t>e</w:t>
      </w:r>
      <w:r w:rsidR="002F1B28" w:rsidRPr="00A318AA">
        <w:rPr>
          <w:color w:val="000000" w:themeColor="text1"/>
        </w:rPr>
        <w:t xml:space="preserve"> homelessness under state and federal statutes</w:t>
      </w:r>
      <w:r w:rsidR="00732447" w:rsidRPr="00A318AA">
        <w:rPr>
          <w:color w:val="000000" w:themeColor="text1"/>
        </w:rPr>
        <w:t xml:space="preserve">. </w:t>
      </w:r>
      <w:r w:rsidR="003E0152" w:rsidRPr="00A318AA">
        <w:rPr>
          <w:color w:val="000000" w:themeColor="text1"/>
        </w:rPr>
        <w:t xml:space="preserve"> </w:t>
      </w:r>
    </w:p>
    <w:p w14:paraId="1BCC4563" w14:textId="77777777" w:rsidR="002B2385" w:rsidRPr="00A318AA" w:rsidRDefault="002B2385" w:rsidP="002F1B28">
      <w:pPr>
        <w:widowControl/>
        <w:tabs>
          <w:tab w:val="left" w:pos="-1440"/>
        </w:tabs>
        <w:ind w:hanging="720"/>
        <w:jc w:val="both"/>
        <w:rPr>
          <w:color w:val="000000" w:themeColor="text1"/>
        </w:rPr>
      </w:pPr>
    </w:p>
    <w:p w14:paraId="068EBABD" w14:textId="77777777" w:rsidR="002B2385" w:rsidRPr="00A318AA" w:rsidRDefault="002B2385" w:rsidP="006656E7">
      <w:pPr>
        <w:widowControl/>
        <w:numPr>
          <w:ilvl w:val="0"/>
          <w:numId w:val="14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>The parent, guardian</w:t>
      </w:r>
      <w:r w:rsidR="000A4CD7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or legal custodian residing in the school </w:t>
      </w:r>
      <w:r w:rsidR="00EF3026" w:rsidRPr="00A318AA">
        <w:rPr>
          <w:color w:val="000000" w:themeColor="text1"/>
        </w:rPr>
        <w:t xml:space="preserve">system </w:t>
      </w:r>
      <w:r w:rsidRPr="00A318AA">
        <w:rPr>
          <w:color w:val="000000" w:themeColor="text1"/>
        </w:rPr>
        <w:t xml:space="preserve">attendance area is a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>, employee</w:t>
      </w:r>
      <w:r w:rsidR="000A4CD7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or faculty member of a college or university or is a visiting scholar at the National Humanities Center.</w:t>
      </w:r>
    </w:p>
    <w:p w14:paraId="2C9E9AFC" w14:textId="77777777" w:rsidR="002B2385" w:rsidRPr="00A318AA" w:rsidRDefault="002B2385" w:rsidP="002F1B28">
      <w:pPr>
        <w:widowControl/>
        <w:tabs>
          <w:tab w:val="left" w:pos="-1440"/>
        </w:tabs>
        <w:ind w:left="720" w:hanging="720"/>
        <w:jc w:val="both"/>
        <w:rPr>
          <w:color w:val="000000" w:themeColor="text1"/>
        </w:rPr>
      </w:pPr>
    </w:p>
    <w:p w14:paraId="5BAC8379" w14:textId="77777777" w:rsidR="002B2385" w:rsidRPr="00A318AA" w:rsidRDefault="002B2385" w:rsidP="006656E7">
      <w:pPr>
        <w:widowControl/>
        <w:numPr>
          <w:ilvl w:val="0"/>
          <w:numId w:val="14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resides in a group home, foster home</w:t>
      </w:r>
      <w:r w:rsidR="000A4CD7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or other similar facility or institution.</w:t>
      </w:r>
    </w:p>
    <w:p w14:paraId="043C8F34" w14:textId="77777777" w:rsidR="002F1B28" w:rsidRPr="00A318AA" w:rsidRDefault="002F1B28" w:rsidP="002F1B2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224E73FE" w14:textId="77777777" w:rsidR="002F1B28" w:rsidRPr="00A318AA" w:rsidRDefault="002F1B28" w:rsidP="006656E7">
      <w:pPr>
        <w:widowControl/>
        <w:numPr>
          <w:ilvl w:val="0"/>
          <w:numId w:val="14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resides in a pre-adoptive home following placement by a county department of social services or a licensed child-placing agency.</w:t>
      </w:r>
    </w:p>
    <w:p w14:paraId="36C4904B" w14:textId="77777777" w:rsidR="002B2385" w:rsidRPr="00A318AA" w:rsidRDefault="002B2385" w:rsidP="002F1B28">
      <w:pPr>
        <w:widowControl/>
        <w:tabs>
          <w:tab w:val="left" w:pos="-1440"/>
        </w:tabs>
        <w:ind w:hanging="720"/>
        <w:jc w:val="both"/>
        <w:rPr>
          <w:color w:val="000000" w:themeColor="text1"/>
        </w:rPr>
      </w:pPr>
    </w:p>
    <w:p w14:paraId="2DE06FDA" w14:textId="77777777" w:rsidR="002B2385" w:rsidRPr="00A318AA" w:rsidRDefault="002B2385" w:rsidP="006656E7">
      <w:pPr>
        <w:widowControl/>
        <w:numPr>
          <w:ilvl w:val="0"/>
          <w:numId w:val="14"/>
        </w:numPr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resides with an adult who is a domiciliary of </w:t>
      </w:r>
      <w:r w:rsidR="00BF547D" w:rsidRPr="00A318AA">
        <w:rPr>
          <w:color w:val="000000" w:themeColor="text1"/>
        </w:rPr>
        <w:t xml:space="preserve">one of </w:t>
      </w:r>
      <w:r w:rsidR="005F6591" w:rsidRPr="00A318AA">
        <w:rPr>
          <w:color w:val="000000" w:themeColor="text1"/>
        </w:rPr>
        <w:t xml:space="preserve">the </w:t>
      </w:r>
      <w:r w:rsidR="00BF547D" w:rsidRPr="00A318AA">
        <w:rPr>
          <w:color w:val="000000" w:themeColor="text1"/>
        </w:rPr>
        <w:t xml:space="preserve">participating </w:t>
      </w:r>
      <w:r w:rsidR="005F6591" w:rsidRPr="00A318AA">
        <w:rPr>
          <w:color w:val="000000" w:themeColor="text1"/>
        </w:rPr>
        <w:t>school system</w:t>
      </w:r>
      <w:r w:rsidR="00BF547D" w:rsidRPr="00A318AA">
        <w:rPr>
          <w:color w:val="000000" w:themeColor="text1"/>
        </w:rPr>
        <w:t>s</w:t>
      </w:r>
      <w:r w:rsidRPr="00A318AA">
        <w:rPr>
          <w:color w:val="000000" w:themeColor="text1"/>
        </w:rPr>
        <w:t xml:space="preserve"> as a result of any of the following</w:t>
      </w:r>
      <w:r w:rsidR="00337D6C" w:rsidRPr="00A318AA">
        <w:rPr>
          <w:color w:val="000000" w:themeColor="text1"/>
        </w:rPr>
        <w:t>.</w:t>
      </w:r>
    </w:p>
    <w:p w14:paraId="162FD989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44B9205B" w14:textId="77777777" w:rsidR="002B2385" w:rsidRPr="00A318AA" w:rsidRDefault="00337D6C" w:rsidP="006656E7">
      <w:pPr>
        <w:pStyle w:val="a"/>
        <w:widowControl/>
        <w:numPr>
          <w:ilvl w:val="1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>T</w:t>
      </w:r>
      <w:r w:rsidR="002B2385" w:rsidRPr="00A318AA">
        <w:rPr>
          <w:rFonts w:ascii="Times New Roman" w:hAnsi="Times New Roman"/>
          <w:color w:val="000000" w:themeColor="text1"/>
        </w:rPr>
        <w:t>he death, serious illness</w:t>
      </w:r>
      <w:r w:rsidR="000A4CD7" w:rsidRPr="00A318AA">
        <w:rPr>
          <w:rFonts w:ascii="Times New Roman" w:hAnsi="Times New Roman"/>
          <w:color w:val="000000" w:themeColor="text1"/>
        </w:rPr>
        <w:t>,</w:t>
      </w:r>
      <w:r w:rsidR="002B2385" w:rsidRPr="00A318AA">
        <w:rPr>
          <w:rFonts w:ascii="Times New Roman" w:hAnsi="Times New Roman"/>
          <w:color w:val="000000" w:themeColor="text1"/>
        </w:rPr>
        <w:t xml:space="preserve"> or incarceration of </w:t>
      </w:r>
      <w:r w:rsidR="00663EE5" w:rsidRPr="00A318AA">
        <w:rPr>
          <w:rFonts w:ascii="Times New Roman" w:hAnsi="Times New Roman"/>
          <w:color w:val="000000" w:themeColor="text1"/>
        </w:rPr>
        <w:t xml:space="preserve">the child’s </w:t>
      </w:r>
      <w:r w:rsidR="002B2385" w:rsidRPr="00A318AA">
        <w:rPr>
          <w:rFonts w:ascii="Times New Roman" w:hAnsi="Times New Roman"/>
          <w:color w:val="000000" w:themeColor="text1"/>
        </w:rPr>
        <w:t>parent or legal guardian</w:t>
      </w:r>
      <w:r w:rsidRPr="00A318AA">
        <w:rPr>
          <w:rFonts w:ascii="Times New Roman" w:hAnsi="Times New Roman"/>
          <w:color w:val="000000" w:themeColor="text1"/>
        </w:rPr>
        <w:t>.</w:t>
      </w:r>
    </w:p>
    <w:p w14:paraId="0D1B16C2" w14:textId="77777777" w:rsidR="002F1B28" w:rsidRPr="00A318AA" w:rsidRDefault="002F1B28" w:rsidP="002F1B28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6344BFD4" w14:textId="77777777" w:rsidR="002B2385" w:rsidRPr="00A318AA" w:rsidRDefault="00337D6C" w:rsidP="006656E7">
      <w:pPr>
        <w:pStyle w:val="a"/>
        <w:widowControl/>
        <w:numPr>
          <w:ilvl w:val="1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>T</w:t>
      </w:r>
      <w:r w:rsidR="002B2385" w:rsidRPr="00A318AA">
        <w:rPr>
          <w:rFonts w:ascii="Times New Roman" w:hAnsi="Times New Roman"/>
          <w:color w:val="000000" w:themeColor="text1"/>
        </w:rPr>
        <w:t xml:space="preserve">he abandonment by </w:t>
      </w:r>
      <w:r w:rsidR="00663EE5" w:rsidRPr="00A318AA">
        <w:rPr>
          <w:rFonts w:ascii="Times New Roman" w:hAnsi="Times New Roman"/>
          <w:color w:val="000000" w:themeColor="text1"/>
        </w:rPr>
        <w:t xml:space="preserve">the child’s </w:t>
      </w:r>
      <w:r w:rsidR="002B2385" w:rsidRPr="00A318AA">
        <w:rPr>
          <w:rFonts w:ascii="Times New Roman" w:hAnsi="Times New Roman"/>
          <w:color w:val="000000" w:themeColor="text1"/>
        </w:rPr>
        <w:t xml:space="preserve">parent or legal guardian of the complete control of 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2B2385" w:rsidRPr="00A318AA">
        <w:rPr>
          <w:rFonts w:ascii="Times New Roman" w:hAnsi="Times New Roman"/>
          <w:color w:val="000000" w:themeColor="text1"/>
        </w:rPr>
        <w:t xml:space="preserve"> as evidenced by the failure to provide substantial financial support and parental guidance</w:t>
      </w:r>
      <w:r w:rsidRPr="00A318AA">
        <w:rPr>
          <w:rFonts w:ascii="Times New Roman" w:hAnsi="Times New Roman"/>
          <w:color w:val="000000" w:themeColor="text1"/>
        </w:rPr>
        <w:t>.</w:t>
      </w:r>
    </w:p>
    <w:p w14:paraId="5F80206C" w14:textId="77777777" w:rsidR="002F1B28" w:rsidRPr="00A318AA" w:rsidRDefault="002F1B28" w:rsidP="002F1B28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5168CB77" w14:textId="77777777" w:rsidR="002B2385" w:rsidRPr="00A318AA" w:rsidRDefault="00337D6C" w:rsidP="006656E7">
      <w:pPr>
        <w:pStyle w:val="a"/>
        <w:widowControl/>
        <w:numPr>
          <w:ilvl w:val="1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>A</w:t>
      </w:r>
      <w:r w:rsidR="002B2385" w:rsidRPr="00A318AA">
        <w:rPr>
          <w:rFonts w:ascii="Times New Roman" w:hAnsi="Times New Roman"/>
          <w:color w:val="000000" w:themeColor="text1"/>
        </w:rPr>
        <w:t>buse or neglect by the parent or legal guardian</w:t>
      </w:r>
      <w:r w:rsidR="00FF1869" w:rsidRPr="00A318AA">
        <w:rPr>
          <w:rFonts w:ascii="Times New Roman" w:hAnsi="Times New Roman"/>
          <w:color w:val="000000" w:themeColor="text1"/>
        </w:rPr>
        <w:t>.</w:t>
      </w:r>
    </w:p>
    <w:p w14:paraId="3C527437" w14:textId="77777777" w:rsidR="002F1B28" w:rsidRPr="00A318AA" w:rsidRDefault="002F1B28" w:rsidP="002F1B28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42412F9B" w14:textId="77777777" w:rsidR="00B46E08" w:rsidRPr="00A318AA" w:rsidRDefault="00337D6C" w:rsidP="006656E7">
      <w:pPr>
        <w:pStyle w:val="a"/>
        <w:widowControl/>
        <w:numPr>
          <w:ilvl w:val="1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>T</w:t>
      </w:r>
      <w:r w:rsidR="002B2385" w:rsidRPr="00A318AA">
        <w:rPr>
          <w:rFonts w:ascii="Times New Roman" w:hAnsi="Times New Roman"/>
          <w:color w:val="000000" w:themeColor="text1"/>
        </w:rPr>
        <w:t xml:space="preserve">he physical or mental condition of the parent or legal guardian is such that he or she cannot provide </w:t>
      </w:r>
      <w:r w:rsidR="00D63A0D" w:rsidRPr="00A318AA">
        <w:rPr>
          <w:rFonts w:ascii="Times New Roman" w:hAnsi="Times New Roman"/>
          <w:color w:val="000000" w:themeColor="text1"/>
        </w:rPr>
        <w:t xml:space="preserve">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D63A0D" w:rsidRPr="00A318AA">
        <w:rPr>
          <w:rFonts w:ascii="Times New Roman" w:hAnsi="Times New Roman"/>
          <w:color w:val="000000" w:themeColor="text1"/>
        </w:rPr>
        <w:t xml:space="preserve"> with </w:t>
      </w:r>
      <w:r w:rsidR="002B2385" w:rsidRPr="00A318AA">
        <w:rPr>
          <w:rFonts w:ascii="Times New Roman" w:hAnsi="Times New Roman"/>
          <w:color w:val="000000" w:themeColor="text1"/>
        </w:rPr>
        <w:t>adequate care and supervision</w:t>
      </w:r>
      <w:r w:rsidRPr="00A318AA">
        <w:rPr>
          <w:rFonts w:ascii="Times New Roman" w:hAnsi="Times New Roman"/>
          <w:color w:val="000000" w:themeColor="text1"/>
        </w:rPr>
        <w:t>.</w:t>
      </w:r>
      <w:r w:rsidR="002B2385" w:rsidRPr="00A318AA">
        <w:rPr>
          <w:rFonts w:ascii="Times New Roman" w:hAnsi="Times New Roman"/>
          <w:color w:val="000000" w:themeColor="text1"/>
        </w:rPr>
        <w:t xml:space="preserve"> </w:t>
      </w:r>
    </w:p>
    <w:p w14:paraId="59CC2E0A" w14:textId="77777777" w:rsidR="00B46E08" w:rsidRPr="00A318AA" w:rsidRDefault="00B46E08" w:rsidP="00B46E08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090F2295" w14:textId="77777777" w:rsidR="002B2385" w:rsidRPr="00A318AA" w:rsidRDefault="00337D6C" w:rsidP="006656E7">
      <w:pPr>
        <w:pStyle w:val="a"/>
        <w:widowControl/>
        <w:numPr>
          <w:ilvl w:val="1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>T</w:t>
      </w:r>
      <w:r w:rsidR="00B46E08" w:rsidRPr="00A318AA">
        <w:rPr>
          <w:rFonts w:ascii="Times New Roman" w:hAnsi="Times New Roman"/>
          <w:color w:val="000000" w:themeColor="text1"/>
        </w:rPr>
        <w:t xml:space="preserve">he relinquishment of physical custody and control of 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B46E08" w:rsidRPr="00A318AA">
        <w:rPr>
          <w:rFonts w:ascii="Times New Roman" w:hAnsi="Times New Roman"/>
          <w:color w:val="000000" w:themeColor="text1"/>
        </w:rPr>
        <w:t xml:space="preserve"> by 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B46E08" w:rsidRPr="00A318AA">
        <w:rPr>
          <w:rFonts w:ascii="Times New Roman" w:hAnsi="Times New Roman"/>
          <w:color w:val="000000" w:themeColor="text1"/>
        </w:rPr>
        <w:t>’s parent or legal guardian upon the recommendation of the department of social services or the Division of Mental Health</w:t>
      </w:r>
      <w:r w:rsidRPr="00A318AA">
        <w:rPr>
          <w:rFonts w:ascii="Times New Roman" w:hAnsi="Times New Roman"/>
          <w:color w:val="000000" w:themeColor="text1"/>
        </w:rPr>
        <w:t>.</w:t>
      </w:r>
      <w:r w:rsidR="00B46E08" w:rsidRPr="00A318AA">
        <w:rPr>
          <w:rFonts w:ascii="Times New Roman" w:hAnsi="Times New Roman"/>
          <w:color w:val="000000" w:themeColor="text1"/>
        </w:rPr>
        <w:t xml:space="preserve"> </w:t>
      </w:r>
    </w:p>
    <w:p w14:paraId="24AE65A7" w14:textId="77777777" w:rsidR="002F1B28" w:rsidRPr="00A318AA" w:rsidRDefault="002F1B28" w:rsidP="002F1B28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517E81FF" w14:textId="77777777" w:rsidR="00C01ECB" w:rsidRPr="00A318AA" w:rsidRDefault="00337D6C" w:rsidP="006656E7">
      <w:pPr>
        <w:pStyle w:val="a"/>
        <w:widowControl/>
        <w:numPr>
          <w:ilvl w:val="1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t>T</w:t>
      </w:r>
      <w:r w:rsidR="002B2385" w:rsidRPr="00A318AA">
        <w:rPr>
          <w:rFonts w:ascii="Times New Roman" w:hAnsi="Times New Roman"/>
          <w:color w:val="000000" w:themeColor="text1"/>
        </w:rPr>
        <w:t xml:space="preserve">he loss or </w:t>
      </w:r>
      <w:r w:rsidR="00A73E6D" w:rsidRPr="00A318AA">
        <w:rPr>
          <w:rFonts w:ascii="Times New Roman" w:hAnsi="Times New Roman"/>
          <w:color w:val="000000" w:themeColor="text1"/>
        </w:rPr>
        <w:t xml:space="preserve">uninhabitability of 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A73E6D" w:rsidRPr="00A318AA">
        <w:rPr>
          <w:rFonts w:ascii="Times New Roman" w:hAnsi="Times New Roman"/>
          <w:color w:val="000000" w:themeColor="text1"/>
        </w:rPr>
        <w:t>’</w:t>
      </w:r>
      <w:r w:rsidR="002B2385" w:rsidRPr="00A318AA">
        <w:rPr>
          <w:rFonts w:ascii="Times New Roman" w:hAnsi="Times New Roman"/>
          <w:color w:val="000000" w:themeColor="text1"/>
        </w:rPr>
        <w:t>s home as the result of a natural disaster</w:t>
      </w:r>
      <w:r w:rsidRPr="00A318AA">
        <w:rPr>
          <w:rFonts w:ascii="Times New Roman" w:hAnsi="Times New Roman"/>
          <w:color w:val="000000" w:themeColor="text1"/>
        </w:rPr>
        <w:t>.</w:t>
      </w:r>
    </w:p>
    <w:p w14:paraId="7D4DF4AA" w14:textId="77777777" w:rsidR="00C01ECB" w:rsidRPr="00A318AA" w:rsidRDefault="00C01ECB" w:rsidP="00C01ECB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32B02694" w14:textId="77777777" w:rsidR="002B2385" w:rsidRPr="00A318AA" w:rsidRDefault="00337D6C" w:rsidP="006656E7">
      <w:pPr>
        <w:pStyle w:val="a"/>
        <w:widowControl/>
        <w:numPr>
          <w:ilvl w:val="1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A318AA">
        <w:rPr>
          <w:rFonts w:ascii="Times New Roman" w:hAnsi="Times New Roman"/>
          <w:color w:val="000000" w:themeColor="text1"/>
        </w:rPr>
        <w:lastRenderedPageBreak/>
        <w:t>T</w:t>
      </w:r>
      <w:r w:rsidR="00C01ECB" w:rsidRPr="00A318AA">
        <w:rPr>
          <w:rFonts w:ascii="Times New Roman" w:hAnsi="Times New Roman"/>
          <w:color w:val="000000" w:themeColor="text1"/>
        </w:rPr>
        <w:t>he parent or legal guardian is</w:t>
      </w:r>
      <w:r w:rsidR="004E6F6B" w:rsidRPr="00A318AA">
        <w:rPr>
          <w:rFonts w:ascii="Times New Roman" w:hAnsi="Times New Roman"/>
          <w:color w:val="000000" w:themeColor="text1"/>
        </w:rPr>
        <w:t xml:space="preserve"> one of the following:</w:t>
      </w:r>
      <w:r w:rsidR="00D70425" w:rsidRPr="00A318AA">
        <w:rPr>
          <w:rFonts w:ascii="Times New Roman" w:hAnsi="Times New Roman"/>
          <w:color w:val="000000" w:themeColor="text1"/>
        </w:rPr>
        <w:t xml:space="preserve"> </w:t>
      </w:r>
      <w:r w:rsidR="004E6F6B" w:rsidRPr="00A318AA">
        <w:rPr>
          <w:rFonts w:ascii="Times New Roman" w:hAnsi="Times New Roman"/>
          <w:color w:val="000000" w:themeColor="text1"/>
        </w:rPr>
        <w:t xml:space="preserve"> (1)</w:t>
      </w:r>
      <w:r w:rsidR="00C01ECB" w:rsidRPr="00A318AA">
        <w:rPr>
          <w:rFonts w:ascii="Times New Roman" w:hAnsi="Times New Roman"/>
          <w:color w:val="000000" w:themeColor="text1"/>
        </w:rPr>
        <w:t xml:space="preserve"> on active military duty</w:t>
      </w:r>
      <w:r w:rsidR="00517F88" w:rsidRPr="00A318AA">
        <w:rPr>
          <w:rFonts w:ascii="Times New Roman" w:hAnsi="Times New Roman"/>
          <w:color w:val="000000" w:themeColor="text1"/>
        </w:rPr>
        <w:t>, not including periods of active duty for training for less than 30 days,</w:t>
      </w:r>
      <w:r w:rsidR="00C01ECB" w:rsidRPr="00A318AA">
        <w:rPr>
          <w:rFonts w:ascii="Times New Roman" w:hAnsi="Times New Roman"/>
          <w:color w:val="000000" w:themeColor="text1"/>
        </w:rPr>
        <w:t xml:space="preserve"> and is deployed out of the local school administrative unit in which the </w:t>
      </w:r>
      <w:r w:rsidR="00944F46" w:rsidRPr="00A318AA">
        <w:rPr>
          <w:rFonts w:ascii="Times New Roman" w:hAnsi="Times New Roman"/>
          <w:color w:val="000000" w:themeColor="text1"/>
        </w:rPr>
        <w:t>scholar</w:t>
      </w:r>
      <w:r w:rsidR="00C01ECB" w:rsidRPr="00A318AA">
        <w:rPr>
          <w:rFonts w:ascii="Times New Roman" w:hAnsi="Times New Roman"/>
          <w:color w:val="000000" w:themeColor="text1"/>
        </w:rPr>
        <w:t xml:space="preserve"> resides</w:t>
      </w:r>
      <w:r w:rsidR="004E6F6B" w:rsidRPr="00A318AA">
        <w:rPr>
          <w:rFonts w:ascii="Times New Roman" w:hAnsi="Times New Roman"/>
          <w:color w:val="000000" w:themeColor="text1"/>
        </w:rPr>
        <w:t>; (2) a member or veteran of the uniformed services who is severely injured and medically discharged or retired</w:t>
      </w:r>
      <w:r w:rsidR="00D30D72" w:rsidRPr="00A318AA">
        <w:rPr>
          <w:rFonts w:ascii="Times New Roman" w:hAnsi="Times New Roman"/>
          <w:color w:val="000000" w:themeColor="text1"/>
        </w:rPr>
        <w:t xml:space="preserve"> </w:t>
      </w:r>
      <w:r w:rsidR="00E96E7A" w:rsidRPr="00A318AA">
        <w:rPr>
          <w:rFonts w:ascii="Times New Roman" w:hAnsi="Times New Roman"/>
          <w:color w:val="000000" w:themeColor="text1"/>
        </w:rPr>
        <w:t>(</w:t>
      </w:r>
      <w:r w:rsidR="004E6F6B" w:rsidRPr="00A318AA">
        <w:rPr>
          <w:rFonts w:ascii="Times New Roman" w:hAnsi="Times New Roman"/>
          <w:color w:val="000000" w:themeColor="text1"/>
        </w:rPr>
        <w:t>but only for a period of one year after the medical discharge or retirement of the parent or guardian</w:t>
      </w:r>
      <w:r w:rsidR="00E96E7A" w:rsidRPr="00A318AA">
        <w:rPr>
          <w:rFonts w:ascii="Times New Roman" w:hAnsi="Times New Roman"/>
          <w:color w:val="000000" w:themeColor="text1"/>
        </w:rPr>
        <w:t>)</w:t>
      </w:r>
      <w:r w:rsidR="004E6F6B" w:rsidRPr="00A318AA">
        <w:rPr>
          <w:rFonts w:ascii="Times New Roman" w:hAnsi="Times New Roman"/>
          <w:color w:val="000000" w:themeColor="text1"/>
        </w:rPr>
        <w:t>; or</w:t>
      </w:r>
      <w:r w:rsidR="005270FA" w:rsidRPr="00A318AA">
        <w:rPr>
          <w:rFonts w:ascii="Times New Roman" w:hAnsi="Times New Roman"/>
          <w:color w:val="000000" w:themeColor="text1"/>
        </w:rPr>
        <w:t xml:space="preserve"> (3)</w:t>
      </w:r>
      <w:r w:rsidR="004E6F6B" w:rsidRPr="00A318AA">
        <w:rPr>
          <w:rFonts w:ascii="Times New Roman" w:hAnsi="Times New Roman"/>
          <w:color w:val="000000" w:themeColor="text1"/>
        </w:rPr>
        <w:t xml:space="preserve"> a member of the uniformed services who </w:t>
      </w:r>
      <w:r w:rsidR="00E96E7A" w:rsidRPr="00A318AA">
        <w:rPr>
          <w:rFonts w:ascii="Times New Roman" w:hAnsi="Times New Roman"/>
          <w:color w:val="000000" w:themeColor="text1"/>
        </w:rPr>
        <w:t>has died while</w:t>
      </w:r>
      <w:r w:rsidR="004E6F6B" w:rsidRPr="00A318AA">
        <w:rPr>
          <w:rFonts w:ascii="Times New Roman" w:hAnsi="Times New Roman"/>
          <w:color w:val="000000" w:themeColor="text1"/>
        </w:rPr>
        <w:t xml:space="preserve"> on active duty or as a result of injuries sustained on active duty </w:t>
      </w:r>
      <w:r w:rsidR="00A83077" w:rsidRPr="00A318AA">
        <w:rPr>
          <w:rFonts w:ascii="Times New Roman" w:hAnsi="Times New Roman"/>
          <w:color w:val="000000" w:themeColor="text1"/>
        </w:rPr>
        <w:t>(</w:t>
      </w:r>
      <w:r w:rsidR="004E6F6B" w:rsidRPr="00A318AA">
        <w:rPr>
          <w:rFonts w:ascii="Times New Roman" w:hAnsi="Times New Roman"/>
          <w:color w:val="000000" w:themeColor="text1"/>
        </w:rPr>
        <w:t>but only for a period of one year after</w:t>
      </w:r>
      <w:r w:rsidR="008F2154" w:rsidRPr="00A318AA">
        <w:rPr>
          <w:rFonts w:ascii="Times New Roman" w:hAnsi="Times New Roman"/>
          <w:color w:val="000000" w:themeColor="text1"/>
        </w:rPr>
        <w:t xml:space="preserve"> the</w:t>
      </w:r>
      <w:r w:rsidR="004E6F6B" w:rsidRPr="00A318AA">
        <w:rPr>
          <w:rFonts w:ascii="Times New Roman" w:hAnsi="Times New Roman"/>
          <w:color w:val="000000" w:themeColor="text1"/>
        </w:rPr>
        <w:t xml:space="preserve"> death</w:t>
      </w:r>
      <w:r w:rsidR="00E96E7A" w:rsidRPr="00A318AA">
        <w:rPr>
          <w:rFonts w:ascii="Times New Roman" w:hAnsi="Times New Roman"/>
          <w:color w:val="000000" w:themeColor="text1"/>
        </w:rPr>
        <w:t xml:space="preserve"> of the parent or guardian</w:t>
      </w:r>
      <w:r w:rsidR="00A83077" w:rsidRPr="00A318AA">
        <w:rPr>
          <w:rFonts w:ascii="Times New Roman" w:hAnsi="Times New Roman"/>
          <w:color w:val="000000" w:themeColor="text1"/>
        </w:rPr>
        <w:t>)</w:t>
      </w:r>
      <w:r w:rsidR="00C01ECB" w:rsidRPr="00A318AA">
        <w:rPr>
          <w:rFonts w:ascii="Times New Roman" w:hAnsi="Times New Roman"/>
          <w:color w:val="000000" w:themeColor="text1"/>
        </w:rPr>
        <w:t xml:space="preserve">. </w:t>
      </w:r>
      <w:r w:rsidR="008F2154" w:rsidRPr="00A318AA">
        <w:rPr>
          <w:rFonts w:ascii="Times New Roman" w:hAnsi="Times New Roman"/>
          <w:color w:val="000000" w:themeColor="text1"/>
        </w:rPr>
        <w:t xml:space="preserve"> </w:t>
      </w:r>
      <w:r w:rsidR="00C01ECB" w:rsidRPr="00A318AA">
        <w:rPr>
          <w:rFonts w:ascii="Times New Roman" w:hAnsi="Times New Roman"/>
          <w:color w:val="000000" w:themeColor="text1"/>
        </w:rPr>
        <w:t xml:space="preserve">Assignment under this </w:t>
      </w:r>
      <w:r w:rsidR="008F2154" w:rsidRPr="00A318AA">
        <w:rPr>
          <w:rFonts w:ascii="Times New Roman" w:hAnsi="Times New Roman"/>
          <w:color w:val="000000" w:themeColor="text1"/>
        </w:rPr>
        <w:t>sub</w:t>
      </w:r>
      <w:r w:rsidR="00C01ECB" w:rsidRPr="00A318AA">
        <w:rPr>
          <w:rFonts w:ascii="Times New Roman" w:hAnsi="Times New Roman"/>
          <w:color w:val="000000" w:themeColor="text1"/>
        </w:rPr>
        <w:t>section is only available if some evidence of the deployment</w:t>
      </w:r>
      <w:r w:rsidR="00517F88" w:rsidRPr="00A318AA">
        <w:rPr>
          <w:rFonts w:ascii="Times New Roman" w:hAnsi="Times New Roman"/>
          <w:color w:val="000000" w:themeColor="text1"/>
        </w:rPr>
        <w:t>, medical discharge, retirement</w:t>
      </w:r>
      <w:r w:rsidR="001159DA" w:rsidRPr="00A318AA">
        <w:rPr>
          <w:rFonts w:ascii="Times New Roman" w:hAnsi="Times New Roman"/>
          <w:color w:val="000000" w:themeColor="text1"/>
        </w:rPr>
        <w:t>,</w:t>
      </w:r>
      <w:r w:rsidR="00517F88" w:rsidRPr="00A318AA">
        <w:rPr>
          <w:rFonts w:ascii="Times New Roman" w:hAnsi="Times New Roman"/>
          <w:color w:val="000000" w:themeColor="text1"/>
        </w:rPr>
        <w:t xml:space="preserve"> or death</w:t>
      </w:r>
      <w:r w:rsidR="00C01ECB" w:rsidRPr="00A318AA">
        <w:rPr>
          <w:rFonts w:ascii="Times New Roman" w:hAnsi="Times New Roman"/>
          <w:color w:val="000000" w:themeColor="text1"/>
        </w:rPr>
        <w:t xml:space="preserve"> is tendered</w:t>
      </w:r>
      <w:r w:rsidR="005270FA" w:rsidRPr="00A318AA">
        <w:rPr>
          <w:rFonts w:ascii="Times New Roman" w:hAnsi="Times New Roman"/>
          <w:color w:val="000000" w:themeColor="text1"/>
        </w:rPr>
        <w:t xml:space="preserve"> with the affidavits required under </w:t>
      </w:r>
      <w:r w:rsidR="00D30D72" w:rsidRPr="00A318AA">
        <w:rPr>
          <w:rFonts w:ascii="Times New Roman" w:hAnsi="Times New Roman"/>
          <w:color w:val="000000" w:themeColor="text1"/>
        </w:rPr>
        <w:t xml:space="preserve">G.S. </w:t>
      </w:r>
      <w:r w:rsidR="005270FA" w:rsidRPr="00A318AA">
        <w:rPr>
          <w:rFonts w:ascii="Times New Roman" w:hAnsi="Times New Roman"/>
          <w:color w:val="000000" w:themeColor="text1"/>
        </w:rPr>
        <w:t>115C-366</w:t>
      </w:r>
      <w:r w:rsidR="00C01ECB" w:rsidRPr="00A318AA">
        <w:rPr>
          <w:rFonts w:ascii="Times New Roman" w:hAnsi="Times New Roman"/>
          <w:color w:val="000000" w:themeColor="text1"/>
        </w:rPr>
        <w:t>.</w:t>
      </w:r>
      <w:r w:rsidR="002B2385" w:rsidRPr="00A318AA">
        <w:rPr>
          <w:rFonts w:ascii="Times New Roman" w:hAnsi="Times New Roman"/>
          <w:color w:val="000000" w:themeColor="text1"/>
        </w:rPr>
        <w:t xml:space="preserve"> </w:t>
      </w:r>
    </w:p>
    <w:p w14:paraId="2AC4C951" w14:textId="77777777" w:rsidR="00636E10" w:rsidRPr="00A318AA" w:rsidRDefault="00636E10" w:rsidP="00636E10">
      <w:pPr>
        <w:pStyle w:val="a"/>
        <w:widowControl/>
        <w:tabs>
          <w:tab w:val="left" w:pos="-1440"/>
        </w:tabs>
        <w:ind w:left="0" w:firstLine="0"/>
        <w:jc w:val="both"/>
        <w:rPr>
          <w:rFonts w:ascii="Times New Roman" w:hAnsi="Times New Roman"/>
          <w:color w:val="000000" w:themeColor="text1"/>
        </w:rPr>
      </w:pPr>
    </w:p>
    <w:p w14:paraId="5A6C0230" w14:textId="77777777" w:rsidR="00883BD7" w:rsidRPr="00A318AA" w:rsidRDefault="002B2385" w:rsidP="001E07E9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In order to </w:t>
      </w:r>
      <w:r w:rsidR="00BF547D" w:rsidRPr="00A318AA">
        <w:rPr>
          <w:color w:val="000000" w:themeColor="text1"/>
        </w:rPr>
        <w:t xml:space="preserve">apply for admission </w:t>
      </w:r>
      <w:r w:rsidRPr="00A318AA">
        <w:rPr>
          <w:color w:val="000000" w:themeColor="text1"/>
        </w:rPr>
        <w:t xml:space="preserve">under this provision, 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</w:t>
      </w:r>
      <w:r w:rsidR="00DF7E35" w:rsidRPr="00A318AA">
        <w:rPr>
          <w:color w:val="000000" w:themeColor="text1"/>
        </w:rPr>
        <w:t>may</w:t>
      </w:r>
      <w:r w:rsidRPr="00A318AA">
        <w:rPr>
          <w:color w:val="000000" w:themeColor="text1"/>
        </w:rPr>
        <w:t xml:space="preserve"> not be </w:t>
      </w:r>
      <w:r w:rsidR="00A369F8" w:rsidRPr="00A318AA">
        <w:rPr>
          <w:color w:val="000000" w:themeColor="text1"/>
        </w:rPr>
        <w:t>expelled</w:t>
      </w:r>
      <w:r w:rsidRPr="00A318AA">
        <w:rPr>
          <w:color w:val="000000" w:themeColor="text1"/>
        </w:rPr>
        <w:t xml:space="preserve"> from a school for conduct that could have led to an expulsion from the </w:t>
      </w:r>
      <w:r w:rsidR="00DB3269" w:rsidRPr="00A318AA">
        <w:rPr>
          <w:color w:val="000000" w:themeColor="text1"/>
        </w:rPr>
        <w:t>school</w:t>
      </w:r>
      <w:r w:rsidR="00FE215A" w:rsidRPr="00A318AA">
        <w:rPr>
          <w:snapToGrid/>
          <w:color w:val="000000" w:themeColor="text1"/>
          <w:szCs w:val="24"/>
        </w:rPr>
        <w:t>.</w:t>
      </w:r>
    </w:p>
    <w:p w14:paraId="7C9CDC80" w14:textId="77777777" w:rsidR="00883BD7" w:rsidRPr="00A318AA" w:rsidRDefault="00883BD7" w:rsidP="001E07E9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28C41E60" w14:textId="77777777" w:rsidR="002B2385" w:rsidRPr="00A318AA" w:rsidRDefault="002B2385" w:rsidP="001E07E9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The adult with whom the </w:t>
      </w:r>
      <w:r w:rsidR="00944F46" w:rsidRPr="00A318AA">
        <w:rPr>
          <w:color w:val="000000" w:themeColor="text1"/>
        </w:rPr>
        <w:t>scholar</w:t>
      </w:r>
      <w:r w:rsidR="00FA0196" w:rsidRPr="00A318AA">
        <w:rPr>
          <w:color w:val="000000" w:themeColor="text1"/>
        </w:rPr>
        <w:t xml:space="preserve"> resides</w:t>
      </w:r>
      <w:r w:rsidR="00A73E6D" w:rsidRPr="00A318AA">
        <w:rPr>
          <w:color w:val="000000" w:themeColor="text1"/>
        </w:rPr>
        <w:t xml:space="preserve"> and the </w:t>
      </w:r>
      <w:r w:rsidR="00944F46" w:rsidRPr="00A318AA">
        <w:rPr>
          <w:color w:val="000000" w:themeColor="text1"/>
        </w:rPr>
        <w:t>scholar</w:t>
      </w:r>
      <w:r w:rsidR="00A73E6D" w:rsidRPr="00A318AA">
        <w:rPr>
          <w:color w:val="000000" w:themeColor="text1"/>
        </w:rPr>
        <w:t>’</w:t>
      </w:r>
      <w:r w:rsidRPr="00A318AA">
        <w:rPr>
          <w:color w:val="000000" w:themeColor="text1"/>
        </w:rPr>
        <w:t>s parent, guardian</w:t>
      </w:r>
      <w:r w:rsidR="00177658" w:rsidRPr="00A318AA">
        <w:rPr>
          <w:color w:val="000000" w:themeColor="text1"/>
        </w:rPr>
        <w:t>,</w:t>
      </w:r>
      <w:r w:rsidRPr="00A318AA">
        <w:rPr>
          <w:color w:val="000000" w:themeColor="text1"/>
        </w:rPr>
        <w:t xml:space="preserve"> or legal custodian</w:t>
      </w:r>
      <w:r w:rsidR="00663EE5" w:rsidRPr="00A318AA">
        <w:rPr>
          <w:color w:val="000000" w:themeColor="text1"/>
        </w:rPr>
        <w:t>, if available,</w:t>
      </w:r>
      <w:r w:rsidRPr="00A318AA">
        <w:rPr>
          <w:color w:val="000000" w:themeColor="text1"/>
        </w:rPr>
        <w:t xml:space="preserve"> must complete and sign separate affidavits availa</w:t>
      </w:r>
      <w:r w:rsidR="00A73E6D" w:rsidRPr="00A318AA">
        <w:rPr>
          <w:color w:val="000000" w:themeColor="text1"/>
        </w:rPr>
        <w:t xml:space="preserve">ble </w:t>
      </w:r>
      <w:r w:rsidR="006E4248" w:rsidRPr="00A318AA">
        <w:rPr>
          <w:color w:val="000000" w:themeColor="text1"/>
        </w:rPr>
        <w:t>from</w:t>
      </w:r>
      <w:r w:rsidR="00A73E6D" w:rsidRPr="00A318AA">
        <w:rPr>
          <w:color w:val="000000" w:themeColor="text1"/>
        </w:rPr>
        <w:t xml:space="preserve"> the </w:t>
      </w:r>
      <w:r w:rsidR="001556DD" w:rsidRPr="00A318AA">
        <w:rPr>
          <w:color w:val="000000" w:themeColor="text1"/>
        </w:rPr>
        <w:t>principal</w:t>
      </w:r>
      <w:r w:rsidR="00A73E6D" w:rsidRPr="00A318AA">
        <w:rPr>
          <w:color w:val="000000" w:themeColor="text1"/>
        </w:rPr>
        <w:t>’</w:t>
      </w:r>
      <w:r w:rsidRPr="00A318AA">
        <w:rPr>
          <w:color w:val="000000" w:themeColor="text1"/>
        </w:rPr>
        <w:t>s office attesting to information required by G.S. 115C-366(a3).</w:t>
      </w:r>
      <w:r w:rsidR="00D70425" w:rsidRPr="00A318AA">
        <w:rPr>
          <w:color w:val="000000" w:themeColor="text1"/>
        </w:rPr>
        <w:t xml:space="preserve">  </w:t>
      </w:r>
      <w:r w:rsidRPr="00A318AA">
        <w:rPr>
          <w:color w:val="000000" w:themeColor="text1"/>
        </w:rPr>
        <w:t xml:space="preserve">If it is found that a person willfully and knowingly provided false information in the affidavit, the maker of the affidavit will be guilty of a Class 1 misdemeanor and will pay to the board an amount equal to the cost of educating 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du</w:t>
      </w:r>
      <w:r w:rsidR="00DB3269" w:rsidRPr="00A318AA">
        <w:rPr>
          <w:color w:val="000000" w:themeColor="text1"/>
        </w:rPr>
        <w:t>ring the period of enrollment.</w:t>
      </w:r>
      <w:r w:rsidR="00334A40" w:rsidRPr="00A318AA">
        <w:rPr>
          <w:color w:val="000000" w:themeColor="text1"/>
        </w:rPr>
        <w:t xml:space="preserve"> </w:t>
      </w:r>
      <w:r w:rsidR="00DB3269" w:rsidRPr="00A318AA">
        <w:rPr>
          <w:color w:val="000000" w:themeColor="text1"/>
        </w:rPr>
        <w:t xml:space="preserve"> </w:t>
      </w:r>
      <w:r w:rsidRPr="00A318AA">
        <w:rPr>
          <w:color w:val="000000" w:themeColor="text1"/>
        </w:rPr>
        <w:t>Repayment will not include state funds.</w:t>
      </w:r>
    </w:p>
    <w:p w14:paraId="06CE16BB" w14:textId="77777777" w:rsidR="002B2385" w:rsidRPr="00A318AA" w:rsidRDefault="002B2385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2B4AACD9" w14:textId="77777777" w:rsidR="00E25259" w:rsidRPr="00A318AA" w:rsidRDefault="00A36A7B" w:rsidP="006656E7">
      <w:pPr>
        <w:widowControl/>
        <w:numPr>
          <w:ilvl w:val="0"/>
          <w:numId w:val="16"/>
        </w:numPr>
        <w:tabs>
          <w:tab w:val="left" w:pos="-1440"/>
        </w:tabs>
        <w:jc w:val="both"/>
        <w:rPr>
          <w:b/>
          <w:smallCaps/>
          <w:color w:val="000000" w:themeColor="text1"/>
        </w:rPr>
      </w:pPr>
      <w:r w:rsidRPr="00A318AA">
        <w:rPr>
          <w:b/>
          <w:smallCaps/>
          <w:color w:val="000000" w:themeColor="text1"/>
        </w:rPr>
        <w:t>Scholars</w:t>
      </w:r>
      <w:r w:rsidR="00E25259" w:rsidRPr="00A318AA">
        <w:rPr>
          <w:b/>
          <w:smallCaps/>
          <w:color w:val="000000" w:themeColor="text1"/>
        </w:rPr>
        <w:t xml:space="preserve"> Participating in the North Carolina Address Confidentiality Program</w:t>
      </w:r>
    </w:p>
    <w:p w14:paraId="6AD5BB0D" w14:textId="77777777" w:rsidR="00AE1DDB" w:rsidRPr="00A318AA" w:rsidRDefault="00AE1DDB" w:rsidP="00AE1DDB">
      <w:pPr>
        <w:widowControl/>
        <w:tabs>
          <w:tab w:val="left" w:pos="-1440"/>
        </w:tabs>
        <w:jc w:val="both"/>
        <w:rPr>
          <w:b/>
          <w:smallCaps/>
          <w:color w:val="000000" w:themeColor="text1"/>
        </w:rPr>
      </w:pPr>
    </w:p>
    <w:p w14:paraId="2475C0BC" w14:textId="77777777" w:rsidR="00D25064" w:rsidRPr="00A318AA" w:rsidRDefault="009C710C" w:rsidP="006656E7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A318AA">
        <w:rPr>
          <w:color w:val="000000" w:themeColor="text1"/>
        </w:rPr>
        <w:t>In</w:t>
      </w:r>
      <w:r w:rsidR="00D25064" w:rsidRPr="00A318AA">
        <w:rPr>
          <w:color w:val="000000" w:themeColor="text1"/>
        </w:rPr>
        <w:t xml:space="preserve"> determining </w:t>
      </w:r>
      <w:r w:rsidR="00AE1DDB" w:rsidRPr="00A318AA">
        <w:rPr>
          <w:color w:val="000000" w:themeColor="text1"/>
        </w:rPr>
        <w:t xml:space="preserve">whether a </w:t>
      </w:r>
      <w:r w:rsidR="00944F46" w:rsidRPr="00A318AA">
        <w:rPr>
          <w:color w:val="000000" w:themeColor="text1"/>
        </w:rPr>
        <w:t>scholar</w:t>
      </w:r>
      <w:r w:rsidR="00AE1DDB" w:rsidRPr="00A318AA">
        <w:rPr>
          <w:color w:val="000000" w:themeColor="text1"/>
        </w:rPr>
        <w:t xml:space="preserve"> meets the </w:t>
      </w:r>
      <w:r w:rsidR="00227F7F" w:rsidRPr="00A318AA">
        <w:rPr>
          <w:color w:val="000000" w:themeColor="text1"/>
        </w:rPr>
        <w:t xml:space="preserve">domicile or residence </w:t>
      </w:r>
      <w:r w:rsidR="00AE1DDB" w:rsidRPr="00A318AA">
        <w:rPr>
          <w:color w:val="000000" w:themeColor="text1"/>
        </w:rPr>
        <w:t>requirements of</w:t>
      </w:r>
      <w:r w:rsidR="004A7AAF" w:rsidRPr="00A318AA">
        <w:rPr>
          <w:color w:val="000000" w:themeColor="text1"/>
        </w:rPr>
        <w:t xml:space="preserve"> this policy, </w:t>
      </w:r>
      <w:r w:rsidR="00EF3026" w:rsidRPr="00A318AA">
        <w:rPr>
          <w:color w:val="000000" w:themeColor="text1"/>
        </w:rPr>
        <w:t>school personnel</w:t>
      </w:r>
      <w:r w:rsidR="004A7AAF" w:rsidRPr="00A318AA">
        <w:rPr>
          <w:color w:val="000000" w:themeColor="text1"/>
        </w:rPr>
        <w:t xml:space="preserve"> shall consider the actual address of a participant in </w:t>
      </w:r>
      <w:r w:rsidR="00D25064" w:rsidRPr="00A318AA">
        <w:rPr>
          <w:color w:val="000000" w:themeColor="text1"/>
        </w:rPr>
        <w:t xml:space="preserve">the North Carolina Address Confidentiality Program established by G.S. Chapter 15C, but such address </w:t>
      </w:r>
      <w:r w:rsidR="009251BF" w:rsidRPr="00A318AA">
        <w:rPr>
          <w:color w:val="000000" w:themeColor="text1"/>
        </w:rPr>
        <w:t xml:space="preserve">will </w:t>
      </w:r>
      <w:r w:rsidR="00D25064" w:rsidRPr="00A318AA">
        <w:rPr>
          <w:color w:val="000000" w:themeColor="text1"/>
        </w:rPr>
        <w:t>remain confidential in accordance with law and policy 4250/5075</w:t>
      </w:r>
      <w:r w:rsidR="00B925E1" w:rsidRPr="00A318AA">
        <w:rPr>
          <w:color w:val="000000" w:themeColor="text1"/>
        </w:rPr>
        <w:t>/7316</w:t>
      </w:r>
      <w:r w:rsidR="00D25064" w:rsidRPr="00A318AA">
        <w:rPr>
          <w:color w:val="000000" w:themeColor="text1"/>
        </w:rPr>
        <w:t>, North Carolina Address Confidentiality Program.</w:t>
      </w:r>
    </w:p>
    <w:p w14:paraId="546FAC0F" w14:textId="77777777" w:rsidR="00EF38A0" w:rsidRPr="00A318AA" w:rsidRDefault="00EF38A0" w:rsidP="00EF38A0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B28AB64" w14:textId="77777777" w:rsidR="00EF38A0" w:rsidRPr="00A318AA" w:rsidRDefault="00EF38A0" w:rsidP="00EF38A0">
      <w:pPr>
        <w:widowControl/>
        <w:numPr>
          <w:ilvl w:val="0"/>
          <w:numId w:val="16"/>
        </w:numPr>
        <w:tabs>
          <w:tab w:val="left" w:pos="-1440"/>
        </w:tabs>
        <w:jc w:val="both"/>
        <w:rPr>
          <w:b/>
          <w:smallCaps/>
          <w:color w:val="000000" w:themeColor="text1"/>
        </w:rPr>
      </w:pPr>
      <w:r w:rsidRPr="00A318AA">
        <w:rPr>
          <w:b/>
          <w:smallCaps/>
          <w:color w:val="000000" w:themeColor="text1"/>
        </w:rPr>
        <w:t>Appeal of Admission Decisions</w:t>
      </w:r>
    </w:p>
    <w:p w14:paraId="42440367" w14:textId="77777777" w:rsidR="00EF38A0" w:rsidRPr="00A318AA" w:rsidRDefault="00EF38A0" w:rsidP="00EF38A0">
      <w:pPr>
        <w:widowControl/>
        <w:tabs>
          <w:tab w:val="left" w:pos="-1440"/>
        </w:tabs>
        <w:ind w:left="720"/>
        <w:jc w:val="both"/>
        <w:rPr>
          <w:b/>
          <w:smallCaps/>
          <w:color w:val="000000" w:themeColor="text1"/>
        </w:rPr>
      </w:pPr>
    </w:p>
    <w:p w14:paraId="46436BB9" w14:textId="092ED5AB" w:rsidR="00EF38A0" w:rsidRPr="00A318AA" w:rsidRDefault="00EF38A0" w:rsidP="00EF38A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Within 10 working days of receiving </w:t>
      </w:r>
      <w:proofErr w:type="gramStart"/>
      <w:r w:rsidRPr="00A318AA">
        <w:rPr>
          <w:color w:val="000000" w:themeColor="text1"/>
        </w:rPr>
        <w:t>all of</w:t>
      </w:r>
      <w:proofErr w:type="gramEnd"/>
      <w:r w:rsidRPr="00A318AA">
        <w:rPr>
          <w:color w:val="000000" w:themeColor="text1"/>
        </w:rPr>
        <w:t xml:space="preserve"> the information required under this policy, the </w:t>
      </w:r>
      <w:r w:rsidR="00DB6E8E" w:rsidRPr="00A318AA">
        <w:rPr>
          <w:color w:val="000000" w:themeColor="text1"/>
        </w:rPr>
        <w:t xml:space="preserve">executive director </w:t>
      </w:r>
      <w:r w:rsidRPr="00A318AA">
        <w:rPr>
          <w:color w:val="000000" w:themeColor="text1"/>
        </w:rPr>
        <w:t xml:space="preserve">or designee shall provide a written decision to the applicant for admission to the school.  The </w:t>
      </w:r>
      <w:r w:rsidR="001556DD" w:rsidRPr="00A318AA">
        <w:rPr>
          <w:color w:val="000000" w:themeColor="text1"/>
        </w:rPr>
        <w:t>principal</w:t>
      </w:r>
      <w:r w:rsidRPr="00A318AA">
        <w:rPr>
          <w:color w:val="000000" w:themeColor="text1"/>
        </w:rPr>
        <w:t xml:space="preserve">’s decision regarding admission of the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may be appealed to the board in accordance with </w:t>
      </w:r>
      <w:r w:rsidR="00D91470" w:rsidRPr="00A318AA">
        <w:rPr>
          <w:color w:val="000000" w:themeColor="text1"/>
        </w:rPr>
        <w:t>s</w:t>
      </w:r>
      <w:r w:rsidR="001D3F09" w:rsidRPr="00A318AA">
        <w:rPr>
          <w:color w:val="000000" w:themeColor="text1"/>
        </w:rPr>
        <w:t>ubs</w:t>
      </w:r>
      <w:r w:rsidRPr="00A318AA">
        <w:rPr>
          <w:color w:val="000000" w:themeColor="text1"/>
        </w:rPr>
        <w:t xml:space="preserve">ection E.5 in policy 1740/4010, </w:t>
      </w:r>
      <w:r w:rsidR="00944F46" w:rsidRPr="00A318AA">
        <w:rPr>
          <w:color w:val="000000" w:themeColor="text1"/>
        </w:rPr>
        <w:t>Scholar</w:t>
      </w:r>
      <w:r w:rsidRPr="00A318AA">
        <w:rPr>
          <w:color w:val="000000" w:themeColor="text1"/>
        </w:rPr>
        <w:t xml:space="preserve"> and Parent Grievance Procedure.</w:t>
      </w:r>
    </w:p>
    <w:p w14:paraId="238861DD" w14:textId="77777777" w:rsidR="00E25259" w:rsidRPr="00A318AA" w:rsidRDefault="00D25064" w:rsidP="002B2385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A318AA">
        <w:rPr>
          <w:color w:val="000000" w:themeColor="text1"/>
        </w:rPr>
        <w:t xml:space="preserve"> </w:t>
      </w:r>
    </w:p>
    <w:p w14:paraId="07D34F52" w14:textId="77777777" w:rsidR="00DB6E8E" w:rsidRPr="00A318AA" w:rsidRDefault="00DB6E8E" w:rsidP="00DB6E8E">
      <w:pPr>
        <w:pStyle w:val="NormalWeb"/>
        <w:rPr>
          <w:color w:val="000000" w:themeColor="text1"/>
        </w:rPr>
      </w:pPr>
      <w:r w:rsidRPr="00A318AA">
        <w:rPr>
          <w:color w:val="000000" w:themeColor="text1"/>
        </w:rPr>
        <w:t xml:space="preserve">Legal References:  </w:t>
      </w:r>
      <w:hyperlink r:id="rId10" w:tgtFrame="_blank" w:history="1">
        <w:r w:rsidRPr="00A318AA">
          <w:rPr>
            <w:rStyle w:val="Hyperlink"/>
            <w:color w:val="000000" w:themeColor="text1"/>
          </w:rPr>
          <w:t>10 U.S.C. 2031</w:t>
        </w:r>
      </w:hyperlink>
      <w:r w:rsidRPr="00A318AA">
        <w:rPr>
          <w:color w:val="000000" w:themeColor="text1"/>
        </w:rPr>
        <w:t xml:space="preserve">(g); Elementary and Secondary Education Act, </w:t>
      </w:r>
      <w:hyperlink r:id="rId11" w:tgtFrame="_blank" w:history="1">
        <w:r w:rsidRPr="00A318AA">
          <w:rPr>
            <w:rStyle w:val="Hyperlink"/>
            <w:color w:val="000000" w:themeColor="text1"/>
          </w:rPr>
          <w:t>20 U.S.C. 6303</w:t>
        </w:r>
      </w:hyperlink>
      <w:r w:rsidRPr="00A318AA">
        <w:rPr>
          <w:color w:val="000000" w:themeColor="text1"/>
        </w:rPr>
        <w:t xml:space="preserve"> </w:t>
      </w:r>
      <w:r w:rsidRPr="00A318AA">
        <w:rPr>
          <w:rStyle w:val="Emphasis"/>
          <w:color w:val="000000" w:themeColor="text1"/>
        </w:rPr>
        <w:t>et seq.</w:t>
      </w:r>
      <w:r w:rsidRPr="00A318AA">
        <w:rPr>
          <w:color w:val="000000" w:themeColor="text1"/>
        </w:rPr>
        <w:t xml:space="preserve">; Individuals with Disabilities Education Act, </w:t>
      </w:r>
      <w:hyperlink r:id="rId12" w:tgtFrame="_blank" w:history="1">
        <w:r w:rsidRPr="00A318AA">
          <w:rPr>
            <w:rStyle w:val="Hyperlink"/>
            <w:color w:val="000000" w:themeColor="text1"/>
          </w:rPr>
          <w:t>20 U.S.C. 1400</w:t>
        </w:r>
      </w:hyperlink>
      <w:r w:rsidRPr="00A318AA">
        <w:rPr>
          <w:color w:val="000000" w:themeColor="text1"/>
        </w:rPr>
        <w:t xml:space="preserve"> </w:t>
      </w:r>
      <w:r w:rsidRPr="00A318AA">
        <w:rPr>
          <w:rStyle w:val="Emphasis"/>
          <w:color w:val="000000" w:themeColor="text1"/>
        </w:rPr>
        <w:t>et seq.</w:t>
      </w:r>
      <w:r w:rsidRPr="00A318AA">
        <w:rPr>
          <w:color w:val="000000" w:themeColor="text1"/>
        </w:rPr>
        <w:t xml:space="preserve">, </w:t>
      </w:r>
      <w:hyperlink r:id="rId13" w:tgtFrame="_blank" w:history="1">
        <w:r w:rsidRPr="00A318AA">
          <w:rPr>
            <w:rStyle w:val="Hyperlink"/>
            <w:color w:val="000000" w:themeColor="text1"/>
          </w:rPr>
          <w:t>34 C.F.R. pt. 300</w:t>
        </w:r>
      </w:hyperlink>
      <w:r w:rsidRPr="00A318AA">
        <w:rPr>
          <w:color w:val="000000" w:themeColor="text1"/>
        </w:rPr>
        <w:t xml:space="preserve">; McKinney-Vento Homeless Assistance Act, </w:t>
      </w:r>
      <w:hyperlink r:id="rId14" w:tgtFrame="_blank" w:history="1">
        <w:r w:rsidRPr="00A318AA">
          <w:rPr>
            <w:rStyle w:val="Hyperlink"/>
            <w:color w:val="000000" w:themeColor="text1"/>
          </w:rPr>
          <w:t>42 U.S.C. 11431</w:t>
        </w:r>
      </w:hyperlink>
      <w:r w:rsidRPr="00A318AA">
        <w:rPr>
          <w:color w:val="000000" w:themeColor="text1"/>
        </w:rPr>
        <w:t xml:space="preserve"> </w:t>
      </w:r>
      <w:r w:rsidRPr="00A318AA">
        <w:rPr>
          <w:rStyle w:val="Emphasis"/>
          <w:color w:val="000000" w:themeColor="text1"/>
        </w:rPr>
        <w:t>et seq.</w:t>
      </w:r>
      <w:r w:rsidRPr="00A318AA">
        <w:rPr>
          <w:color w:val="000000" w:themeColor="text1"/>
        </w:rPr>
        <w:t xml:space="preserve">; </w:t>
      </w:r>
      <w:r w:rsidRPr="00A318AA">
        <w:rPr>
          <w:rStyle w:val="Emphasis"/>
          <w:color w:val="000000" w:themeColor="text1"/>
        </w:rPr>
        <w:t>Non-Regulatory Guidance: Ensuring Educational Stability for Children in Foster Care</w:t>
      </w:r>
      <w:r w:rsidRPr="00A318AA">
        <w:rPr>
          <w:color w:val="000000" w:themeColor="text1"/>
        </w:rPr>
        <w:t xml:space="preserve">, U.S. Department of </w:t>
      </w:r>
      <w:r w:rsidRPr="00A318AA">
        <w:rPr>
          <w:color w:val="000000" w:themeColor="text1"/>
        </w:rPr>
        <w:lastRenderedPageBreak/>
        <w:t xml:space="preserve">Education and U.S. Department of Health and Human Services (June 2016); </w:t>
      </w:r>
      <w:r w:rsidRPr="00A318AA">
        <w:rPr>
          <w:rStyle w:val="Emphasis"/>
          <w:color w:val="000000" w:themeColor="text1"/>
        </w:rPr>
        <w:t>Non-Regulatory Guidance on Education for Homeless Children and Youths Program</w:t>
      </w:r>
      <w:r w:rsidRPr="00A318AA">
        <w:rPr>
          <w:color w:val="000000" w:themeColor="text1"/>
        </w:rPr>
        <w:t xml:space="preserve">, U.S. Department of Education (July 2016); </w:t>
      </w:r>
      <w:hyperlink r:id="rId15" w:tgtFrame="_blank" w:history="1">
        <w:r w:rsidRPr="00A318AA">
          <w:rPr>
            <w:rStyle w:val="Hyperlink"/>
            <w:color w:val="000000" w:themeColor="text1"/>
          </w:rPr>
          <w:t>G.S. 7B art. 35</w:t>
        </w:r>
      </w:hyperlink>
      <w:r w:rsidRPr="00A318AA">
        <w:rPr>
          <w:color w:val="000000" w:themeColor="text1"/>
        </w:rPr>
        <w:t xml:space="preserve">; </w:t>
      </w:r>
      <w:hyperlink r:id="rId16" w:tgtFrame="_blank" w:history="1">
        <w:r w:rsidRPr="00A318AA">
          <w:rPr>
            <w:rStyle w:val="Hyperlink"/>
            <w:color w:val="000000" w:themeColor="text1"/>
          </w:rPr>
          <w:t>35A art. 6</w:t>
        </w:r>
      </w:hyperlink>
      <w:r w:rsidRPr="00A318AA">
        <w:rPr>
          <w:color w:val="000000" w:themeColor="text1"/>
        </w:rPr>
        <w:t xml:space="preserve">; </w:t>
      </w:r>
      <w:hyperlink r:id="rId17" w:tgtFrame="_blank" w:history="1">
        <w:r w:rsidRPr="00A318AA">
          <w:rPr>
            <w:rStyle w:val="Hyperlink"/>
            <w:color w:val="000000" w:themeColor="text1"/>
          </w:rPr>
          <w:t>15C-8</w:t>
        </w:r>
      </w:hyperlink>
      <w:r w:rsidRPr="00A318AA">
        <w:rPr>
          <w:color w:val="000000" w:themeColor="text1"/>
        </w:rPr>
        <w:t>(</w:t>
      </w:r>
      <w:proofErr w:type="spellStart"/>
      <w:r w:rsidRPr="00A318AA">
        <w:rPr>
          <w:color w:val="000000" w:themeColor="text1"/>
        </w:rPr>
        <w:t>i</w:t>
      </w:r>
      <w:proofErr w:type="spellEnd"/>
      <w:r w:rsidRPr="00A318AA">
        <w:rPr>
          <w:color w:val="000000" w:themeColor="text1"/>
        </w:rPr>
        <w:t xml:space="preserve">); </w:t>
      </w:r>
      <w:hyperlink r:id="rId18" w:tgtFrame="_blank" w:history="1">
        <w:r w:rsidRPr="00A318AA">
          <w:rPr>
            <w:rStyle w:val="Hyperlink"/>
            <w:color w:val="000000" w:themeColor="text1"/>
          </w:rPr>
          <w:t>50-13.1 to -13.3</w:t>
        </w:r>
      </w:hyperlink>
      <w:r w:rsidRPr="00A318AA">
        <w:rPr>
          <w:color w:val="000000" w:themeColor="text1"/>
        </w:rPr>
        <w:t xml:space="preserve">; </w:t>
      </w:r>
      <w:hyperlink r:id="rId19" w:tgtFrame="_blank" w:history="1">
        <w:r w:rsidRPr="00A318AA">
          <w:rPr>
            <w:rStyle w:val="Hyperlink"/>
            <w:color w:val="000000" w:themeColor="text1"/>
          </w:rPr>
          <w:t>115C-106.2</w:t>
        </w:r>
      </w:hyperlink>
      <w:r w:rsidRPr="00A318AA">
        <w:rPr>
          <w:color w:val="000000" w:themeColor="text1"/>
        </w:rPr>
        <w:t xml:space="preserve">, </w:t>
      </w:r>
      <w:hyperlink r:id="rId20" w:tgtFrame="_blank" w:history="1">
        <w:r w:rsidRPr="00A318AA">
          <w:rPr>
            <w:rStyle w:val="Hyperlink"/>
            <w:color w:val="000000" w:themeColor="text1"/>
          </w:rPr>
          <w:t>-106.3</w:t>
        </w:r>
      </w:hyperlink>
      <w:r w:rsidRPr="00A318AA">
        <w:rPr>
          <w:color w:val="000000" w:themeColor="text1"/>
        </w:rPr>
        <w:t xml:space="preserve">, </w:t>
      </w:r>
      <w:hyperlink r:id="rId21" w:tgtFrame="_blank" w:history="1">
        <w:r w:rsidRPr="00A318AA">
          <w:rPr>
            <w:rStyle w:val="Hyperlink"/>
            <w:color w:val="000000" w:themeColor="text1"/>
          </w:rPr>
          <w:t>-107.6</w:t>
        </w:r>
      </w:hyperlink>
      <w:r w:rsidRPr="00A318AA">
        <w:rPr>
          <w:color w:val="000000" w:themeColor="text1"/>
        </w:rPr>
        <w:t xml:space="preserve">, </w:t>
      </w:r>
      <w:hyperlink r:id="rId22" w:tgtFrame="_blank" w:history="1">
        <w:r w:rsidRPr="00A318AA">
          <w:rPr>
            <w:rStyle w:val="Hyperlink"/>
            <w:color w:val="000000" w:themeColor="text1"/>
          </w:rPr>
          <w:t>-108.1</w:t>
        </w:r>
      </w:hyperlink>
      <w:r w:rsidRPr="00A318AA">
        <w:rPr>
          <w:color w:val="000000" w:themeColor="text1"/>
        </w:rPr>
        <w:t xml:space="preserve">(a), </w:t>
      </w:r>
      <w:hyperlink r:id="rId23" w:tgtFrame="_blank" w:history="1">
        <w:r w:rsidRPr="00A318AA">
          <w:rPr>
            <w:rStyle w:val="Hyperlink"/>
            <w:color w:val="000000" w:themeColor="text1"/>
          </w:rPr>
          <w:t>-366</w:t>
        </w:r>
      </w:hyperlink>
      <w:r w:rsidRPr="00A318AA">
        <w:rPr>
          <w:color w:val="000000" w:themeColor="text1"/>
        </w:rPr>
        <w:t xml:space="preserve">, </w:t>
      </w:r>
      <w:hyperlink r:id="rId24" w:tgtFrame="_blank" w:history="1">
        <w:r w:rsidRPr="00A318AA">
          <w:rPr>
            <w:rStyle w:val="Hyperlink"/>
            <w:color w:val="000000" w:themeColor="text1"/>
          </w:rPr>
          <w:t>-407.5</w:t>
        </w:r>
      </w:hyperlink>
      <w:r w:rsidRPr="00A318AA">
        <w:rPr>
          <w:color w:val="000000" w:themeColor="text1"/>
        </w:rPr>
        <w:t xml:space="preserve">; </w:t>
      </w:r>
      <w:r w:rsidRPr="00A318AA">
        <w:rPr>
          <w:rStyle w:val="Emphasis"/>
          <w:color w:val="000000" w:themeColor="text1"/>
        </w:rPr>
        <w:t>Policies Governing Services for Children with Disabilities</w:t>
      </w:r>
      <w:r w:rsidRPr="00A318AA">
        <w:rPr>
          <w:color w:val="000000" w:themeColor="text1"/>
        </w:rPr>
        <w:t xml:space="preserve">, State Board of Education Policy </w:t>
      </w:r>
      <w:hyperlink r:id="rId25" w:tgtFrame="_blank" w:history="1">
        <w:r w:rsidRPr="00A318AA">
          <w:rPr>
            <w:rStyle w:val="Hyperlink"/>
            <w:color w:val="000000" w:themeColor="text1"/>
          </w:rPr>
          <w:t>EXCP-000</w:t>
        </w:r>
      </w:hyperlink>
      <w:r w:rsidRPr="00A318AA">
        <w:rPr>
          <w:color w:val="000000" w:themeColor="text1"/>
        </w:rPr>
        <w:t xml:space="preserve">, available at </w:t>
      </w:r>
      <w:hyperlink r:id="rId26" w:tgtFrame="_blank" w:history="1">
        <w:r w:rsidRPr="00A318AA">
          <w:rPr>
            <w:rStyle w:val="Hyperlink"/>
            <w:color w:val="000000" w:themeColor="text1"/>
          </w:rPr>
          <w:t>http://ec.ncpublicschools.gov/policies/nc-policies-governing-services-for-children-with-disabilities</w:t>
        </w:r>
      </w:hyperlink>
    </w:p>
    <w:p w14:paraId="586686CA" w14:textId="403D5015" w:rsidR="003A1638" w:rsidRPr="00A318AA" w:rsidRDefault="00DB6E8E" w:rsidP="00DB6E8E">
      <w:pPr>
        <w:pStyle w:val="NormalWeb"/>
        <w:rPr>
          <w:color w:val="000000" w:themeColor="text1"/>
        </w:rPr>
      </w:pPr>
      <w:r w:rsidRPr="00A318AA">
        <w:rPr>
          <w:color w:val="000000" w:themeColor="text1"/>
        </w:rPr>
        <w:t xml:space="preserve">Cross References:  Student and Parent Grievance Procedure (policy </w:t>
      </w:r>
      <w:hyperlink r:id="rId27" w:history="1">
        <w:r w:rsidRPr="00A318AA">
          <w:rPr>
            <w:rStyle w:val="Hyperlink"/>
            <w:color w:val="000000" w:themeColor="text1"/>
          </w:rPr>
          <w:t>1740/4010</w:t>
        </w:r>
      </w:hyperlink>
      <w:r w:rsidRPr="00A318AA">
        <w:rPr>
          <w:color w:val="000000" w:themeColor="text1"/>
        </w:rPr>
        <w:t xml:space="preserve">), Children of Military Families (policy </w:t>
      </w:r>
      <w:hyperlink r:id="rId28" w:history="1">
        <w:r w:rsidRPr="00A318AA">
          <w:rPr>
            <w:rStyle w:val="Hyperlink"/>
            <w:color w:val="000000" w:themeColor="text1"/>
          </w:rPr>
          <w:t>4050</w:t>
        </w:r>
      </w:hyperlink>
      <w:r w:rsidRPr="00A318AA">
        <w:rPr>
          <w:color w:val="000000" w:themeColor="text1"/>
        </w:rPr>
        <w:t xml:space="preserve">), Behavior Standards for Transfer Students (policy </w:t>
      </w:r>
      <w:hyperlink r:id="rId29" w:history="1">
        <w:r w:rsidRPr="00A318AA">
          <w:rPr>
            <w:rStyle w:val="Hyperlink"/>
            <w:color w:val="000000" w:themeColor="text1"/>
          </w:rPr>
          <w:t>4115</w:t>
        </w:r>
      </w:hyperlink>
      <w:r w:rsidRPr="00A318AA">
        <w:rPr>
          <w:color w:val="000000" w:themeColor="text1"/>
        </w:rPr>
        <w:t xml:space="preserve">), Homeless Students (policy </w:t>
      </w:r>
      <w:hyperlink r:id="rId30" w:history="1">
        <w:r w:rsidRPr="00A318AA">
          <w:rPr>
            <w:rStyle w:val="Hyperlink"/>
            <w:color w:val="000000" w:themeColor="text1"/>
          </w:rPr>
          <w:t>4125</w:t>
        </w:r>
      </w:hyperlink>
      <w:r w:rsidRPr="00A318AA">
        <w:rPr>
          <w:color w:val="000000" w:themeColor="text1"/>
        </w:rPr>
        <w:t xml:space="preserve">), North Carolina Address Confidentiality Program (policy </w:t>
      </w:r>
      <w:hyperlink r:id="rId31" w:history="1">
        <w:r w:rsidRPr="00A318AA">
          <w:rPr>
            <w:rStyle w:val="Hyperlink"/>
            <w:color w:val="000000" w:themeColor="text1"/>
          </w:rPr>
          <w:t>4250/5075/7316</w:t>
        </w:r>
      </w:hyperlink>
      <w:r w:rsidRPr="00A318AA">
        <w:rPr>
          <w:color w:val="000000" w:themeColor="text1"/>
        </w:rPr>
        <w:t>)</w:t>
      </w:r>
    </w:p>
    <w:p w14:paraId="704DE652" w14:textId="75140625" w:rsidR="00917F81" w:rsidRPr="00A318AA" w:rsidRDefault="00917F81" w:rsidP="00917F81">
      <w:pPr>
        <w:rPr>
          <w:color w:val="000000" w:themeColor="text1"/>
        </w:rPr>
      </w:pPr>
      <w:r w:rsidRPr="00A318AA">
        <w:rPr>
          <w:color w:val="000000" w:themeColor="text1"/>
        </w:rPr>
        <w:t>Adopt</w:t>
      </w:r>
      <w:r w:rsidR="002F1B28" w:rsidRPr="00A318AA">
        <w:rPr>
          <w:color w:val="000000" w:themeColor="text1"/>
        </w:rPr>
        <w:t>ed</w:t>
      </w:r>
      <w:r w:rsidR="002B2385" w:rsidRPr="00A318AA">
        <w:rPr>
          <w:color w:val="000000" w:themeColor="text1"/>
        </w:rPr>
        <w:t>:</w:t>
      </w:r>
      <w:r w:rsidR="002F1B28" w:rsidRPr="00A318AA">
        <w:rPr>
          <w:color w:val="000000" w:themeColor="text1"/>
        </w:rPr>
        <w:t xml:space="preserve">  </w:t>
      </w:r>
      <w:r w:rsidR="00A97ACC" w:rsidRPr="00A318AA">
        <w:rPr>
          <w:color w:val="000000" w:themeColor="text1"/>
        </w:rPr>
        <w:t>April 15, 2020</w:t>
      </w:r>
    </w:p>
    <w:p w14:paraId="1C3CAB2F" w14:textId="67587FF8" w:rsidR="00DB6E8E" w:rsidRPr="00A318AA" w:rsidRDefault="00DB6E8E" w:rsidP="00917F81">
      <w:pPr>
        <w:rPr>
          <w:color w:val="000000" w:themeColor="text1"/>
        </w:rPr>
      </w:pPr>
      <w:r w:rsidRPr="00A318AA">
        <w:rPr>
          <w:color w:val="000000" w:themeColor="text1"/>
        </w:rPr>
        <w:t>Revised:</w:t>
      </w:r>
      <w:r w:rsidR="00A318AA" w:rsidRPr="00A318AA">
        <w:rPr>
          <w:color w:val="000000" w:themeColor="text1"/>
        </w:rPr>
        <w:t xml:space="preserve"> June 8, 2022</w:t>
      </w:r>
    </w:p>
    <w:p w14:paraId="7789CA0D" w14:textId="77777777" w:rsidR="002F1B28" w:rsidRPr="00334A40" w:rsidRDefault="002F1B28" w:rsidP="002B2385"/>
    <w:sectPr w:rsidR="002F1B28" w:rsidRPr="00334A40" w:rsidSect="00A97ACC">
      <w:headerReference w:type="default" r:id="rId3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5BFF" w14:textId="77777777" w:rsidR="00190CA7" w:rsidRDefault="00190CA7">
      <w:r>
        <w:separator/>
      </w:r>
    </w:p>
  </w:endnote>
  <w:endnote w:type="continuationSeparator" w:id="0">
    <w:p w14:paraId="175DC06E" w14:textId="77777777" w:rsidR="00190CA7" w:rsidRDefault="0019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923" w14:textId="77777777" w:rsidR="00FE215A" w:rsidRDefault="00FE215A" w:rsidP="004D6AAE">
    <w:pPr>
      <w:spacing w:line="240" w:lineRule="exact"/>
      <w:ind w:right="-360"/>
    </w:pPr>
  </w:p>
  <w:p w14:paraId="1D384FEB" w14:textId="77777777" w:rsidR="00FE215A" w:rsidRDefault="000E0633" w:rsidP="004D6AAE">
    <w:pPr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C49BC20" wp14:editId="43C2EB65">
              <wp:simplePos x="0" y="0"/>
              <wp:positionH relativeFrom="column">
                <wp:posOffset>0</wp:posOffset>
              </wp:positionH>
              <wp:positionV relativeFrom="paragraph">
                <wp:posOffset>15874</wp:posOffset>
              </wp:positionV>
              <wp:extent cx="5943600" cy="0"/>
              <wp:effectExtent l="0" t="25400" r="25400" b="254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799E4" id="Line 5" o:spid="_x0000_s1026" style="position:absolute;flip:y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.25pt" to="468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" strokeweight="4.5pt">
              <v:stroke linestyle="thickThin"/>
              <o:lock v:ext="edit" shapetype="f"/>
            </v:line>
          </w:pict>
        </mc:Fallback>
      </mc:AlternateContent>
    </w:r>
  </w:p>
  <w:p w14:paraId="145EB9CC" w14:textId="77777777" w:rsidR="00FE215A" w:rsidRDefault="00A37D4B" w:rsidP="00917F81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>
      <w:rPr>
        <w:b/>
        <w:szCs w:val="24"/>
      </w:rPr>
      <w:t xml:space="preserve">NE REGIONAL SCHOOL </w:t>
    </w:r>
    <w:r w:rsidR="00917F81">
      <w:rPr>
        <w:b/>
        <w:szCs w:val="24"/>
      </w:rPr>
      <w:t xml:space="preserve">BOARD OF </w:t>
    </w:r>
    <w:r>
      <w:rPr>
        <w:b/>
        <w:szCs w:val="24"/>
      </w:rPr>
      <w:t>DIRECTORS</w:t>
    </w:r>
    <w:r w:rsidR="00917F81">
      <w:rPr>
        <w:b/>
        <w:szCs w:val="24"/>
      </w:rPr>
      <w:t xml:space="preserve"> POLICY MANUAL</w:t>
    </w:r>
    <w:r w:rsidR="00917F81">
      <w:rPr>
        <w:b/>
        <w:szCs w:val="24"/>
      </w:rPr>
      <w:tab/>
    </w:r>
    <w:r w:rsidR="00917F81">
      <w:rPr>
        <w:szCs w:val="24"/>
      </w:rPr>
      <w:t xml:space="preserve">Page </w:t>
    </w:r>
    <w:r w:rsidR="00917F81">
      <w:rPr>
        <w:szCs w:val="24"/>
      </w:rPr>
      <w:fldChar w:fldCharType="begin"/>
    </w:r>
    <w:r w:rsidR="00917F81">
      <w:rPr>
        <w:szCs w:val="24"/>
      </w:rPr>
      <w:instrText xml:space="preserve"> PAGE  \* Arabic  \* MERGEFORMAT </w:instrText>
    </w:r>
    <w:r w:rsidR="00917F81">
      <w:rPr>
        <w:szCs w:val="24"/>
      </w:rPr>
      <w:fldChar w:fldCharType="separate"/>
    </w:r>
    <w:r w:rsidR="00225C52">
      <w:rPr>
        <w:noProof/>
        <w:szCs w:val="24"/>
      </w:rPr>
      <w:t>2</w:t>
    </w:r>
    <w:r w:rsidR="00917F81">
      <w:rPr>
        <w:szCs w:val="24"/>
      </w:rPr>
      <w:fldChar w:fldCharType="end"/>
    </w:r>
    <w:r w:rsidR="00917F81">
      <w:rPr>
        <w:szCs w:val="24"/>
      </w:rPr>
      <w:t xml:space="preserve"> of </w:t>
    </w:r>
    <w:r w:rsidR="00917F81">
      <w:rPr>
        <w:szCs w:val="24"/>
      </w:rPr>
      <w:fldChar w:fldCharType="begin"/>
    </w:r>
    <w:r w:rsidR="00917F81">
      <w:rPr>
        <w:szCs w:val="24"/>
      </w:rPr>
      <w:instrText xml:space="preserve"> NUMPAGES  \* Arabic  \* MERGEFORMAT </w:instrText>
    </w:r>
    <w:r w:rsidR="00917F81">
      <w:rPr>
        <w:szCs w:val="24"/>
      </w:rPr>
      <w:fldChar w:fldCharType="separate"/>
    </w:r>
    <w:r w:rsidR="00225C52">
      <w:rPr>
        <w:noProof/>
        <w:szCs w:val="24"/>
      </w:rPr>
      <w:t>4</w:t>
    </w:r>
    <w:r w:rsidR="00917F81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679" w14:textId="77777777" w:rsidR="00190CA7" w:rsidRDefault="00190CA7">
      <w:r>
        <w:separator/>
      </w:r>
    </w:p>
  </w:footnote>
  <w:footnote w:type="continuationSeparator" w:id="0">
    <w:p w14:paraId="4A43B7B1" w14:textId="77777777" w:rsidR="00190CA7" w:rsidRDefault="0019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516D" w14:textId="77777777" w:rsidR="00FE215A" w:rsidRDefault="00FE215A" w:rsidP="004D6AAE">
    <w:pPr>
      <w:pStyle w:val="FootnoteText"/>
      <w:rPr>
        <w:i/>
      </w:rPr>
    </w:pPr>
  </w:p>
  <w:p w14:paraId="3E929433" w14:textId="77777777" w:rsidR="00FE215A" w:rsidRDefault="00FE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A78" w14:textId="77777777" w:rsidR="00FE215A" w:rsidRPr="0098056D" w:rsidRDefault="00FE215A" w:rsidP="003A1638">
    <w:pPr>
      <w:tabs>
        <w:tab w:val="left" w:pos="6840"/>
        <w:tab w:val="right" w:pos="9360"/>
      </w:tabs>
      <w:ind w:firstLine="6840"/>
    </w:pPr>
    <w:r w:rsidRPr="0098056D">
      <w:rPr>
        <w:i/>
        <w:sz w:val="20"/>
      </w:rPr>
      <w:t>Policy Code:</w:t>
    </w:r>
    <w:r w:rsidRPr="0098056D">
      <w:tab/>
    </w:r>
    <w:r w:rsidRPr="0098056D">
      <w:rPr>
        <w:b/>
      </w:rPr>
      <w:t>4120</w:t>
    </w:r>
  </w:p>
  <w:p w14:paraId="3B63B479" w14:textId="77777777" w:rsidR="00FE215A" w:rsidRDefault="000E0633" w:rsidP="003A1638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7CD5E61" wp14:editId="0CAA7D2B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943600" cy="0"/>
              <wp:effectExtent l="0" t="25400" r="25400" b="254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891EF" id="Line 8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" o:allowincell="f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F4"/>
    <w:multiLevelType w:val="multilevel"/>
    <w:tmpl w:val="2996B7D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94E6F"/>
    <w:multiLevelType w:val="hybridMultilevel"/>
    <w:tmpl w:val="8898B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E06A4"/>
    <w:multiLevelType w:val="hybridMultilevel"/>
    <w:tmpl w:val="E1B475E0"/>
    <w:lvl w:ilvl="0" w:tplc="41DAAC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6CF1E8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F4379"/>
    <w:multiLevelType w:val="multilevel"/>
    <w:tmpl w:val="AA4E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BF02BC"/>
    <w:multiLevelType w:val="multilevel"/>
    <w:tmpl w:val="17BC04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5638F9"/>
    <w:multiLevelType w:val="multilevel"/>
    <w:tmpl w:val="746E1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055CD"/>
    <w:multiLevelType w:val="hybridMultilevel"/>
    <w:tmpl w:val="C8E81F80"/>
    <w:lvl w:ilvl="0" w:tplc="8A7C4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1D05AB"/>
    <w:multiLevelType w:val="hybridMultilevel"/>
    <w:tmpl w:val="4BA467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F0729C"/>
    <w:multiLevelType w:val="hybridMultilevel"/>
    <w:tmpl w:val="5B0091C4"/>
    <w:lvl w:ilvl="0" w:tplc="7BBAF5B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85AA738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B029D7C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7159152">
    <w:abstractNumId w:val="6"/>
  </w:num>
  <w:num w:numId="2" w16cid:durableId="1808813843">
    <w:abstractNumId w:val="7"/>
  </w:num>
  <w:num w:numId="3" w16cid:durableId="658076899">
    <w:abstractNumId w:val="20"/>
  </w:num>
  <w:num w:numId="4" w16cid:durableId="994996633">
    <w:abstractNumId w:val="18"/>
  </w:num>
  <w:num w:numId="5" w16cid:durableId="721558482">
    <w:abstractNumId w:val="15"/>
  </w:num>
  <w:num w:numId="6" w16cid:durableId="982151896">
    <w:abstractNumId w:val="11"/>
  </w:num>
  <w:num w:numId="7" w16cid:durableId="1565526790">
    <w:abstractNumId w:val="10"/>
  </w:num>
  <w:num w:numId="8" w16cid:durableId="1775861606">
    <w:abstractNumId w:val="5"/>
  </w:num>
  <w:num w:numId="9" w16cid:durableId="143356712">
    <w:abstractNumId w:val="9"/>
  </w:num>
  <w:num w:numId="10" w16cid:durableId="533079149">
    <w:abstractNumId w:val="1"/>
  </w:num>
  <w:num w:numId="11" w16cid:durableId="372849377">
    <w:abstractNumId w:val="19"/>
  </w:num>
  <w:num w:numId="12" w16cid:durableId="2024743051">
    <w:abstractNumId w:val="14"/>
  </w:num>
  <w:num w:numId="13" w16cid:durableId="1513106260">
    <w:abstractNumId w:val="2"/>
  </w:num>
  <w:num w:numId="14" w16cid:durableId="95290272">
    <w:abstractNumId w:val="3"/>
  </w:num>
  <w:num w:numId="15" w16cid:durableId="1136794299">
    <w:abstractNumId w:val="16"/>
  </w:num>
  <w:num w:numId="16" w16cid:durableId="1765178416">
    <w:abstractNumId w:val="17"/>
  </w:num>
  <w:num w:numId="17" w16cid:durableId="1137603029">
    <w:abstractNumId w:val="13"/>
  </w:num>
  <w:num w:numId="18" w16cid:durableId="617221997">
    <w:abstractNumId w:val="4"/>
  </w:num>
  <w:num w:numId="19" w16cid:durableId="633220215">
    <w:abstractNumId w:val="12"/>
  </w:num>
  <w:num w:numId="20" w16cid:durableId="1432359566">
    <w:abstractNumId w:val="8"/>
  </w:num>
  <w:num w:numId="21" w16cid:durableId="14463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5793"/>
    <w:rsid w:val="00007BC0"/>
    <w:rsid w:val="000108F7"/>
    <w:rsid w:val="0001341A"/>
    <w:rsid w:val="00016431"/>
    <w:rsid w:val="00025360"/>
    <w:rsid w:val="00040CB5"/>
    <w:rsid w:val="00040E80"/>
    <w:rsid w:val="00055922"/>
    <w:rsid w:val="000559FC"/>
    <w:rsid w:val="0005685E"/>
    <w:rsid w:val="00071483"/>
    <w:rsid w:val="00071DD4"/>
    <w:rsid w:val="000738AC"/>
    <w:rsid w:val="00076675"/>
    <w:rsid w:val="000772B4"/>
    <w:rsid w:val="00077F05"/>
    <w:rsid w:val="00097D2A"/>
    <w:rsid w:val="000A4CD7"/>
    <w:rsid w:val="000A5D29"/>
    <w:rsid w:val="000C1915"/>
    <w:rsid w:val="000C2F5B"/>
    <w:rsid w:val="000C6F68"/>
    <w:rsid w:val="000C6FAF"/>
    <w:rsid w:val="000C7498"/>
    <w:rsid w:val="000C7655"/>
    <w:rsid w:val="000D7F0A"/>
    <w:rsid w:val="000E0633"/>
    <w:rsid w:val="000F28F1"/>
    <w:rsid w:val="000F6E59"/>
    <w:rsid w:val="001028A2"/>
    <w:rsid w:val="00103EF5"/>
    <w:rsid w:val="00104198"/>
    <w:rsid w:val="001073D3"/>
    <w:rsid w:val="00114DAF"/>
    <w:rsid w:val="001159DA"/>
    <w:rsid w:val="00126B82"/>
    <w:rsid w:val="0012740C"/>
    <w:rsid w:val="00131ADD"/>
    <w:rsid w:val="00154A3A"/>
    <w:rsid w:val="001556DD"/>
    <w:rsid w:val="0016451D"/>
    <w:rsid w:val="0017233A"/>
    <w:rsid w:val="00175858"/>
    <w:rsid w:val="00177658"/>
    <w:rsid w:val="0017791A"/>
    <w:rsid w:val="00181BBB"/>
    <w:rsid w:val="00190CA7"/>
    <w:rsid w:val="00197788"/>
    <w:rsid w:val="001A2BE9"/>
    <w:rsid w:val="001D312E"/>
    <w:rsid w:val="001D3311"/>
    <w:rsid w:val="001D3F09"/>
    <w:rsid w:val="001E07E9"/>
    <w:rsid w:val="001E489E"/>
    <w:rsid w:val="001F0D84"/>
    <w:rsid w:val="00211720"/>
    <w:rsid w:val="00216AC6"/>
    <w:rsid w:val="00220BBB"/>
    <w:rsid w:val="00222CAD"/>
    <w:rsid w:val="00225C52"/>
    <w:rsid w:val="00227F7F"/>
    <w:rsid w:val="00246333"/>
    <w:rsid w:val="00272A3F"/>
    <w:rsid w:val="00273299"/>
    <w:rsid w:val="00282B4B"/>
    <w:rsid w:val="002A3BB9"/>
    <w:rsid w:val="002A3E06"/>
    <w:rsid w:val="002A7713"/>
    <w:rsid w:val="002B2385"/>
    <w:rsid w:val="002B676F"/>
    <w:rsid w:val="002C5DCB"/>
    <w:rsid w:val="002C6A04"/>
    <w:rsid w:val="002D79CA"/>
    <w:rsid w:val="002F1B28"/>
    <w:rsid w:val="002F275B"/>
    <w:rsid w:val="002F7538"/>
    <w:rsid w:val="0031084A"/>
    <w:rsid w:val="0031316C"/>
    <w:rsid w:val="0032566B"/>
    <w:rsid w:val="00334A40"/>
    <w:rsid w:val="00337D6C"/>
    <w:rsid w:val="00360581"/>
    <w:rsid w:val="00361F27"/>
    <w:rsid w:val="003660A4"/>
    <w:rsid w:val="003830DB"/>
    <w:rsid w:val="00384A9E"/>
    <w:rsid w:val="003A1638"/>
    <w:rsid w:val="003A2C9C"/>
    <w:rsid w:val="003C698E"/>
    <w:rsid w:val="003D43A5"/>
    <w:rsid w:val="003D6097"/>
    <w:rsid w:val="003E0152"/>
    <w:rsid w:val="003F02E4"/>
    <w:rsid w:val="003F6C61"/>
    <w:rsid w:val="004031E5"/>
    <w:rsid w:val="00405CFB"/>
    <w:rsid w:val="00435EAE"/>
    <w:rsid w:val="0045223B"/>
    <w:rsid w:val="00457074"/>
    <w:rsid w:val="00471A01"/>
    <w:rsid w:val="00472522"/>
    <w:rsid w:val="00475830"/>
    <w:rsid w:val="00480084"/>
    <w:rsid w:val="004A7AAF"/>
    <w:rsid w:val="004B08A3"/>
    <w:rsid w:val="004B3AF7"/>
    <w:rsid w:val="004B4FFA"/>
    <w:rsid w:val="004B5CF5"/>
    <w:rsid w:val="004D6AAE"/>
    <w:rsid w:val="004D739C"/>
    <w:rsid w:val="004E54C2"/>
    <w:rsid w:val="004E5BDB"/>
    <w:rsid w:val="004E6F6B"/>
    <w:rsid w:val="00504E90"/>
    <w:rsid w:val="00512001"/>
    <w:rsid w:val="00515E88"/>
    <w:rsid w:val="00517F88"/>
    <w:rsid w:val="005270FA"/>
    <w:rsid w:val="00533FA7"/>
    <w:rsid w:val="00534319"/>
    <w:rsid w:val="00547984"/>
    <w:rsid w:val="005521B3"/>
    <w:rsid w:val="00563146"/>
    <w:rsid w:val="00564BC6"/>
    <w:rsid w:val="00592305"/>
    <w:rsid w:val="00594846"/>
    <w:rsid w:val="005A43FC"/>
    <w:rsid w:val="005B22AF"/>
    <w:rsid w:val="005B6D6B"/>
    <w:rsid w:val="005C3BEC"/>
    <w:rsid w:val="005C4DAD"/>
    <w:rsid w:val="005C514F"/>
    <w:rsid w:val="005D400D"/>
    <w:rsid w:val="005D7102"/>
    <w:rsid w:val="005E165B"/>
    <w:rsid w:val="005F6591"/>
    <w:rsid w:val="0060731F"/>
    <w:rsid w:val="00607395"/>
    <w:rsid w:val="00615547"/>
    <w:rsid w:val="006159E8"/>
    <w:rsid w:val="00616878"/>
    <w:rsid w:val="00616BA0"/>
    <w:rsid w:val="00620B68"/>
    <w:rsid w:val="00633299"/>
    <w:rsid w:val="006337D7"/>
    <w:rsid w:val="00636E10"/>
    <w:rsid w:val="00642D5A"/>
    <w:rsid w:val="00643296"/>
    <w:rsid w:val="00650848"/>
    <w:rsid w:val="0065292A"/>
    <w:rsid w:val="00656627"/>
    <w:rsid w:val="00663EE5"/>
    <w:rsid w:val="006656E7"/>
    <w:rsid w:val="006962CA"/>
    <w:rsid w:val="006A498B"/>
    <w:rsid w:val="006B323C"/>
    <w:rsid w:val="006C1990"/>
    <w:rsid w:val="006C65F2"/>
    <w:rsid w:val="006E4248"/>
    <w:rsid w:val="006F2F66"/>
    <w:rsid w:val="006F48DD"/>
    <w:rsid w:val="006F6188"/>
    <w:rsid w:val="0070502F"/>
    <w:rsid w:val="007054DF"/>
    <w:rsid w:val="00732447"/>
    <w:rsid w:val="00737E64"/>
    <w:rsid w:val="00745157"/>
    <w:rsid w:val="0075178C"/>
    <w:rsid w:val="0075356A"/>
    <w:rsid w:val="00755567"/>
    <w:rsid w:val="0076190B"/>
    <w:rsid w:val="00770799"/>
    <w:rsid w:val="00774210"/>
    <w:rsid w:val="007872CE"/>
    <w:rsid w:val="00795357"/>
    <w:rsid w:val="007A256F"/>
    <w:rsid w:val="007A2E3B"/>
    <w:rsid w:val="007C177E"/>
    <w:rsid w:val="007C35A8"/>
    <w:rsid w:val="007C7E52"/>
    <w:rsid w:val="007D2D16"/>
    <w:rsid w:val="007E1022"/>
    <w:rsid w:val="007E5D50"/>
    <w:rsid w:val="007F54F5"/>
    <w:rsid w:val="0080155C"/>
    <w:rsid w:val="008035BA"/>
    <w:rsid w:val="00824852"/>
    <w:rsid w:val="00831DB6"/>
    <w:rsid w:val="0085554E"/>
    <w:rsid w:val="00860283"/>
    <w:rsid w:val="00862247"/>
    <w:rsid w:val="008631CB"/>
    <w:rsid w:val="00871F46"/>
    <w:rsid w:val="00883BD7"/>
    <w:rsid w:val="00884EC1"/>
    <w:rsid w:val="00885DD5"/>
    <w:rsid w:val="008864E0"/>
    <w:rsid w:val="00890489"/>
    <w:rsid w:val="008909F0"/>
    <w:rsid w:val="008934C5"/>
    <w:rsid w:val="008A114B"/>
    <w:rsid w:val="008A4BA0"/>
    <w:rsid w:val="008E4322"/>
    <w:rsid w:val="008F2154"/>
    <w:rsid w:val="0091199D"/>
    <w:rsid w:val="00912D46"/>
    <w:rsid w:val="00917F81"/>
    <w:rsid w:val="00922295"/>
    <w:rsid w:val="009244F4"/>
    <w:rsid w:val="009251BF"/>
    <w:rsid w:val="00944F46"/>
    <w:rsid w:val="0095636F"/>
    <w:rsid w:val="00961506"/>
    <w:rsid w:val="00975F17"/>
    <w:rsid w:val="0098056D"/>
    <w:rsid w:val="00981362"/>
    <w:rsid w:val="009A4034"/>
    <w:rsid w:val="009B2B56"/>
    <w:rsid w:val="009C5258"/>
    <w:rsid w:val="009C710C"/>
    <w:rsid w:val="009D50F2"/>
    <w:rsid w:val="009E6746"/>
    <w:rsid w:val="009F0001"/>
    <w:rsid w:val="00A16E32"/>
    <w:rsid w:val="00A22CBA"/>
    <w:rsid w:val="00A2491A"/>
    <w:rsid w:val="00A318AA"/>
    <w:rsid w:val="00A369F8"/>
    <w:rsid w:val="00A36A7B"/>
    <w:rsid w:val="00A372AB"/>
    <w:rsid w:val="00A37D4B"/>
    <w:rsid w:val="00A50D6F"/>
    <w:rsid w:val="00A52FFD"/>
    <w:rsid w:val="00A56048"/>
    <w:rsid w:val="00A637BB"/>
    <w:rsid w:val="00A65BFC"/>
    <w:rsid w:val="00A67F7C"/>
    <w:rsid w:val="00A73312"/>
    <w:rsid w:val="00A73E6D"/>
    <w:rsid w:val="00A83077"/>
    <w:rsid w:val="00A863EC"/>
    <w:rsid w:val="00A97ACC"/>
    <w:rsid w:val="00AA39A7"/>
    <w:rsid w:val="00AA78E7"/>
    <w:rsid w:val="00AB06AA"/>
    <w:rsid w:val="00AB1E46"/>
    <w:rsid w:val="00AB57E9"/>
    <w:rsid w:val="00AC0D1A"/>
    <w:rsid w:val="00AC2C36"/>
    <w:rsid w:val="00AD299A"/>
    <w:rsid w:val="00AE0AF9"/>
    <w:rsid w:val="00AE1DDB"/>
    <w:rsid w:val="00AE2670"/>
    <w:rsid w:val="00AE4971"/>
    <w:rsid w:val="00AF28DF"/>
    <w:rsid w:val="00AF3350"/>
    <w:rsid w:val="00B11573"/>
    <w:rsid w:val="00B21B6A"/>
    <w:rsid w:val="00B21F31"/>
    <w:rsid w:val="00B4380B"/>
    <w:rsid w:val="00B46E08"/>
    <w:rsid w:val="00B64B01"/>
    <w:rsid w:val="00B7517B"/>
    <w:rsid w:val="00B77547"/>
    <w:rsid w:val="00B82335"/>
    <w:rsid w:val="00B848FC"/>
    <w:rsid w:val="00B925E1"/>
    <w:rsid w:val="00BC0411"/>
    <w:rsid w:val="00BE69F9"/>
    <w:rsid w:val="00BF1227"/>
    <w:rsid w:val="00BF1A6B"/>
    <w:rsid w:val="00BF2648"/>
    <w:rsid w:val="00BF4090"/>
    <w:rsid w:val="00BF547D"/>
    <w:rsid w:val="00C01ECB"/>
    <w:rsid w:val="00C0726C"/>
    <w:rsid w:val="00C1638A"/>
    <w:rsid w:val="00C301AF"/>
    <w:rsid w:val="00C46C4A"/>
    <w:rsid w:val="00C6202C"/>
    <w:rsid w:val="00C6390D"/>
    <w:rsid w:val="00C701AD"/>
    <w:rsid w:val="00C85395"/>
    <w:rsid w:val="00C941F1"/>
    <w:rsid w:val="00C9667E"/>
    <w:rsid w:val="00CA2721"/>
    <w:rsid w:val="00CB0ACF"/>
    <w:rsid w:val="00CC40A4"/>
    <w:rsid w:val="00CC45AD"/>
    <w:rsid w:val="00CC7638"/>
    <w:rsid w:val="00CC7931"/>
    <w:rsid w:val="00CD28D6"/>
    <w:rsid w:val="00D0190E"/>
    <w:rsid w:val="00D05165"/>
    <w:rsid w:val="00D13082"/>
    <w:rsid w:val="00D138F6"/>
    <w:rsid w:val="00D150BA"/>
    <w:rsid w:val="00D16B46"/>
    <w:rsid w:val="00D25064"/>
    <w:rsid w:val="00D275F5"/>
    <w:rsid w:val="00D30D72"/>
    <w:rsid w:val="00D321E6"/>
    <w:rsid w:val="00D35B3F"/>
    <w:rsid w:val="00D4570D"/>
    <w:rsid w:val="00D63A0D"/>
    <w:rsid w:val="00D70425"/>
    <w:rsid w:val="00D72060"/>
    <w:rsid w:val="00D74799"/>
    <w:rsid w:val="00D823BF"/>
    <w:rsid w:val="00D91470"/>
    <w:rsid w:val="00DA3AEC"/>
    <w:rsid w:val="00DB3269"/>
    <w:rsid w:val="00DB6E8E"/>
    <w:rsid w:val="00DC3F91"/>
    <w:rsid w:val="00DD2E66"/>
    <w:rsid w:val="00DE669F"/>
    <w:rsid w:val="00DF436A"/>
    <w:rsid w:val="00DF7E35"/>
    <w:rsid w:val="00E131EB"/>
    <w:rsid w:val="00E232BC"/>
    <w:rsid w:val="00E25259"/>
    <w:rsid w:val="00E3400A"/>
    <w:rsid w:val="00E41E60"/>
    <w:rsid w:val="00E4262A"/>
    <w:rsid w:val="00E523C7"/>
    <w:rsid w:val="00E55305"/>
    <w:rsid w:val="00E71712"/>
    <w:rsid w:val="00E747DD"/>
    <w:rsid w:val="00E76F95"/>
    <w:rsid w:val="00E775B0"/>
    <w:rsid w:val="00E82363"/>
    <w:rsid w:val="00E860B3"/>
    <w:rsid w:val="00E90C1D"/>
    <w:rsid w:val="00E96E7A"/>
    <w:rsid w:val="00EB19EF"/>
    <w:rsid w:val="00EB341D"/>
    <w:rsid w:val="00EB6013"/>
    <w:rsid w:val="00EC4EB4"/>
    <w:rsid w:val="00EC4F1D"/>
    <w:rsid w:val="00EC5071"/>
    <w:rsid w:val="00EC7733"/>
    <w:rsid w:val="00ED4D9B"/>
    <w:rsid w:val="00ED52EA"/>
    <w:rsid w:val="00ED7BAD"/>
    <w:rsid w:val="00EF3026"/>
    <w:rsid w:val="00EF38A0"/>
    <w:rsid w:val="00F01367"/>
    <w:rsid w:val="00F037F3"/>
    <w:rsid w:val="00F22DCD"/>
    <w:rsid w:val="00F32E51"/>
    <w:rsid w:val="00F409B5"/>
    <w:rsid w:val="00F423DB"/>
    <w:rsid w:val="00F44F88"/>
    <w:rsid w:val="00F46863"/>
    <w:rsid w:val="00F47F6F"/>
    <w:rsid w:val="00F569D0"/>
    <w:rsid w:val="00F6253E"/>
    <w:rsid w:val="00F757CC"/>
    <w:rsid w:val="00F8786D"/>
    <w:rsid w:val="00FA0196"/>
    <w:rsid w:val="00FC7811"/>
    <w:rsid w:val="00FE0FA7"/>
    <w:rsid w:val="00FE10CD"/>
    <w:rsid w:val="00FE215A"/>
    <w:rsid w:val="00FE6240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1E2CF6"/>
  <w15:docId w15:val="{A8704492-60B0-4ECF-AD59-1686EF85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F3026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D7F0A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tyleFootnoteReference12pt">
    <w:name w:val="Style Footnote Reference + 12 pt"/>
    <w:rsid w:val="00E76F95"/>
    <w:rPr>
      <w:rFonts w:ascii="Times New Roman" w:hAnsi="Times New Roman"/>
      <w:sz w:val="24"/>
      <w:vertAlign w:val="superscript"/>
    </w:rPr>
  </w:style>
  <w:style w:type="character" w:styleId="CommentReference">
    <w:name w:val="annotation reference"/>
    <w:rsid w:val="000A4C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CD7"/>
    <w:rPr>
      <w:sz w:val="20"/>
    </w:rPr>
  </w:style>
  <w:style w:type="character" w:customStyle="1" w:styleId="CommentTextChar">
    <w:name w:val="Comment Text Char"/>
    <w:link w:val="CommentText"/>
    <w:rsid w:val="000A4CD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A4CD7"/>
    <w:rPr>
      <w:b/>
      <w:bCs/>
    </w:rPr>
  </w:style>
  <w:style w:type="character" w:customStyle="1" w:styleId="CommentSubjectChar">
    <w:name w:val="Comment Subject Char"/>
    <w:link w:val="CommentSubject"/>
    <w:rsid w:val="000A4CD7"/>
    <w:rPr>
      <w:b/>
      <w:bCs/>
      <w:snapToGrid w:val="0"/>
    </w:rPr>
  </w:style>
  <w:style w:type="character" w:styleId="Hyperlink">
    <w:name w:val="Hyperlink"/>
    <w:rsid w:val="00197788"/>
    <w:rPr>
      <w:color w:val="0000FF"/>
      <w:u w:val="single"/>
    </w:rPr>
  </w:style>
  <w:style w:type="character" w:styleId="FollowedHyperlink">
    <w:name w:val="FollowedHyperlink"/>
    <w:rsid w:val="00197788"/>
    <w:rPr>
      <w:color w:val="800080"/>
      <w:u w:val="single"/>
    </w:rPr>
  </w:style>
  <w:style w:type="character" w:styleId="LineNumber">
    <w:name w:val="line number"/>
    <w:basedOn w:val="DefaultParagraphFont"/>
    <w:semiHidden/>
    <w:unhideWhenUsed/>
    <w:rsid w:val="000E0633"/>
  </w:style>
  <w:style w:type="paragraph" w:styleId="Revision">
    <w:name w:val="Revision"/>
    <w:hidden/>
    <w:uiPriority w:val="99"/>
    <w:semiHidden/>
    <w:rsid w:val="00DB6E8E"/>
    <w:rPr>
      <w:snapToGrid w:val="0"/>
      <w:sz w:val="24"/>
    </w:rPr>
  </w:style>
  <w:style w:type="character" w:styleId="Emphasis">
    <w:name w:val="Emphasis"/>
    <w:basedOn w:val="DefaultParagraphFont"/>
    <w:uiPriority w:val="20"/>
    <w:qFormat/>
    <w:rsid w:val="00DB6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director.microscribepub.com/?cat=cfr&amp;loc=us&amp;id=34&amp;spec=300" TargetMode="External"/><Relationship Id="rId18" Type="http://schemas.openxmlformats.org/officeDocument/2006/relationships/hyperlink" Target="http://redirector.microscribepub.com/?cat=stat&amp;loc=nc&amp;id=50&amp;" TargetMode="External"/><Relationship Id="rId26" Type="http://schemas.openxmlformats.org/officeDocument/2006/relationships/hyperlink" Target="http://ec.ncpublicschools.gov/policies/nc-policies-governing-services-for-children-with-disabilities" TargetMode="External"/><Relationship Id="rId3" Type="http://schemas.openxmlformats.org/officeDocument/2006/relationships/styles" Target="styles.xml"/><Relationship Id="rId21" Type="http://schemas.openxmlformats.org/officeDocument/2006/relationships/hyperlink" Target="http://redirector.microscribepub.com/?cat=stat&amp;loc=nc&amp;id=115c&amp;spec=107.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director.microscribepub.com/?cat=usc&amp;loc=us&amp;id=20-1400&amp;" TargetMode="External"/><Relationship Id="rId17" Type="http://schemas.openxmlformats.org/officeDocument/2006/relationships/hyperlink" Target="http://redirector.microscribepub.com/?cat=stat&amp;loc=nc&amp;id=15c&amp;spec=8" TargetMode="External"/><Relationship Id="rId25" Type="http://schemas.openxmlformats.org/officeDocument/2006/relationships/hyperlink" Target="http://redirector.microscribepub.com/?cat=pol&amp;loc=nc&amp;id=excp-000&amp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director.microscribepub.com/?cat=stat&amp;loc=nc&amp;id=35a&amp;spec=a6" TargetMode="External"/><Relationship Id="rId20" Type="http://schemas.openxmlformats.org/officeDocument/2006/relationships/hyperlink" Target="http://redirector.microscribepub.com/?cat=stat&amp;loc=nc&amp;id=115c&amp;spec=106.3" TargetMode="External"/><Relationship Id="rId29" Type="http://schemas.openxmlformats.org/officeDocument/2006/relationships/hyperlink" Target="javascript:doJump(140623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director.microscribepub.com/?cat=usc&amp;loc=us&amp;id=20-6303&amp;" TargetMode="External"/><Relationship Id="rId24" Type="http://schemas.openxmlformats.org/officeDocument/2006/relationships/hyperlink" Target="http://redirector.microscribepub.com/?cat=stat&amp;loc=nc&amp;id=115c&amp;spec=407.5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director.microscribepub.com/?cat=stat&amp;loc=nc&amp;id=7b&amp;spec=a35" TargetMode="External"/><Relationship Id="rId23" Type="http://schemas.openxmlformats.org/officeDocument/2006/relationships/hyperlink" Target="http://redirector.microscribepub.com/?cat=stat&amp;loc=nc&amp;id=115c&amp;spec=366" TargetMode="External"/><Relationship Id="rId28" Type="http://schemas.openxmlformats.org/officeDocument/2006/relationships/hyperlink" Target="javascript:doJump(140619)" TargetMode="External"/><Relationship Id="rId10" Type="http://schemas.openxmlformats.org/officeDocument/2006/relationships/hyperlink" Target="http://redirector.microscribepub.com/?cat=USC&amp;loc=us&amp;id=10-2031&amp;" TargetMode="External"/><Relationship Id="rId19" Type="http://schemas.openxmlformats.org/officeDocument/2006/relationships/hyperlink" Target="http://redirector.microscribepub.com/?cat=stat&amp;loc=nc&amp;id=115c&amp;spec=106.2" TargetMode="External"/><Relationship Id="rId31" Type="http://schemas.openxmlformats.org/officeDocument/2006/relationships/hyperlink" Target="javascript:doJump(140641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edirector.microscribepub.com/?cat=usc&amp;loc=us&amp;id=42-11431&amp;" TargetMode="External"/><Relationship Id="rId22" Type="http://schemas.openxmlformats.org/officeDocument/2006/relationships/hyperlink" Target="http://redirector.microscribepub.com/?cat=stat&amp;loc=nc&amp;id=115c&amp;spec=108.1" TargetMode="External"/><Relationship Id="rId27" Type="http://schemas.openxmlformats.org/officeDocument/2006/relationships/hyperlink" Target="javascript:doJump(140505)" TargetMode="External"/><Relationship Id="rId30" Type="http://schemas.openxmlformats.org/officeDocument/2006/relationships/hyperlink" Target="javascript:doJump(140625)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BF7F4-6727-744E-9567-C43770E4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DOMICILE OR RESIDENCE REQUIREMENTS</vt:lpstr>
    </vt:vector>
  </TitlesOfParts>
  <Company>NCSBA</Company>
  <LinksUpToDate>false</LinksUpToDate>
  <CharactersWithSpaces>9850</CharactersWithSpaces>
  <SharedDoc>false</SharedDoc>
  <HLinks>
    <vt:vector size="6" baseType="variant">
      <vt:variant>
        <vt:i4>2031639</vt:i4>
      </vt:variant>
      <vt:variant>
        <vt:i4>0</vt:i4>
      </vt:variant>
      <vt:variant>
        <vt:i4>0</vt:i4>
      </vt:variant>
      <vt:variant>
        <vt:i4>5</vt:i4>
      </vt:variant>
      <vt:variant>
        <vt:lpwstr>http://ec.ncpublicschools.gov/policies/nc-policies-governing-services-for-children-with-disabilities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DOMICILE OR RESIDENCE REQUIREMENTS</dc:title>
  <dc:creator>Kendra</dc:creator>
  <cp:lastModifiedBy>Larry Price</cp:lastModifiedBy>
  <cp:revision>8</cp:revision>
  <cp:lastPrinted>2013-09-10T17:51:00Z</cp:lastPrinted>
  <dcterms:created xsi:type="dcterms:W3CDTF">2020-01-21T01:53:00Z</dcterms:created>
  <dcterms:modified xsi:type="dcterms:W3CDTF">2022-06-18T01:43:00Z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2132999755</vt:i4>
  </property>
  <property fmtid="{D5CDD505-2E9C-101B-9397-08002B2CF9AE}" pid="3" name="_EmailSubject">
    <vt:lpwstr>homeless policies</vt:lpwstr>
  </property>
  <property fmtid="{D5CDD505-2E9C-101B-9397-08002B2CF9AE}" pid="4" name="_AuthorEmail">
    <vt:lpwstr>mcoll@ncsba.org</vt:lpwstr>
  </property>
  <property fmtid="{D5CDD505-2E9C-101B-9397-08002B2CF9AE}" pid="5" name="_AuthorEmailDisplayName">
    <vt:lpwstr>McKenna Coll</vt:lpwstr>
  </property>
  <property fmtid="{D5CDD505-2E9C-101B-9397-08002B2CF9AE}" pid="6" name="_ReviewingToolsShownOnce">
    <vt:lpwstr/>
  </property>
  <property fmtid="{D5CDD505-2E9C-101B-9397-08002B2CF9AE}" pid="7" name="_DocHome">
    <vt:i4>-65783261</vt:i4>
  </property>
</Properties>
</file>