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391E" w14:textId="77777777" w:rsidR="0086143B" w:rsidRPr="00BD2A58" w:rsidRDefault="00ED4305" w:rsidP="005422A4">
      <w:pPr>
        <w:widowControl/>
        <w:tabs>
          <w:tab w:val="left" w:pos="6840"/>
          <w:tab w:val="right" w:pos="9360"/>
        </w:tabs>
        <w:rPr>
          <w:color w:val="000000" w:themeColor="text1"/>
        </w:rPr>
      </w:pPr>
      <w:r w:rsidRPr="00BD2A58">
        <w:rPr>
          <w:b/>
          <w:color w:val="000000" w:themeColor="text1"/>
          <w:sz w:val="28"/>
        </w:rPr>
        <w:t>SCHOLAR</w:t>
      </w:r>
      <w:r w:rsidR="0086143B" w:rsidRPr="00BD2A58">
        <w:rPr>
          <w:b/>
          <w:color w:val="000000" w:themeColor="text1"/>
          <w:sz w:val="28"/>
        </w:rPr>
        <w:t xml:space="preserve"> HEALTH SERVICES</w:t>
      </w:r>
      <w:r w:rsidR="0086143B" w:rsidRPr="00BD2A58">
        <w:rPr>
          <w:color w:val="000000" w:themeColor="text1"/>
          <w:sz w:val="28"/>
        </w:rPr>
        <w:tab/>
      </w:r>
      <w:r w:rsidR="0086143B" w:rsidRPr="00BD2A58">
        <w:rPr>
          <w:i/>
          <w:color w:val="000000" w:themeColor="text1"/>
          <w:sz w:val="20"/>
        </w:rPr>
        <w:t>Policy Code:</w:t>
      </w:r>
      <w:r w:rsidR="0086143B" w:rsidRPr="00BD2A58">
        <w:rPr>
          <w:color w:val="000000" w:themeColor="text1"/>
          <w:sz w:val="28"/>
        </w:rPr>
        <w:tab/>
      </w:r>
      <w:r w:rsidR="0086143B" w:rsidRPr="00BD2A58">
        <w:rPr>
          <w:b/>
          <w:color w:val="000000" w:themeColor="text1"/>
        </w:rPr>
        <w:t>6120</w:t>
      </w:r>
    </w:p>
    <w:p w14:paraId="01BE31EF" w14:textId="77777777" w:rsidR="0086143B" w:rsidRPr="00BD2A58" w:rsidRDefault="003A389C" w:rsidP="0086143B">
      <w:pPr>
        <w:widowControl/>
        <w:tabs>
          <w:tab w:val="left" w:pos="6840"/>
          <w:tab w:val="right" w:pos="9360"/>
        </w:tabs>
        <w:spacing w:line="109" w:lineRule="exact"/>
        <w:rPr>
          <w:color w:val="000000" w:themeColor="text1"/>
        </w:rPr>
      </w:pPr>
      <w:r w:rsidRPr="00BD2A58">
        <w:rPr>
          <w:b/>
          <w:noProof/>
          <w:snapToGrid/>
          <w:color w:val="000000" w:themeColor="text1"/>
          <w:sz w:val="28"/>
        </w:rPr>
        <mc:AlternateContent>
          <mc:Choice Requires="wps">
            <w:drawing>
              <wp:anchor distT="0" distB="0" distL="114300" distR="114300" simplePos="0" relativeHeight="251657728" behindDoc="0" locked="0" layoutInCell="0" allowOverlap="1" wp14:anchorId="7D432F9A" wp14:editId="15861CF6">
                <wp:simplePos x="0" y="0"/>
                <wp:positionH relativeFrom="column">
                  <wp:posOffset>0</wp:posOffset>
                </wp:positionH>
                <wp:positionV relativeFrom="paragraph">
                  <wp:posOffset>46990</wp:posOffset>
                </wp:positionV>
                <wp:extent cx="5943600" cy="0"/>
                <wp:effectExtent l="28575" t="37465" r="28575" b="2921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C8506"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pt" to="468pt,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" o:allowincell="f" strokeweight="4.5pt">
                <v:stroke linestyle="thinThick"/>
              </v:line>
            </w:pict>
          </mc:Fallback>
        </mc:AlternateContent>
      </w:r>
    </w:p>
    <w:p w14:paraId="788E3F04" w14:textId="77777777" w:rsidR="0086143B" w:rsidRPr="00BD2A58" w:rsidRDefault="0086143B" w:rsidP="0086143B">
      <w:pPr>
        <w:widowControl/>
        <w:tabs>
          <w:tab w:val="left" w:pos="6840"/>
          <w:tab w:val="right" w:pos="9360"/>
        </w:tabs>
        <w:rPr>
          <w:color w:val="000000" w:themeColor="text1"/>
        </w:rPr>
      </w:pPr>
    </w:p>
    <w:p w14:paraId="04146835" w14:textId="77777777" w:rsidR="00D0521F" w:rsidRPr="00BD2A58" w:rsidRDefault="00D0521F" w:rsidP="0086143B">
      <w:pPr>
        <w:widowControl/>
        <w:tabs>
          <w:tab w:val="left" w:pos="-1440"/>
        </w:tabs>
        <w:jc w:val="both"/>
        <w:rPr>
          <w:color w:val="000000" w:themeColor="text1"/>
        </w:rPr>
        <w:sectPr w:rsidR="00D0521F" w:rsidRPr="00BD2A58" w:rsidSect="0074515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1DEE6517" w14:textId="77777777" w:rsidR="0086143B" w:rsidRPr="00BD2A58" w:rsidRDefault="0086143B" w:rsidP="0086143B">
      <w:pPr>
        <w:widowControl/>
        <w:tabs>
          <w:tab w:val="left" w:pos="-1440"/>
        </w:tabs>
        <w:jc w:val="both"/>
        <w:rPr>
          <w:color w:val="000000" w:themeColor="text1"/>
        </w:rPr>
      </w:pPr>
    </w:p>
    <w:p w14:paraId="0924C0F1" w14:textId="0B1DBFC2" w:rsidR="00B36E8F" w:rsidRPr="00BD2A58" w:rsidRDefault="00B36E8F" w:rsidP="00B36E8F">
      <w:pPr>
        <w:pStyle w:val="ListParagraph"/>
        <w:widowControl/>
        <w:numPr>
          <w:ilvl w:val="0"/>
          <w:numId w:val="22"/>
        </w:numPr>
        <w:tabs>
          <w:tab w:val="left" w:pos="-1440"/>
          <w:tab w:val="left" w:pos="1080"/>
        </w:tabs>
        <w:ind w:left="720" w:hanging="720"/>
        <w:jc w:val="both"/>
        <w:rPr>
          <w:b/>
          <w:bCs/>
          <w:color w:val="000000" w:themeColor="text1"/>
        </w:rPr>
      </w:pPr>
      <w:r w:rsidRPr="00BD2A58">
        <w:rPr>
          <w:b/>
          <w:bCs/>
          <w:color w:val="000000" w:themeColor="text1"/>
        </w:rPr>
        <w:t xml:space="preserve">Student Health Services Generally </w:t>
      </w:r>
    </w:p>
    <w:p w14:paraId="405B56CD" w14:textId="77777777" w:rsidR="00B36E8F" w:rsidRPr="00BD2A58" w:rsidRDefault="00B36E8F" w:rsidP="00B36E8F">
      <w:pPr>
        <w:widowControl/>
        <w:tabs>
          <w:tab w:val="left" w:pos="-1440"/>
          <w:tab w:val="left" w:pos="1080"/>
        </w:tabs>
        <w:jc w:val="both"/>
        <w:rPr>
          <w:color w:val="000000" w:themeColor="text1"/>
        </w:rPr>
      </w:pPr>
    </w:p>
    <w:p w14:paraId="5DA8E0CC" w14:textId="77777777" w:rsidR="0086143B" w:rsidRPr="00BD2A58" w:rsidRDefault="0086143B" w:rsidP="00A978B3">
      <w:pPr>
        <w:widowControl/>
        <w:tabs>
          <w:tab w:val="left" w:pos="-1440"/>
          <w:tab w:val="left" w:pos="1080"/>
        </w:tabs>
        <w:jc w:val="both"/>
        <w:rPr>
          <w:color w:val="000000" w:themeColor="text1"/>
        </w:rPr>
      </w:pPr>
      <w:r w:rsidRPr="00BD2A58">
        <w:rPr>
          <w:color w:val="000000" w:themeColor="text1"/>
        </w:rPr>
        <w:t xml:space="preserve">The </w:t>
      </w:r>
      <w:r w:rsidR="004E7813" w:rsidRPr="00BD2A58">
        <w:rPr>
          <w:color w:val="000000" w:themeColor="text1"/>
        </w:rPr>
        <w:t>board</w:t>
      </w:r>
      <w:r w:rsidRPr="00BD2A58">
        <w:rPr>
          <w:color w:val="000000" w:themeColor="text1"/>
        </w:rPr>
        <w:t xml:space="preserve"> will provide health services to </w:t>
      </w:r>
      <w:r w:rsidR="00ED4305" w:rsidRPr="00BD2A58">
        <w:rPr>
          <w:color w:val="000000" w:themeColor="text1"/>
        </w:rPr>
        <w:t>scholar</w:t>
      </w:r>
      <w:r w:rsidRPr="00BD2A58">
        <w:rPr>
          <w:color w:val="000000" w:themeColor="text1"/>
        </w:rPr>
        <w:t xml:space="preserve">s as required by law.  </w:t>
      </w:r>
      <w:r w:rsidR="004E7813" w:rsidRPr="00BD2A58">
        <w:rPr>
          <w:color w:val="000000" w:themeColor="text1"/>
        </w:rPr>
        <w:t>S</w:t>
      </w:r>
      <w:r w:rsidRPr="00BD2A58">
        <w:rPr>
          <w:color w:val="000000" w:themeColor="text1"/>
        </w:rPr>
        <w:t xml:space="preserve">chool </w:t>
      </w:r>
      <w:r w:rsidR="004E7813" w:rsidRPr="00BD2A58">
        <w:rPr>
          <w:color w:val="000000" w:themeColor="text1"/>
        </w:rPr>
        <w:t xml:space="preserve">employees </w:t>
      </w:r>
      <w:r w:rsidR="00DB727C" w:rsidRPr="00BD2A58">
        <w:rPr>
          <w:color w:val="000000" w:themeColor="text1"/>
        </w:rPr>
        <w:t xml:space="preserve">may </w:t>
      </w:r>
      <w:r w:rsidRPr="00BD2A58">
        <w:rPr>
          <w:color w:val="000000" w:themeColor="text1"/>
        </w:rPr>
        <w:t xml:space="preserve">administer drugs or medication prescribed by a doctor </w:t>
      </w:r>
      <w:r w:rsidR="00DB727C" w:rsidRPr="00BD2A58">
        <w:rPr>
          <w:color w:val="000000" w:themeColor="text1"/>
        </w:rPr>
        <w:t xml:space="preserve">only </w:t>
      </w:r>
      <w:r w:rsidRPr="00BD2A58">
        <w:rPr>
          <w:color w:val="000000" w:themeColor="text1"/>
        </w:rPr>
        <w:t xml:space="preserve">upon the written request of the parents; give emergency health care when reasonably apparent circumstances indicate that any delay would seriously worsen the physical condition or endanger the life of the </w:t>
      </w:r>
      <w:r w:rsidR="00ED4305" w:rsidRPr="00BD2A58">
        <w:rPr>
          <w:color w:val="000000" w:themeColor="text1"/>
        </w:rPr>
        <w:t>scholar</w:t>
      </w:r>
      <w:r w:rsidRPr="00BD2A58">
        <w:rPr>
          <w:color w:val="000000" w:themeColor="text1"/>
        </w:rPr>
        <w:t>; and perform any other first aid or lifesaving technique in which training has been provided</w:t>
      </w:r>
      <w:r w:rsidR="004E7813" w:rsidRPr="00BD2A58">
        <w:rPr>
          <w:color w:val="000000" w:themeColor="text1"/>
        </w:rPr>
        <w:t xml:space="preserve"> to </w:t>
      </w:r>
      <w:r w:rsidR="00DA5EC7" w:rsidRPr="00BD2A58">
        <w:rPr>
          <w:color w:val="000000" w:themeColor="text1"/>
        </w:rPr>
        <w:t>school employee</w:t>
      </w:r>
      <w:r w:rsidR="00CD47D9" w:rsidRPr="00BD2A58">
        <w:rPr>
          <w:color w:val="000000" w:themeColor="text1"/>
        </w:rPr>
        <w:t>s</w:t>
      </w:r>
      <w:r w:rsidR="00DA5EC7" w:rsidRPr="00BD2A58">
        <w:rPr>
          <w:color w:val="000000" w:themeColor="text1"/>
        </w:rPr>
        <w:t>.</w:t>
      </w:r>
      <w:r w:rsidRPr="00BD2A58">
        <w:rPr>
          <w:color w:val="000000" w:themeColor="text1"/>
        </w:rPr>
        <w:t xml:space="preserve">  </w:t>
      </w:r>
    </w:p>
    <w:p w14:paraId="32C4C9DA" w14:textId="16B47ABD" w:rsidR="0086143B" w:rsidRPr="00BD2A58" w:rsidRDefault="0086143B" w:rsidP="0086143B">
      <w:pPr>
        <w:widowControl/>
        <w:tabs>
          <w:tab w:val="left" w:pos="-1440"/>
        </w:tabs>
        <w:jc w:val="both"/>
        <w:rPr>
          <w:color w:val="000000" w:themeColor="text1"/>
        </w:rPr>
      </w:pPr>
      <w:r w:rsidRPr="00BD2A58">
        <w:rPr>
          <w:color w:val="000000" w:themeColor="text1"/>
        </w:rPr>
        <w:t xml:space="preserve">The </w:t>
      </w:r>
      <w:r w:rsidR="00B36E8F" w:rsidRPr="00BD2A58">
        <w:rPr>
          <w:color w:val="000000" w:themeColor="text1"/>
        </w:rPr>
        <w:t xml:space="preserve">executive director </w:t>
      </w:r>
      <w:r w:rsidRPr="00BD2A58">
        <w:rPr>
          <w:color w:val="000000" w:themeColor="text1"/>
        </w:rPr>
        <w:t>may develop procedures for providing these health services and meeting the board requirements</w:t>
      </w:r>
      <w:r w:rsidR="004E7813" w:rsidRPr="00BD2A58">
        <w:rPr>
          <w:color w:val="000000" w:themeColor="text1"/>
        </w:rPr>
        <w:t xml:space="preserve"> listed below</w:t>
      </w:r>
      <w:r w:rsidR="00BE1016" w:rsidRPr="00BD2A58">
        <w:rPr>
          <w:color w:val="000000" w:themeColor="text1"/>
        </w:rPr>
        <w:t>.</w:t>
      </w:r>
    </w:p>
    <w:p w14:paraId="42807E92" w14:textId="77777777" w:rsidR="0086143B" w:rsidRPr="00BD2A58" w:rsidRDefault="0086143B" w:rsidP="0086143B">
      <w:pPr>
        <w:widowControl/>
        <w:tabs>
          <w:tab w:val="left" w:pos="-1440"/>
        </w:tabs>
        <w:jc w:val="both"/>
        <w:rPr>
          <w:color w:val="000000" w:themeColor="text1"/>
        </w:rPr>
      </w:pPr>
    </w:p>
    <w:p w14:paraId="568480BA" w14:textId="77777777" w:rsidR="0086143B" w:rsidRPr="00BD2A58" w:rsidRDefault="0086143B" w:rsidP="00624A85">
      <w:pPr>
        <w:pStyle w:val="a"/>
        <w:widowControl/>
        <w:numPr>
          <w:ilvl w:val="0"/>
          <w:numId w:val="21"/>
        </w:numPr>
        <w:tabs>
          <w:tab w:val="left" w:pos="-1440"/>
        </w:tabs>
        <w:jc w:val="both"/>
        <w:rPr>
          <w:rFonts w:ascii="Times New Roman" w:hAnsi="Times New Roman"/>
          <w:color w:val="000000" w:themeColor="text1"/>
        </w:rPr>
      </w:pPr>
      <w:r w:rsidRPr="00BD2A58">
        <w:rPr>
          <w:rFonts w:ascii="Times New Roman" w:hAnsi="Times New Roman"/>
          <w:color w:val="000000" w:themeColor="text1"/>
        </w:rPr>
        <w:t xml:space="preserve">The principal </w:t>
      </w:r>
      <w:r w:rsidR="00725A6C" w:rsidRPr="00BD2A58">
        <w:rPr>
          <w:rFonts w:ascii="Times New Roman" w:hAnsi="Times New Roman"/>
          <w:color w:val="000000" w:themeColor="text1"/>
        </w:rPr>
        <w:t>shall</w:t>
      </w:r>
      <w:r w:rsidRPr="00BD2A58">
        <w:rPr>
          <w:rFonts w:ascii="Times New Roman" w:hAnsi="Times New Roman"/>
          <w:color w:val="000000" w:themeColor="text1"/>
        </w:rPr>
        <w:t xml:space="preserve"> determine at the </w:t>
      </w:r>
      <w:r w:rsidR="004E7813" w:rsidRPr="00BD2A58">
        <w:rPr>
          <w:rFonts w:ascii="Times New Roman" w:hAnsi="Times New Roman"/>
          <w:color w:val="000000" w:themeColor="text1"/>
        </w:rPr>
        <w:t xml:space="preserve">beginning </w:t>
      </w:r>
      <w:r w:rsidRPr="00BD2A58">
        <w:rPr>
          <w:rFonts w:ascii="Times New Roman" w:hAnsi="Times New Roman"/>
          <w:color w:val="000000" w:themeColor="text1"/>
        </w:rPr>
        <w:t xml:space="preserve">of each school year prior to the beginning of classes, and thereafter as circumstances require, which employees will </w:t>
      </w:r>
      <w:r w:rsidR="004E7813" w:rsidRPr="00BD2A58">
        <w:rPr>
          <w:rFonts w:ascii="Times New Roman" w:hAnsi="Times New Roman"/>
          <w:color w:val="000000" w:themeColor="text1"/>
        </w:rPr>
        <w:t xml:space="preserve">be selected to </w:t>
      </w:r>
      <w:r w:rsidRPr="00BD2A58">
        <w:rPr>
          <w:rFonts w:ascii="Times New Roman" w:hAnsi="Times New Roman"/>
          <w:color w:val="000000" w:themeColor="text1"/>
        </w:rPr>
        <w:t xml:space="preserve">participate in the health services program.  </w:t>
      </w:r>
      <w:r w:rsidR="004E7813" w:rsidRPr="00BD2A58">
        <w:rPr>
          <w:rFonts w:ascii="Times New Roman" w:hAnsi="Times New Roman"/>
          <w:color w:val="000000" w:themeColor="text1"/>
        </w:rPr>
        <w:t xml:space="preserve">The principal </w:t>
      </w:r>
      <w:r w:rsidR="00725A6C" w:rsidRPr="00BD2A58">
        <w:rPr>
          <w:rFonts w:ascii="Times New Roman" w:hAnsi="Times New Roman"/>
          <w:color w:val="000000" w:themeColor="text1"/>
        </w:rPr>
        <w:t>shall</w:t>
      </w:r>
      <w:r w:rsidR="004E7813" w:rsidRPr="00BD2A58">
        <w:rPr>
          <w:rFonts w:ascii="Times New Roman" w:hAnsi="Times New Roman"/>
          <w:color w:val="000000" w:themeColor="text1"/>
        </w:rPr>
        <w:t xml:space="preserve"> </w:t>
      </w:r>
      <w:proofErr w:type="gramStart"/>
      <w:r w:rsidR="004E7813" w:rsidRPr="00BD2A58">
        <w:rPr>
          <w:rFonts w:ascii="Times New Roman" w:hAnsi="Times New Roman"/>
          <w:color w:val="000000" w:themeColor="text1"/>
        </w:rPr>
        <w:t xml:space="preserve">inform </w:t>
      </w:r>
      <w:r w:rsidR="00AD1CFD" w:rsidRPr="00BD2A58">
        <w:rPr>
          <w:rFonts w:ascii="Times New Roman" w:hAnsi="Times New Roman"/>
          <w:color w:val="000000" w:themeColor="text1"/>
        </w:rPr>
        <w:t xml:space="preserve"> </w:t>
      </w:r>
      <w:r w:rsidR="004E7813" w:rsidRPr="00BD2A58">
        <w:rPr>
          <w:rFonts w:ascii="Times New Roman" w:hAnsi="Times New Roman"/>
          <w:color w:val="000000" w:themeColor="text1"/>
        </w:rPr>
        <w:t>staff</w:t>
      </w:r>
      <w:proofErr w:type="gramEnd"/>
      <w:r w:rsidR="004E7813" w:rsidRPr="00BD2A58">
        <w:rPr>
          <w:rFonts w:ascii="Times New Roman" w:hAnsi="Times New Roman"/>
          <w:color w:val="000000" w:themeColor="text1"/>
        </w:rPr>
        <w:t xml:space="preserve"> about which health services duties are delegated to which employees.</w:t>
      </w:r>
    </w:p>
    <w:p w14:paraId="344B49AB" w14:textId="77777777" w:rsidR="0086143B" w:rsidRPr="00BD2A58" w:rsidRDefault="0086143B" w:rsidP="0086143B">
      <w:pPr>
        <w:widowControl/>
        <w:tabs>
          <w:tab w:val="left" w:pos="-1440"/>
        </w:tabs>
        <w:jc w:val="both"/>
        <w:rPr>
          <w:color w:val="000000" w:themeColor="text1"/>
        </w:rPr>
      </w:pPr>
    </w:p>
    <w:p w14:paraId="475606C1" w14:textId="77777777" w:rsidR="0086143B" w:rsidRPr="00BD2A58" w:rsidRDefault="0086143B" w:rsidP="00A31E52">
      <w:pPr>
        <w:pStyle w:val="a"/>
        <w:widowControl/>
        <w:numPr>
          <w:ilvl w:val="0"/>
          <w:numId w:val="21"/>
        </w:numPr>
        <w:tabs>
          <w:tab w:val="left" w:pos="-1440"/>
        </w:tabs>
        <w:jc w:val="both"/>
        <w:rPr>
          <w:color w:val="000000" w:themeColor="text1"/>
        </w:rPr>
      </w:pPr>
      <w:r w:rsidRPr="00BD2A58">
        <w:rPr>
          <w:rFonts w:ascii="Times New Roman" w:hAnsi="Times New Roman"/>
          <w:color w:val="000000" w:themeColor="text1"/>
        </w:rPr>
        <w:t>Any employee designated to provide health care services must receive appropriate training.</w:t>
      </w:r>
    </w:p>
    <w:p w14:paraId="4A4DE797" w14:textId="77777777" w:rsidR="00A31E52" w:rsidRPr="00BD2A58" w:rsidRDefault="00A31E52" w:rsidP="00A31E52">
      <w:pPr>
        <w:pStyle w:val="a"/>
        <w:widowControl/>
        <w:tabs>
          <w:tab w:val="left" w:pos="-1440"/>
        </w:tabs>
        <w:ind w:left="0" w:firstLine="0"/>
        <w:jc w:val="both"/>
        <w:rPr>
          <w:rFonts w:ascii="Times New Roman" w:hAnsi="Times New Roman"/>
          <w:color w:val="000000" w:themeColor="text1"/>
        </w:rPr>
      </w:pPr>
    </w:p>
    <w:p w14:paraId="29BA5EA7" w14:textId="77777777" w:rsidR="0086143B" w:rsidRPr="00BD2A58" w:rsidRDefault="0086143B" w:rsidP="00624A85">
      <w:pPr>
        <w:pStyle w:val="a"/>
        <w:widowControl/>
        <w:numPr>
          <w:ilvl w:val="0"/>
          <w:numId w:val="21"/>
        </w:numPr>
        <w:tabs>
          <w:tab w:val="left" w:pos="-1440"/>
        </w:tabs>
        <w:jc w:val="both"/>
        <w:rPr>
          <w:rFonts w:ascii="Times New Roman" w:hAnsi="Times New Roman"/>
          <w:color w:val="000000" w:themeColor="text1"/>
        </w:rPr>
      </w:pPr>
      <w:r w:rsidRPr="00BD2A58">
        <w:rPr>
          <w:rFonts w:ascii="Times New Roman" w:hAnsi="Times New Roman"/>
          <w:color w:val="000000" w:themeColor="text1"/>
        </w:rPr>
        <w:t xml:space="preserve">Health manuals prepared by </w:t>
      </w:r>
      <w:r w:rsidR="005555C0" w:rsidRPr="00BD2A58">
        <w:rPr>
          <w:rFonts w:ascii="Times New Roman" w:hAnsi="Times New Roman"/>
          <w:color w:val="000000" w:themeColor="text1"/>
        </w:rPr>
        <w:t>the governing state agencies</w:t>
      </w:r>
      <w:r w:rsidRPr="00BD2A58">
        <w:rPr>
          <w:rFonts w:ascii="Times New Roman" w:hAnsi="Times New Roman"/>
          <w:color w:val="000000" w:themeColor="text1"/>
        </w:rPr>
        <w:t xml:space="preserve"> </w:t>
      </w:r>
      <w:r w:rsidR="005555C0" w:rsidRPr="00BD2A58">
        <w:rPr>
          <w:rFonts w:ascii="Times New Roman" w:hAnsi="Times New Roman"/>
          <w:color w:val="000000" w:themeColor="text1"/>
        </w:rPr>
        <w:t xml:space="preserve">must </w:t>
      </w:r>
      <w:r w:rsidRPr="00BD2A58">
        <w:rPr>
          <w:rFonts w:ascii="Times New Roman" w:hAnsi="Times New Roman"/>
          <w:color w:val="000000" w:themeColor="text1"/>
        </w:rPr>
        <w:t>be followed in developing appropriate procedures and for determining which tasks must be performed by registered nurses.</w:t>
      </w:r>
    </w:p>
    <w:p w14:paraId="6DCDFB7D" w14:textId="77777777" w:rsidR="0086143B" w:rsidRPr="00BD2A58" w:rsidRDefault="0086143B" w:rsidP="0086143B">
      <w:pPr>
        <w:widowControl/>
        <w:tabs>
          <w:tab w:val="left" w:pos="-1440"/>
        </w:tabs>
        <w:jc w:val="both"/>
        <w:rPr>
          <w:color w:val="000000" w:themeColor="text1"/>
        </w:rPr>
      </w:pPr>
    </w:p>
    <w:p w14:paraId="1235EDEA" w14:textId="77777777" w:rsidR="0086143B" w:rsidRPr="00BD2A58" w:rsidRDefault="0086143B" w:rsidP="00624A85">
      <w:pPr>
        <w:pStyle w:val="a"/>
        <w:widowControl/>
        <w:numPr>
          <w:ilvl w:val="0"/>
          <w:numId w:val="21"/>
        </w:numPr>
        <w:tabs>
          <w:tab w:val="left" w:pos="-1440"/>
        </w:tabs>
        <w:jc w:val="both"/>
        <w:rPr>
          <w:rFonts w:ascii="Times New Roman" w:hAnsi="Times New Roman"/>
          <w:color w:val="000000" w:themeColor="text1"/>
        </w:rPr>
      </w:pPr>
      <w:r w:rsidRPr="00BD2A58">
        <w:rPr>
          <w:rFonts w:ascii="Times New Roman" w:hAnsi="Times New Roman"/>
          <w:color w:val="000000" w:themeColor="text1"/>
        </w:rPr>
        <w:t xml:space="preserve">Procedures must be consistent with all related board policies, including </w:t>
      </w:r>
      <w:r w:rsidR="00C44CE2" w:rsidRPr="00BD2A58">
        <w:rPr>
          <w:rFonts w:ascii="Times New Roman" w:hAnsi="Times New Roman"/>
          <w:color w:val="000000" w:themeColor="text1"/>
        </w:rPr>
        <w:t xml:space="preserve">policy 4230, </w:t>
      </w:r>
      <w:r w:rsidRPr="00BD2A58">
        <w:rPr>
          <w:rFonts w:ascii="Times New Roman" w:hAnsi="Times New Roman"/>
          <w:color w:val="000000" w:themeColor="text1"/>
        </w:rPr>
        <w:t>Communicable Diseases</w:t>
      </w:r>
      <w:r w:rsidR="00A439F8" w:rsidRPr="00BD2A58">
        <w:rPr>
          <w:rFonts w:ascii="Times New Roman" w:hAnsi="Times New Roman"/>
          <w:color w:val="000000" w:themeColor="text1"/>
        </w:rPr>
        <w:t xml:space="preserve"> </w:t>
      </w:r>
      <w:r w:rsidR="00DF214A" w:rsidRPr="00BD2A58">
        <w:rPr>
          <w:rFonts w:ascii="Times New Roman" w:hAnsi="Times New Roman"/>
          <w:color w:val="000000" w:themeColor="text1"/>
        </w:rPr>
        <w:t xml:space="preserve">– </w:t>
      </w:r>
      <w:r w:rsidR="00ED4305" w:rsidRPr="00BD2A58">
        <w:rPr>
          <w:rFonts w:ascii="Times New Roman" w:hAnsi="Times New Roman"/>
          <w:color w:val="000000" w:themeColor="text1"/>
        </w:rPr>
        <w:t>Scholar</w:t>
      </w:r>
      <w:r w:rsidR="00DF214A" w:rsidRPr="00BD2A58">
        <w:rPr>
          <w:rFonts w:ascii="Times New Roman" w:hAnsi="Times New Roman"/>
          <w:color w:val="000000" w:themeColor="text1"/>
        </w:rPr>
        <w:t>s</w:t>
      </w:r>
      <w:r w:rsidRPr="00BD2A58">
        <w:rPr>
          <w:rFonts w:ascii="Times New Roman" w:hAnsi="Times New Roman"/>
          <w:color w:val="000000" w:themeColor="text1"/>
        </w:rPr>
        <w:t xml:space="preserve">, and </w:t>
      </w:r>
      <w:r w:rsidR="00C44CE2" w:rsidRPr="00BD2A58">
        <w:rPr>
          <w:rFonts w:ascii="Times New Roman" w:hAnsi="Times New Roman"/>
          <w:color w:val="000000" w:themeColor="text1"/>
        </w:rPr>
        <w:t xml:space="preserve">policy 6125, </w:t>
      </w:r>
      <w:r w:rsidRPr="00BD2A58">
        <w:rPr>
          <w:rFonts w:ascii="Times New Roman" w:hAnsi="Times New Roman"/>
          <w:color w:val="000000" w:themeColor="text1"/>
        </w:rPr>
        <w:t xml:space="preserve">Administering Medicines to </w:t>
      </w:r>
      <w:r w:rsidR="00ED4305" w:rsidRPr="00BD2A58">
        <w:rPr>
          <w:rFonts w:ascii="Times New Roman" w:hAnsi="Times New Roman"/>
          <w:color w:val="000000" w:themeColor="text1"/>
        </w:rPr>
        <w:t>Scholar</w:t>
      </w:r>
      <w:r w:rsidRPr="00BD2A58">
        <w:rPr>
          <w:rFonts w:ascii="Times New Roman" w:hAnsi="Times New Roman"/>
          <w:color w:val="000000" w:themeColor="text1"/>
        </w:rPr>
        <w:t>s.</w:t>
      </w:r>
    </w:p>
    <w:p w14:paraId="39F4D518" w14:textId="77777777" w:rsidR="0086143B" w:rsidRPr="00BD2A58" w:rsidRDefault="0086143B" w:rsidP="0086143B">
      <w:pPr>
        <w:widowControl/>
        <w:tabs>
          <w:tab w:val="left" w:pos="-1440"/>
        </w:tabs>
        <w:jc w:val="both"/>
        <w:rPr>
          <w:color w:val="000000" w:themeColor="text1"/>
        </w:rPr>
      </w:pPr>
    </w:p>
    <w:p w14:paraId="009FBE35" w14:textId="77777777" w:rsidR="0086143B" w:rsidRPr="00BD2A58" w:rsidRDefault="0086143B" w:rsidP="00624A85">
      <w:pPr>
        <w:pStyle w:val="a"/>
        <w:widowControl/>
        <w:numPr>
          <w:ilvl w:val="0"/>
          <w:numId w:val="21"/>
        </w:numPr>
        <w:tabs>
          <w:tab w:val="left" w:pos="-1440"/>
        </w:tabs>
        <w:jc w:val="both"/>
        <w:rPr>
          <w:rFonts w:ascii="Times New Roman" w:hAnsi="Times New Roman"/>
          <w:color w:val="000000" w:themeColor="text1"/>
        </w:rPr>
      </w:pPr>
      <w:r w:rsidRPr="00BD2A58">
        <w:rPr>
          <w:rFonts w:ascii="Times New Roman" w:hAnsi="Times New Roman"/>
          <w:color w:val="000000" w:themeColor="text1"/>
        </w:rPr>
        <w:t xml:space="preserve">Procedures must be consistent with state and federal law for </w:t>
      </w:r>
      <w:r w:rsidR="00ED4305" w:rsidRPr="00BD2A58">
        <w:rPr>
          <w:rFonts w:ascii="Times New Roman" w:hAnsi="Times New Roman"/>
          <w:color w:val="000000" w:themeColor="text1"/>
        </w:rPr>
        <w:t>scholar</w:t>
      </w:r>
      <w:r w:rsidRPr="00BD2A58">
        <w:rPr>
          <w:rFonts w:ascii="Times New Roman" w:hAnsi="Times New Roman"/>
          <w:color w:val="000000" w:themeColor="text1"/>
        </w:rPr>
        <w:t>s</w:t>
      </w:r>
      <w:r w:rsidR="004F2563" w:rsidRPr="00BD2A58">
        <w:rPr>
          <w:rFonts w:ascii="Times New Roman" w:hAnsi="Times New Roman"/>
          <w:color w:val="000000" w:themeColor="text1"/>
        </w:rPr>
        <w:t xml:space="preserve"> with disabilities</w:t>
      </w:r>
      <w:r w:rsidRPr="00BD2A58">
        <w:rPr>
          <w:rFonts w:ascii="Times New Roman" w:hAnsi="Times New Roman"/>
          <w:color w:val="000000" w:themeColor="text1"/>
        </w:rPr>
        <w:t xml:space="preserve">, including the Individuals with Disabilities Education Act, Section 504 of the Rehabilitation Act of 1973, and the Americans with Disabilities Act.  The </w:t>
      </w:r>
      <w:r w:rsidR="00CE4217" w:rsidRPr="00BD2A58">
        <w:rPr>
          <w:rFonts w:ascii="Times New Roman" w:hAnsi="Times New Roman"/>
          <w:i/>
          <w:color w:val="000000" w:themeColor="text1"/>
        </w:rPr>
        <w:t>Policies Governing Services for Children with Disabilities</w:t>
      </w:r>
      <w:r w:rsidR="00CE4217" w:rsidRPr="00BD2A58">
        <w:rPr>
          <w:rFonts w:ascii="Times New Roman" w:hAnsi="Times New Roman"/>
          <w:color w:val="000000" w:themeColor="text1"/>
        </w:rPr>
        <w:t xml:space="preserve"> </w:t>
      </w:r>
      <w:r w:rsidRPr="00BD2A58">
        <w:rPr>
          <w:rFonts w:ascii="Times New Roman" w:hAnsi="Times New Roman"/>
          <w:color w:val="000000" w:themeColor="text1"/>
        </w:rPr>
        <w:t>will be followed, as applicable</w:t>
      </w:r>
      <w:r w:rsidR="00D37DA8" w:rsidRPr="00BD2A58">
        <w:rPr>
          <w:rFonts w:ascii="Times New Roman" w:hAnsi="Times New Roman"/>
          <w:color w:val="000000" w:themeColor="text1"/>
        </w:rPr>
        <w:t>.</w:t>
      </w:r>
    </w:p>
    <w:p w14:paraId="0B50AB7C" w14:textId="77777777" w:rsidR="00D257ED" w:rsidRPr="00BD2A58" w:rsidRDefault="00D257ED" w:rsidP="00D257ED">
      <w:pPr>
        <w:pStyle w:val="a"/>
        <w:widowControl/>
        <w:tabs>
          <w:tab w:val="left" w:pos="-1440"/>
        </w:tabs>
        <w:ind w:left="0" w:firstLine="0"/>
        <w:jc w:val="both"/>
        <w:rPr>
          <w:rFonts w:ascii="Times New Roman" w:hAnsi="Times New Roman"/>
          <w:color w:val="000000" w:themeColor="text1"/>
        </w:rPr>
      </w:pPr>
    </w:p>
    <w:p w14:paraId="30CF5851" w14:textId="77777777" w:rsidR="0086143B" w:rsidRPr="00BD2A58" w:rsidRDefault="00714573" w:rsidP="00856D8A">
      <w:pPr>
        <w:pStyle w:val="a"/>
        <w:widowControl/>
        <w:numPr>
          <w:ilvl w:val="0"/>
          <w:numId w:val="21"/>
        </w:numPr>
        <w:tabs>
          <w:tab w:val="left" w:pos="-1440"/>
        </w:tabs>
        <w:jc w:val="both"/>
        <w:rPr>
          <w:color w:val="000000" w:themeColor="text1"/>
        </w:rPr>
      </w:pPr>
      <w:r w:rsidRPr="00BD2A58">
        <w:rPr>
          <w:color w:val="000000" w:themeColor="text1"/>
        </w:rPr>
        <w:t xml:space="preserve">Procedures must be consistent with guidelines adopted by the State Board of Education under G.S. 115C-12(31) to serve </w:t>
      </w:r>
      <w:r w:rsidR="00ED4305" w:rsidRPr="00BD2A58">
        <w:rPr>
          <w:color w:val="000000" w:themeColor="text1"/>
        </w:rPr>
        <w:t>scholar</w:t>
      </w:r>
      <w:r w:rsidRPr="00BD2A58">
        <w:rPr>
          <w:color w:val="000000" w:themeColor="text1"/>
        </w:rPr>
        <w:t>s with</w:t>
      </w:r>
      <w:r w:rsidR="00DB0EF7" w:rsidRPr="00BD2A58">
        <w:rPr>
          <w:color w:val="000000" w:themeColor="text1"/>
        </w:rPr>
        <w:t xml:space="preserve"> diabetes</w:t>
      </w:r>
      <w:r w:rsidRPr="00BD2A58">
        <w:rPr>
          <w:color w:val="000000" w:themeColor="text1"/>
        </w:rPr>
        <w:t xml:space="preserve">, including developing and implementing individual diabetes care plans for such </w:t>
      </w:r>
      <w:r w:rsidR="00ED4305" w:rsidRPr="00BD2A58">
        <w:rPr>
          <w:color w:val="000000" w:themeColor="text1"/>
        </w:rPr>
        <w:t>scholar</w:t>
      </w:r>
      <w:r w:rsidRPr="00BD2A58">
        <w:rPr>
          <w:color w:val="000000" w:themeColor="text1"/>
        </w:rPr>
        <w:t xml:space="preserve">s and providing information and training to school personnel to appropriately support and assist such </w:t>
      </w:r>
      <w:r w:rsidR="00ED4305" w:rsidRPr="00BD2A58">
        <w:rPr>
          <w:color w:val="000000" w:themeColor="text1"/>
        </w:rPr>
        <w:t>scholar</w:t>
      </w:r>
      <w:r w:rsidRPr="00BD2A58">
        <w:rPr>
          <w:color w:val="000000" w:themeColor="text1"/>
        </w:rPr>
        <w:t>s, in accordance with their individual diabetes care plans.</w:t>
      </w:r>
    </w:p>
    <w:p w14:paraId="1D7BD71C" w14:textId="77777777" w:rsidR="00856D8A" w:rsidRPr="00BD2A58" w:rsidRDefault="00856D8A" w:rsidP="00856D8A">
      <w:pPr>
        <w:pStyle w:val="a"/>
        <w:widowControl/>
        <w:tabs>
          <w:tab w:val="left" w:pos="-1440"/>
        </w:tabs>
        <w:ind w:left="0" w:firstLine="0"/>
        <w:jc w:val="both"/>
        <w:rPr>
          <w:rFonts w:ascii="Times New Roman" w:hAnsi="Times New Roman"/>
          <w:color w:val="000000" w:themeColor="text1"/>
        </w:rPr>
      </w:pPr>
    </w:p>
    <w:p w14:paraId="32F8076E" w14:textId="77777777" w:rsidR="0086143B" w:rsidRPr="00BD2A58" w:rsidRDefault="0086143B" w:rsidP="00624A85">
      <w:pPr>
        <w:pStyle w:val="a"/>
        <w:widowControl/>
        <w:numPr>
          <w:ilvl w:val="0"/>
          <w:numId w:val="21"/>
        </w:numPr>
        <w:tabs>
          <w:tab w:val="left" w:pos="-1440"/>
        </w:tabs>
        <w:jc w:val="both"/>
        <w:rPr>
          <w:rFonts w:ascii="Times New Roman" w:hAnsi="Times New Roman"/>
          <w:color w:val="000000" w:themeColor="text1"/>
        </w:rPr>
      </w:pPr>
      <w:r w:rsidRPr="00BD2A58">
        <w:rPr>
          <w:rFonts w:ascii="Times New Roman" w:hAnsi="Times New Roman"/>
          <w:color w:val="000000" w:themeColor="text1"/>
        </w:rPr>
        <w:t xml:space="preserve">Written information maintained by the school or school personnel regarding a </w:t>
      </w:r>
      <w:r w:rsidR="00ED4305" w:rsidRPr="00BD2A58">
        <w:rPr>
          <w:rFonts w:ascii="Times New Roman" w:hAnsi="Times New Roman"/>
          <w:color w:val="000000" w:themeColor="text1"/>
        </w:rPr>
        <w:t>scholar</w:t>
      </w:r>
      <w:r w:rsidR="00715894" w:rsidRPr="00BD2A58">
        <w:rPr>
          <w:rFonts w:ascii="Times New Roman" w:hAnsi="Times New Roman"/>
          <w:color w:val="000000" w:themeColor="text1"/>
        </w:rPr>
        <w:t>’</w:t>
      </w:r>
      <w:r w:rsidRPr="00BD2A58">
        <w:rPr>
          <w:rFonts w:ascii="Times New Roman" w:hAnsi="Times New Roman"/>
          <w:color w:val="000000" w:themeColor="text1"/>
        </w:rPr>
        <w:t xml:space="preserve">s medicinal and health needs is confidential.  Parents and </w:t>
      </w:r>
      <w:r w:rsidR="00ED4305" w:rsidRPr="00BD2A58">
        <w:rPr>
          <w:rFonts w:ascii="Times New Roman" w:hAnsi="Times New Roman"/>
          <w:color w:val="000000" w:themeColor="text1"/>
        </w:rPr>
        <w:t>scholar</w:t>
      </w:r>
      <w:r w:rsidRPr="00BD2A58">
        <w:rPr>
          <w:rFonts w:ascii="Times New Roman" w:hAnsi="Times New Roman"/>
          <w:color w:val="000000" w:themeColor="text1"/>
        </w:rPr>
        <w:t>s must be accorded all rights provided by the Family Educational Rights and Privacy Act (FERPA) and state confidentiality laws.  Any employee who violates the confidentiality of the records may be subject to disciplinary action.</w:t>
      </w:r>
    </w:p>
    <w:p w14:paraId="7041D645" w14:textId="77777777" w:rsidR="0086143B" w:rsidRPr="00BD2A58" w:rsidRDefault="0086143B" w:rsidP="0086143B">
      <w:pPr>
        <w:widowControl/>
        <w:tabs>
          <w:tab w:val="left" w:pos="-1440"/>
        </w:tabs>
        <w:jc w:val="both"/>
        <w:rPr>
          <w:color w:val="000000" w:themeColor="text1"/>
        </w:rPr>
      </w:pPr>
    </w:p>
    <w:p w14:paraId="28C60C51" w14:textId="77777777" w:rsidR="0086143B" w:rsidRPr="00BD2A58" w:rsidRDefault="00CD70B2" w:rsidP="00624A85">
      <w:pPr>
        <w:pStyle w:val="a"/>
        <w:widowControl/>
        <w:numPr>
          <w:ilvl w:val="0"/>
          <w:numId w:val="21"/>
        </w:numPr>
        <w:tabs>
          <w:tab w:val="left" w:pos="-1440"/>
        </w:tabs>
        <w:jc w:val="both"/>
        <w:rPr>
          <w:rFonts w:ascii="Times New Roman" w:hAnsi="Times New Roman"/>
          <w:color w:val="000000" w:themeColor="text1"/>
        </w:rPr>
      </w:pPr>
      <w:r w:rsidRPr="00BD2A58">
        <w:rPr>
          <w:rFonts w:ascii="Times New Roman" w:hAnsi="Times New Roman"/>
          <w:color w:val="000000" w:themeColor="text1"/>
        </w:rPr>
        <w:lastRenderedPageBreak/>
        <w:t>School personnel must obtain parental consent for medical services as required by law.</w:t>
      </w:r>
      <w:r w:rsidR="0086143B" w:rsidRPr="00BD2A58">
        <w:rPr>
          <w:rFonts w:ascii="Times New Roman" w:hAnsi="Times New Roman"/>
          <w:color w:val="000000" w:themeColor="text1"/>
        </w:rPr>
        <w:t xml:space="preserve"> </w:t>
      </w:r>
      <w:r w:rsidR="00CE5BC0" w:rsidRPr="00BD2A58">
        <w:rPr>
          <w:rFonts w:ascii="Times New Roman" w:hAnsi="Times New Roman"/>
          <w:color w:val="000000" w:themeColor="text1"/>
        </w:rPr>
        <w:t xml:space="preserve"> </w:t>
      </w:r>
      <w:r w:rsidR="0086143B" w:rsidRPr="00BD2A58">
        <w:rPr>
          <w:rFonts w:ascii="Times New Roman" w:hAnsi="Times New Roman"/>
          <w:color w:val="000000" w:themeColor="text1"/>
        </w:rPr>
        <w:t xml:space="preserve">Parents </w:t>
      </w:r>
      <w:r w:rsidR="007946E8" w:rsidRPr="00BD2A58">
        <w:rPr>
          <w:rFonts w:ascii="Times New Roman" w:hAnsi="Times New Roman"/>
          <w:color w:val="000000" w:themeColor="text1"/>
        </w:rPr>
        <w:t>will</w:t>
      </w:r>
      <w:r w:rsidR="006E4F68" w:rsidRPr="00BD2A58">
        <w:rPr>
          <w:rFonts w:ascii="Times New Roman" w:hAnsi="Times New Roman"/>
          <w:color w:val="000000" w:themeColor="text1"/>
        </w:rPr>
        <w:t xml:space="preserve"> </w:t>
      </w:r>
      <w:r w:rsidR="0086143B" w:rsidRPr="00BD2A58">
        <w:rPr>
          <w:rFonts w:ascii="Times New Roman" w:hAnsi="Times New Roman"/>
          <w:color w:val="000000" w:themeColor="text1"/>
        </w:rPr>
        <w:t>be notified of their rights in accordance with policy 1310/4002, Parental Involvement.</w:t>
      </w:r>
    </w:p>
    <w:p w14:paraId="50D3493B" w14:textId="77777777" w:rsidR="00714573" w:rsidRPr="00BD2A58" w:rsidRDefault="00714573" w:rsidP="00714573">
      <w:pPr>
        <w:pStyle w:val="a"/>
        <w:widowControl/>
        <w:tabs>
          <w:tab w:val="left" w:pos="-1440"/>
        </w:tabs>
        <w:ind w:left="0" w:firstLine="0"/>
        <w:jc w:val="both"/>
        <w:rPr>
          <w:rFonts w:ascii="Times New Roman" w:hAnsi="Times New Roman"/>
          <w:color w:val="000000" w:themeColor="text1"/>
        </w:rPr>
      </w:pPr>
    </w:p>
    <w:p w14:paraId="54AD330D" w14:textId="77777777" w:rsidR="0086143B" w:rsidRPr="00BD2A58" w:rsidRDefault="0086143B" w:rsidP="00624A85">
      <w:pPr>
        <w:pStyle w:val="a"/>
        <w:widowControl/>
        <w:numPr>
          <w:ilvl w:val="0"/>
          <w:numId w:val="21"/>
        </w:numPr>
        <w:tabs>
          <w:tab w:val="left" w:pos="-1440"/>
        </w:tabs>
        <w:jc w:val="both"/>
        <w:rPr>
          <w:rFonts w:ascii="Times New Roman" w:hAnsi="Times New Roman"/>
          <w:color w:val="000000" w:themeColor="text1"/>
        </w:rPr>
      </w:pPr>
      <w:r w:rsidRPr="00BD2A58">
        <w:rPr>
          <w:rFonts w:ascii="Times New Roman" w:hAnsi="Times New Roman"/>
          <w:color w:val="000000" w:themeColor="text1"/>
        </w:rPr>
        <w:t xml:space="preserve">Health professionals </w:t>
      </w:r>
      <w:r w:rsidR="007946E8" w:rsidRPr="00BD2A58">
        <w:rPr>
          <w:rFonts w:ascii="Times New Roman" w:hAnsi="Times New Roman"/>
          <w:color w:val="000000" w:themeColor="text1"/>
        </w:rPr>
        <w:t>will</w:t>
      </w:r>
      <w:r w:rsidRPr="00BD2A58">
        <w:rPr>
          <w:rFonts w:ascii="Times New Roman" w:hAnsi="Times New Roman"/>
          <w:color w:val="000000" w:themeColor="text1"/>
        </w:rPr>
        <w:t xml:space="preserve"> be consulted in the development of health services.  Opportunities also </w:t>
      </w:r>
      <w:r w:rsidR="007946E8" w:rsidRPr="00BD2A58">
        <w:rPr>
          <w:rFonts w:ascii="Times New Roman" w:hAnsi="Times New Roman"/>
          <w:color w:val="000000" w:themeColor="text1"/>
        </w:rPr>
        <w:t>will</w:t>
      </w:r>
      <w:r w:rsidRPr="00BD2A58">
        <w:rPr>
          <w:rFonts w:ascii="Times New Roman" w:hAnsi="Times New Roman"/>
          <w:color w:val="000000" w:themeColor="text1"/>
        </w:rPr>
        <w:t xml:space="preserve"> be provided for input from staff, parents</w:t>
      </w:r>
      <w:r w:rsidR="00D06A3A" w:rsidRPr="00BD2A58">
        <w:rPr>
          <w:rFonts w:ascii="Times New Roman" w:hAnsi="Times New Roman"/>
          <w:color w:val="000000" w:themeColor="text1"/>
        </w:rPr>
        <w:t>,</w:t>
      </w:r>
      <w:r w:rsidRPr="00BD2A58">
        <w:rPr>
          <w:rFonts w:ascii="Times New Roman" w:hAnsi="Times New Roman"/>
          <w:color w:val="000000" w:themeColor="text1"/>
        </w:rPr>
        <w:t xml:space="preserve"> and </w:t>
      </w:r>
      <w:r w:rsidR="00ED4305" w:rsidRPr="00BD2A58">
        <w:rPr>
          <w:rFonts w:ascii="Times New Roman" w:hAnsi="Times New Roman"/>
          <w:color w:val="000000" w:themeColor="text1"/>
        </w:rPr>
        <w:t>scholar</w:t>
      </w:r>
      <w:r w:rsidRPr="00BD2A58">
        <w:rPr>
          <w:rFonts w:ascii="Times New Roman" w:hAnsi="Times New Roman"/>
          <w:color w:val="000000" w:themeColor="text1"/>
        </w:rPr>
        <w:t>s on the health services provided.</w:t>
      </w:r>
    </w:p>
    <w:p w14:paraId="138C52AA" w14:textId="14656947" w:rsidR="0086143B" w:rsidRPr="00BD2A58" w:rsidRDefault="0086143B" w:rsidP="0086143B">
      <w:pPr>
        <w:widowControl/>
        <w:tabs>
          <w:tab w:val="left" w:pos="-1440"/>
        </w:tabs>
        <w:jc w:val="both"/>
        <w:rPr>
          <w:color w:val="000000" w:themeColor="text1"/>
        </w:rPr>
      </w:pPr>
    </w:p>
    <w:p w14:paraId="06A7C808" w14:textId="0C3CF3F1" w:rsidR="00B36E8F" w:rsidRPr="00BD2A58" w:rsidRDefault="00B36E8F" w:rsidP="00B36E8F">
      <w:pPr>
        <w:pStyle w:val="ListParagraph"/>
        <w:widowControl/>
        <w:numPr>
          <w:ilvl w:val="0"/>
          <w:numId w:val="22"/>
        </w:numPr>
        <w:tabs>
          <w:tab w:val="left" w:pos="-1440"/>
        </w:tabs>
        <w:ind w:left="720" w:hanging="720"/>
        <w:jc w:val="both"/>
        <w:rPr>
          <w:b/>
          <w:bCs/>
          <w:color w:val="000000" w:themeColor="text1"/>
        </w:rPr>
      </w:pPr>
      <w:r w:rsidRPr="00BD2A58">
        <w:rPr>
          <w:b/>
          <w:bCs/>
          <w:color w:val="000000" w:themeColor="text1"/>
        </w:rPr>
        <w:t xml:space="preserve">School System Mental Health Plan </w:t>
      </w:r>
    </w:p>
    <w:p w14:paraId="42A3428D" w14:textId="77777777" w:rsidR="00B36E8F" w:rsidRPr="00BD2A58" w:rsidRDefault="00B36E8F" w:rsidP="00B36E8F">
      <w:pPr>
        <w:widowControl/>
        <w:tabs>
          <w:tab w:val="left" w:pos="-1440"/>
        </w:tabs>
        <w:jc w:val="both"/>
        <w:rPr>
          <w:color w:val="000000" w:themeColor="text1"/>
        </w:rPr>
      </w:pPr>
    </w:p>
    <w:p w14:paraId="6DB183E4" w14:textId="5B255A46" w:rsidR="00B36E8F" w:rsidRPr="00BD2A58" w:rsidRDefault="00B36E8F" w:rsidP="00B36E8F">
      <w:pPr>
        <w:widowControl/>
        <w:tabs>
          <w:tab w:val="left" w:pos="-1440"/>
        </w:tabs>
        <w:jc w:val="both"/>
        <w:rPr>
          <w:color w:val="000000" w:themeColor="text1"/>
        </w:rPr>
      </w:pPr>
      <w:r w:rsidRPr="00BD2A58">
        <w:rPr>
          <w:color w:val="000000" w:themeColor="text1"/>
        </w:rPr>
        <w:t xml:space="preserve">The executive director shall develop a school-based mental health plan that includes a mental health training program and suicide risk referral protocol that satisfies the requirements of State Board of Education Policy </w:t>
      </w:r>
      <w:hyperlink r:id="rId14" w:tgtFrame="_blank" w:history="1">
        <w:r w:rsidRPr="00BD2A58">
          <w:rPr>
            <w:rStyle w:val="Hyperlink"/>
            <w:color w:val="000000" w:themeColor="text1"/>
          </w:rPr>
          <w:t>SHLT-003</w:t>
        </w:r>
      </w:hyperlink>
      <w:r w:rsidRPr="00BD2A58">
        <w:rPr>
          <w:color w:val="000000" w:themeColor="text1"/>
        </w:rPr>
        <w:t>.  The executive director shall submit the plan to the board for approval and direct implementation of the plan within all applicable deadlines.5</w:t>
      </w:r>
    </w:p>
    <w:p w14:paraId="368BA7D9" w14:textId="77777777" w:rsidR="00B36E8F" w:rsidRPr="00BD2A58" w:rsidRDefault="00B36E8F" w:rsidP="00B36E8F">
      <w:pPr>
        <w:widowControl/>
        <w:tabs>
          <w:tab w:val="left" w:pos="-1440"/>
        </w:tabs>
        <w:jc w:val="both"/>
        <w:rPr>
          <w:color w:val="000000" w:themeColor="text1"/>
        </w:rPr>
      </w:pPr>
    </w:p>
    <w:p w14:paraId="4E1DA961" w14:textId="6C22DF73" w:rsidR="00B36E8F" w:rsidRPr="00BD2A58" w:rsidRDefault="00B36E8F" w:rsidP="00B36E8F">
      <w:pPr>
        <w:widowControl/>
        <w:tabs>
          <w:tab w:val="left" w:pos="-1440"/>
        </w:tabs>
        <w:jc w:val="both"/>
        <w:rPr>
          <w:color w:val="000000" w:themeColor="text1"/>
        </w:rPr>
      </w:pPr>
      <w:r w:rsidRPr="00BD2A58">
        <w:rPr>
          <w:color w:val="000000" w:themeColor="text1"/>
        </w:rPr>
        <w:t xml:space="preserve">By September 15 of each year, the executive director shall report to the Department of Public Instruction on (1) the content of the school’s mental health plan, including the mental health training program and suicide risk referral protocol, and (2) the school system’s prior school year compliance with the requirements of State Board of Education Policy </w:t>
      </w:r>
      <w:hyperlink r:id="rId15" w:tgtFrame="_blank" w:history="1">
        <w:r w:rsidRPr="00BD2A58">
          <w:rPr>
            <w:rStyle w:val="Hyperlink"/>
            <w:color w:val="000000" w:themeColor="text1"/>
          </w:rPr>
          <w:t>SHLT-003</w:t>
        </w:r>
      </w:hyperlink>
      <w:r w:rsidRPr="00BD2A58">
        <w:rPr>
          <w:color w:val="000000" w:themeColor="text1"/>
        </w:rPr>
        <w:t>.  The board will review the components of the school’s mental health plan at least every five years, starting August 1, 2025, and will update the mental health plan in accordance with any updated requirements provided by the State Board of Education.</w:t>
      </w:r>
    </w:p>
    <w:p w14:paraId="1E4BEF80" w14:textId="622FB965" w:rsidR="00B36E8F" w:rsidRPr="00BD2A58" w:rsidRDefault="00B36E8F" w:rsidP="0086143B">
      <w:pPr>
        <w:widowControl/>
        <w:tabs>
          <w:tab w:val="left" w:pos="-1440"/>
        </w:tabs>
        <w:jc w:val="both"/>
        <w:rPr>
          <w:color w:val="000000" w:themeColor="text1"/>
        </w:rPr>
      </w:pPr>
    </w:p>
    <w:p w14:paraId="43B532F6" w14:textId="77777777" w:rsidR="00B36E8F" w:rsidRPr="00BD2A58" w:rsidRDefault="00B36E8F" w:rsidP="00B36E8F">
      <w:pPr>
        <w:widowControl/>
        <w:tabs>
          <w:tab w:val="left" w:pos="-1440"/>
        </w:tabs>
        <w:jc w:val="both"/>
        <w:rPr>
          <w:color w:val="000000" w:themeColor="text1"/>
        </w:rPr>
      </w:pPr>
      <w:r w:rsidRPr="00BD2A58">
        <w:rPr>
          <w:color w:val="000000" w:themeColor="text1"/>
        </w:rPr>
        <w:t xml:space="preserve">Legal References:  Americans with Disabilities Act, </w:t>
      </w:r>
      <w:hyperlink r:id="rId16" w:tgtFrame="_blank" w:history="1">
        <w:r w:rsidRPr="00BD2A58">
          <w:rPr>
            <w:rStyle w:val="Hyperlink"/>
            <w:color w:val="000000" w:themeColor="text1"/>
          </w:rPr>
          <w:t>42 U.S.C. 12134</w:t>
        </w:r>
      </w:hyperlink>
      <w:r w:rsidRPr="00BD2A58">
        <w:rPr>
          <w:color w:val="000000" w:themeColor="text1"/>
        </w:rPr>
        <w:t xml:space="preserve">, </w:t>
      </w:r>
      <w:hyperlink r:id="rId17" w:tgtFrame="_blank" w:history="1">
        <w:r w:rsidRPr="00BD2A58">
          <w:rPr>
            <w:rStyle w:val="Hyperlink"/>
            <w:color w:val="000000" w:themeColor="text1"/>
          </w:rPr>
          <w:t>28 C.F.R. pt. 35</w:t>
        </w:r>
      </w:hyperlink>
      <w:r w:rsidRPr="00BD2A58">
        <w:rPr>
          <w:color w:val="000000" w:themeColor="text1"/>
        </w:rPr>
        <w:t xml:space="preserve">; Family Educational Rights and Privacy Act, </w:t>
      </w:r>
      <w:hyperlink r:id="rId18" w:tgtFrame="_blank" w:history="1">
        <w:r w:rsidRPr="00BD2A58">
          <w:rPr>
            <w:rStyle w:val="Hyperlink"/>
            <w:color w:val="000000" w:themeColor="text1"/>
          </w:rPr>
          <w:t>20 U.S.C. 1232g</w:t>
        </w:r>
      </w:hyperlink>
      <w:r w:rsidRPr="00BD2A58">
        <w:rPr>
          <w:color w:val="000000" w:themeColor="text1"/>
        </w:rPr>
        <w:t xml:space="preserve">; Individuals with Disabilities Education Act, </w:t>
      </w:r>
      <w:hyperlink r:id="rId19" w:tgtFrame="_blank" w:history="1">
        <w:r w:rsidRPr="00BD2A58">
          <w:rPr>
            <w:rStyle w:val="Hyperlink"/>
            <w:color w:val="000000" w:themeColor="text1"/>
          </w:rPr>
          <w:t>20 U.S.C. 1400</w:t>
        </w:r>
      </w:hyperlink>
      <w:r w:rsidRPr="00BD2A58">
        <w:rPr>
          <w:color w:val="000000" w:themeColor="text1"/>
        </w:rPr>
        <w:t xml:space="preserve"> </w:t>
      </w:r>
      <w:r w:rsidRPr="00BD2A58">
        <w:rPr>
          <w:i/>
          <w:iCs/>
          <w:color w:val="000000" w:themeColor="text1"/>
        </w:rPr>
        <w:t>et seq.</w:t>
      </w:r>
      <w:r w:rsidRPr="00BD2A58">
        <w:rPr>
          <w:color w:val="000000" w:themeColor="text1"/>
        </w:rPr>
        <w:t xml:space="preserve">, </w:t>
      </w:r>
      <w:hyperlink r:id="rId20" w:tgtFrame="_blank" w:history="1">
        <w:r w:rsidRPr="00BD2A58">
          <w:rPr>
            <w:rStyle w:val="Hyperlink"/>
            <w:color w:val="000000" w:themeColor="text1"/>
          </w:rPr>
          <w:t>34 C.F.R. pt. 300</w:t>
        </w:r>
      </w:hyperlink>
      <w:r w:rsidRPr="00BD2A58">
        <w:rPr>
          <w:color w:val="000000" w:themeColor="text1"/>
        </w:rPr>
        <w:t xml:space="preserve">; Rehabilitation Act of 1973, </w:t>
      </w:r>
      <w:hyperlink r:id="rId21" w:tgtFrame="_blank" w:history="1">
        <w:r w:rsidRPr="00BD2A58">
          <w:rPr>
            <w:rStyle w:val="Hyperlink"/>
            <w:color w:val="000000" w:themeColor="text1"/>
          </w:rPr>
          <w:t>29 U.S.C. 705</w:t>
        </w:r>
      </w:hyperlink>
      <w:r w:rsidRPr="00BD2A58">
        <w:rPr>
          <w:color w:val="000000" w:themeColor="text1"/>
        </w:rPr>
        <w:t xml:space="preserve">(20), </w:t>
      </w:r>
      <w:hyperlink r:id="rId22" w:tgtFrame="_blank" w:history="1">
        <w:r w:rsidRPr="00BD2A58">
          <w:rPr>
            <w:rStyle w:val="Hyperlink"/>
            <w:color w:val="000000" w:themeColor="text1"/>
          </w:rPr>
          <w:t>-794</w:t>
        </w:r>
      </w:hyperlink>
      <w:r w:rsidRPr="00BD2A58">
        <w:rPr>
          <w:color w:val="000000" w:themeColor="text1"/>
        </w:rPr>
        <w:t xml:space="preserve">, </w:t>
      </w:r>
      <w:hyperlink r:id="rId23" w:tgtFrame="_blank" w:history="1">
        <w:r w:rsidRPr="00BD2A58">
          <w:rPr>
            <w:rStyle w:val="Hyperlink"/>
            <w:color w:val="000000" w:themeColor="text1"/>
          </w:rPr>
          <w:t>34 C.F.R. pt. 104</w:t>
        </w:r>
      </w:hyperlink>
      <w:r w:rsidRPr="00BD2A58">
        <w:rPr>
          <w:color w:val="000000" w:themeColor="text1"/>
        </w:rPr>
        <w:t xml:space="preserve">; </w:t>
      </w:r>
      <w:hyperlink r:id="rId24" w:tgtFrame="_blank" w:history="1">
        <w:r w:rsidRPr="00BD2A58">
          <w:rPr>
            <w:rStyle w:val="Hyperlink"/>
            <w:color w:val="000000" w:themeColor="text1"/>
          </w:rPr>
          <w:t>G.S. 115C-12</w:t>
        </w:r>
      </w:hyperlink>
      <w:r w:rsidRPr="00BD2A58">
        <w:rPr>
          <w:color w:val="000000" w:themeColor="text1"/>
        </w:rPr>
        <w:t xml:space="preserve">(12), </w:t>
      </w:r>
      <w:hyperlink r:id="rId25" w:tgtFrame="_blank" w:history="1">
        <w:r w:rsidRPr="00BD2A58">
          <w:rPr>
            <w:rStyle w:val="Hyperlink"/>
            <w:color w:val="000000" w:themeColor="text1"/>
          </w:rPr>
          <w:t>-12</w:t>
        </w:r>
      </w:hyperlink>
      <w:r w:rsidRPr="00BD2A58">
        <w:rPr>
          <w:color w:val="000000" w:themeColor="text1"/>
        </w:rPr>
        <w:t xml:space="preserve">(31), </w:t>
      </w:r>
      <w:hyperlink r:id="rId26" w:tgtFrame="_blank" w:history="1">
        <w:r w:rsidRPr="00BD2A58">
          <w:rPr>
            <w:rStyle w:val="Hyperlink"/>
            <w:color w:val="000000" w:themeColor="text1"/>
          </w:rPr>
          <w:t>-36</w:t>
        </w:r>
      </w:hyperlink>
      <w:r w:rsidRPr="00BD2A58">
        <w:rPr>
          <w:color w:val="000000" w:themeColor="text1"/>
        </w:rPr>
        <w:t xml:space="preserve">, </w:t>
      </w:r>
      <w:hyperlink r:id="rId27" w:tgtFrame="_blank" w:history="1">
        <w:r w:rsidRPr="00BD2A58">
          <w:rPr>
            <w:rStyle w:val="Hyperlink"/>
            <w:color w:val="000000" w:themeColor="text1"/>
          </w:rPr>
          <w:t>-307</w:t>
        </w:r>
      </w:hyperlink>
      <w:r w:rsidRPr="00BD2A58">
        <w:rPr>
          <w:color w:val="000000" w:themeColor="text1"/>
        </w:rPr>
        <w:t xml:space="preserve">(c), </w:t>
      </w:r>
      <w:hyperlink r:id="rId28" w:tgtFrame="_blank" w:history="1">
        <w:r w:rsidRPr="00BD2A58">
          <w:rPr>
            <w:rStyle w:val="Hyperlink"/>
            <w:color w:val="000000" w:themeColor="text1"/>
          </w:rPr>
          <w:t>-375.1</w:t>
        </w:r>
      </w:hyperlink>
      <w:r w:rsidRPr="00BD2A58">
        <w:rPr>
          <w:color w:val="000000" w:themeColor="text1"/>
        </w:rPr>
        <w:t xml:space="preserve">, </w:t>
      </w:r>
      <w:hyperlink r:id="rId29" w:tgtFrame="_blank" w:history="1">
        <w:r w:rsidRPr="00BD2A58">
          <w:rPr>
            <w:rStyle w:val="Hyperlink"/>
            <w:color w:val="000000" w:themeColor="text1"/>
          </w:rPr>
          <w:t>-375.3</w:t>
        </w:r>
      </w:hyperlink>
      <w:r w:rsidRPr="00BD2A58">
        <w:rPr>
          <w:color w:val="000000" w:themeColor="text1"/>
        </w:rPr>
        <w:t xml:space="preserve">, </w:t>
      </w:r>
      <w:hyperlink r:id="rId30" w:tgtFrame="_blank" w:history="1">
        <w:r w:rsidRPr="00BD2A58">
          <w:rPr>
            <w:rStyle w:val="Hyperlink"/>
            <w:color w:val="000000" w:themeColor="text1"/>
          </w:rPr>
          <w:t>-376.5</w:t>
        </w:r>
      </w:hyperlink>
      <w:r w:rsidRPr="00BD2A58">
        <w:rPr>
          <w:color w:val="000000" w:themeColor="text1"/>
        </w:rPr>
        <w:t xml:space="preserve">; </w:t>
      </w:r>
      <w:hyperlink r:id="rId31" w:tgtFrame="_blank" w:history="1">
        <w:r w:rsidRPr="00BD2A58">
          <w:rPr>
            <w:rStyle w:val="Hyperlink"/>
            <w:color w:val="000000" w:themeColor="text1"/>
          </w:rPr>
          <w:t>16 N.C.A.C. 6D .0402</w:t>
        </w:r>
      </w:hyperlink>
      <w:r w:rsidRPr="00BD2A58">
        <w:rPr>
          <w:color w:val="000000" w:themeColor="text1"/>
        </w:rPr>
        <w:t xml:space="preserve">; </w:t>
      </w:r>
      <w:hyperlink r:id="rId32" w:tgtFrame="_blank" w:history="1">
        <w:r w:rsidRPr="00BD2A58">
          <w:rPr>
            <w:rStyle w:val="Hyperlink"/>
            <w:color w:val="000000" w:themeColor="text1"/>
          </w:rPr>
          <w:t>21 N.C.A.C. 36 .0221</w:t>
        </w:r>
      </w:hyperlink>
      <w:r w:rsidRPr="00BD2A58">
        <w:rPr>
          <w:color w:val="000000" w:themeColor="text1"/>
        </w:rPr>
        <w:t xml:space="preserve">, </w:t>
      </w:r>
      <w:hyperlink r:id="rId33" w:tgtFrame="_blank" w:history="1">
        <w:r w:rsidRPr="00BD2A58">
          <w:rPr>
            <w:rStyle w:val="Hyperlink"/>
            <w:color w:val="000000" w:themeColor="text1"/>
          </w:rPr>
          <w:t>.0224</w:t>
        </w:r>
      </w:hyperlink>
      <w:r w:rsidRPr="00BD2A58">
        <w:rPr>
          <w:color w:val="000000" w:themeColor="text1"/>
        </w:rPr>
        <w:t xml:space="preserve">; </w:t>
      </w:r>
      <w:r w:rsidRPr="00BD2A58">
        <w:rPr>
          <w:i/>
          <w:iCs/>
          <w:color w:val="000000" w:themeColor="text1"/>
        </w:rPr>
        <w:t>Policies Governing Services for Children with Disabilities</w:t>
      </w:r>
      <w:r w:rsidRPr="00BD2A58">
        <w:rPr>
          <w:color w:val="000000" w:themeColor="text1"/>
        </w:rPr>
        <w:t xml:space="preserve">, State Board of Education Policies </w:t>
      </w:r>
      <w:hyperlink r:id="rId34" w:tgtFrame="_blank" w:history="1">
        <w:r w:rsidRPr="00BD2A58">
          <w:rPr>
            <w:rStyle w:val="Hyperlink"/>
            <w:color w:val="000000" w:themeColor="text1"/>
          </w:rPr>
          <w:t>EXCP-000</w:t>
        </w:r>
      </w:hyperlink>
      <w:r w:rsidRPr="00BD2A58">
        <w:rPr>
          <w:color w:val="000000" w:themeColor="text1"/>
        </w:rPr>
        <w:t xml:space="preserve">, </w:t>
      </w:r>
      <w:hyperlink r:id="rId35" w:tgtFrame="_blank" w:history="1">
        <w:r w:rsidRPr="00BD2A58">
          <w:rPr>
            <w:rStyle w:val="Hyperlink"/>
            <w:color w:val="000000" w:themeColor="text1"/>
          </w:rPr>
          <w:t>SHLT-003</w:t>
        </w:r>
      </w:hyperlink>
    </w:p>
    <w:p w14:paraId="5BE844DC" w14:textId="77777777" w:rsidR="00B36E8F" w:rsidRPr="00BD2A58" w:rsidRDefault="00B36E8F" w:rsidP="0086143B">
      <w:pPr>
        <w:widowControl/>
        <w:tabs>
          <w:tab w:val="left" w:pos="-1440"/>
        </w:tabs>
        <w:jc w:val="both"/>
        <w:rPr>
          <w:color w:val="000000" w:themeColor="text1"/>
        </w:rPr>
      </w:pPr>
    </w:p>
    <w:p w14:paraId="45D68240" w14:textId="77777777" w:rsidR="0086143B" w:rsidRPr="00BD2A58" w:rsidRDefault="0086143B" w:rsidP="0086143B">
      <w:pPr>
        <w:widowControl/>
        <w:tabs>
          <w:tab w:val="left" w:pos="-1440"/>
        </w:tabs>
        <w:jc w:val="both"/>
        <w:rPr>
          <w:color w:val="000000" w:themeColor="text1"/>
        </w:rPr>
      </w:pPr>
    </w:p>
    <w:p w14:paraId="514F9AFB" w14:textId="77777777" w:rsidR="0086143B" w:rsidRPr="00BD2A58" w:rsidRDefault="0086143B" w:rsidP="0086143B">
      <w:pPr>
        <w:widowControl/>
        <w:tabs>
          <w:tab w:val="left" w:pos="-1440"/>
        </w:tabs>
        <w:jc w:val="both"/>
        <w:rPr>
          <w:color w:val="000000" w:themeColor="text1"/>
        </w:rPr>
      </w:pPr>
      <w:r w:rsidRPr="00BD2A58">
        <w:rPr>
          <w:color w:val="000000" w:themeColor="text1"/>
        </w:rPr>
        <w:t>Cross References:  Parental Involvement (policy 1310/4002)</w:t>
      </w:r>
      <w:r w:rsidR="00D0521F" w:rsidRPr="00BD2A58">
        <w:rPr>
          <w:color w:val="000000" w:themeColor="text1"/>
        </w:rPr>
        <w:t>, Communicable</w:t>
      </w:r>
      <w:r w:rsidRPr="00BD2A58">
        <w:rPr>
          <w:color w:val="000000" w:themeColor="text1"/>
        </w:rPr>
        <w:t xml:space="preserve"> Diseases</w:t>
      </w:r>
      <w:r w:rsidR="00E933AF" w:rsidRPr="00BD2A58">
        <w:rPr>
          <w:color w:val="000000" w:themeColor="text1"/>
        </w:rPr>
        <w:t xml:space="preserve"> – </w:t>
      </w:r>
      <w:r w:rsidR="00ED4305" w:rsidRPr="00BD2A58">
        <w:rPr>
          <w:color w:val="000000" w:themeColor="text1"/>
        </w:rPr>
        <w:t>Scholar</w:t>
      </w:r>
      <w:r w:rsidR="00E933AF" w:rsidRPr="00BD2A58">
        <w:rPr>
          <w:color w:val="000000" w:themeColor="text1"/>
        </w:rPr>
        <w:t>s</w:t>
      </w:r>
      <w:r w:rsidRPr="00BD2A58">
        <w:rPr>
          <w:color w:val="000000" w:themeColor="text1"/>
        </w:rPr>
        <w:t xml:space="preserve"> (policy 4230), </w:t>
      </w:r>
      <w:r w:rsidR="00ED4305" w:rsidRPr="00BD2A58">
        <w:rPr>
          <w:color w:val="000000" w:themeColor="text1"/>
        </w:rPr>
        <w:t>Scholar</w:t>
      </w:r>
      <w:r w:rsidRPr="00BD2A58">
        <w:rPr>
          <w:color w:val="000000" w:themeColor="text1"/>
        </w:rPr>
        <w:t xml:space="preserve"> Records (policy 4700), Administering Medicines to </w:t>
      </w:r>
      <w:r w:rsidR="00ED4305" w:rsidRPr="00BD2A58">
        <w:rPr>
          <w:color w:val="000000" w:themeColor="text1"/>
        </w:rPr>
        <w:t>Scholar</w:t>
      </w:r>
      <w:r w:rsidRPr="00BD2A58">
        <w:rPr>
          <w:color w:val="000000" w:themeColor="text1"/>
        </w:rPr>
        <w:t>s (policy 6125)</w:t>
      </w:r>
    </w:p>
    <w:p w14:paraId="75F95ED4" w14:textId="77777777" w:rsidR="0086143B" w:rsidRPr="00BD2A58" w:rsidRDefault="0086143B" w:rsidP="0086143B">
      <w:pPr>
        <w:widowControl/>
        <w:tabs>
          <w:tab w:val="left" w:pos="-1440"/>
        </w:tabs>
        <w:jc w:val="both"/>
        <w:rPr>
          <w:color w:val="000000" w:themeColor="text1"/>
        </w:rPr>
      </w:pPr>
    </w:p>
    <w:p w14:paraId="7AB7EE70" w14:textId="7C6BD6B2" w:rsidR="006C046B" w:rsidRPr="00BD2A58" w:rsidRDefault="009901AB" w:rsidP="009901AB">
      <w:pPr>
        <w:rPr>
          <w:color w:val="000000" w:themeColor="text1"/>
        </w:rPr>
      </w:pPr>
      <w:r w:rsidRPr="00BD2A58">
        <w:rPr>
          <w:color w:val="000000" w:themeColor="text1"/>
        </w:rPr>
        <w:t>Adopt</w:t>
      </w:r>
      <w:r w:rsidR="00F972BF" w:rsidRPr="00BD2A58">
        <w:rPr>
          <w:color w:val="000000" w:themeColor="text1"/>
        </w:rPr>
        <w:t>ed</w:t>
      </w:r>
      <w:r w:rsidR="0086143B" w:rsidRPr="00BD2A58">
        <w:rPr>
          <w:color w:val="000000" w:themeColor="text1"/>
        </w:rPr>
        <w:t>:</w:t>
      </w:r>
      <w:r w:rsidR="00637E7A" w:rsidRPr="00BD2A58">
        <w:rPr>
          <w:color w:val="000000" w:themeColor="text1"/>
        </w:rPr>
        <w:t xml:space="preserve"> </w:t>
      </w:r>
      <w:r w:rsidR="00F972BF" w:rsidRPr="00BD2A58">
        <w:rPr>
          <w:color w:val="000000" w:themeColor="text1"/>
        </w:rPr>
        <w:t xml:space="preserve"> </w:t>
      </w:r>
      <w:r w:rsidR="003A359D" w:rsidRPr="00BD2A58">
        <w:rPr>
          <w:color w:val="000000" w:themeColor="text1"/>
        </w:rPr>
        <w:t>May 27, 2020</w:t>
      </w:r>
    </w:p>
    <w:p w14:paraId="50185D9A" w14:textId="525C5FE9" w:rsidR="00B36E8F" w:rsidRPr="00BD2A58" w:rsidRDefault="00B36E8F" w:rsidP="009901AB">
      <w:pPr>
        <w:rPr>
          <w:color w:val="000000" w:themeColor="text1"/>
        </w:rPr>
      </w:pPr>
      <w:r w:rsidRPr="00BD2A58">
        <w:rPr>
          <w:color w:val="000000" w:themeColor="text1"/>
        </w:rPr>
        <w:t xml:space="preserve">Revised: </w:t>
      </w:r>
      <w:r w:rsidR="00BD2A58" w:rsidRPr="00BD2A58">
        <w:rPr>
          <w:color w:val="000000" w:themeColor="text1"/>
        </w:rPr>
        <w:t>June 8, 2022</w:t>
      </w:r>
    </w:p>
    <w:sectPr w:rsidR="00B36E8F" w:rsidRPr="00BD2A58" w:rsidSect="003A359D">
      <w:headerReference w:type="default" r:id="rId3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4CDC8" w14:textId="77777777" w:rsidR="000359FD" w:rsidRDefault="000359FD">
      <w:r>
        <w:separator/>
      </w:r>
    </w:p>
  </w:endnote>
  <w:endnote w:type="continuationSeparator" w:id="0">
    <w:p w14:paraId="56D4C709" w14:textId="77777777" w:rsidR="000359FD" w:rsidRDefault="00035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773B4" w14:textId="77777777" w:rsidR="00431E3D" w:rsidRDefault="00431E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F864C" w14:textId="77777777" w:rsidR="001B1D52" w:rsidRDefault="001B1D52" w:rsidP="004D6AAE">
    <w:pPr>
      <w:spacing w:line="240" w:lineRule="exact"/>
      <w:ind w:right="-360"/>
    </w:pPr>
  </w:p>
  <w:p w14:paraId="1CF00CB8" w14:textId="77777777" w:rsidR="001B1D52" w:rsidRDefault="00BB65CD" w:rsidP="004D6AAE">
    <w:pPr>
      <w:spacing w:line="109" w:lineRule="exact"/>
    </w:pPr>
    <w:r>
      <w:rPr>
        <w:i/>
        <w:noProof/>
        <w:snapToGrid/>
        <w:sz w:val="16"/>
      </w:rPr>
      <mc:AlternateContent>
        <mc:Choice Requires="wps">
          <w:drawing>
            <wp:anchor distT="0" distB="0" distL="114300" distR="114300" simplePos="0" relativeHeight="251661312" behindDoc="0" locked="0" layoutInCell="1" allowOverlap="1" wp14:anchorId="3A95445F" wp14:editId="0B6CCD80">
              <wp:simplePos x="0" y="0"/>
              <wp:positionH relativeFrom="column">
                <wp:posOffset>0</wp:posOffset>
              </wp:positionH>
              <wp:positionV relativeFrom="paragraph">
                <wp:posOffset>17780</wp:posOffset>
              </wp:positionV>
              <wp:extent cx="5943600" cy="0"/>
              <wp:effectExtent l="0" t="19050" r="19050" b="3810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D1750"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pt" to="468pt,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" strokeweight="4.5pt">
              <v:stroke linestyle="thickThin"/>
            </v:line>
          </w:pict>
        </mc:Fallback>
      </mc:AlternateContent>
    </w:r>
  </w:p>
  <w:p w14:paraId="4024B307" w14:textId="77777777" w:rsidR="001B1D52" w:rsidRPr="00BB65CD" w:rsidRDefault="00431E3D" w:rsidP="00BB65CD">
    <w:pPr>
      <w:tabs>
        <w:tab w:val="right" w:pos="9360"/>
      </w:tabs>
      <w:autoSpaceDE w:val="0"/>
      <w:autoSpaceDN w:val="0"/>
      <w:adjustRightInd w:val="0"/>
      <w:ind w:right="720"/>
      <w:jc w:val="both"/>
      <w:rPr>
        <w:szCs w:val="24"/>
      </w:rPr>
    </w:pPr>
    <w:r w:rsidRPr="00431E3D">
      <w:rPr>
        <w:b/>
        <w:szCs w:val="24"/>
      </w:rPr>
      <w:t>NE REGIONAL SCHOOL BOARD OF DIRECTORS POLICY MANUAL</w:t>
    </w:r>
    <w:r w:rsidR="00BB65CD">
      <w:rPr>
        <w:b/>
        <w:szCs w:val="24"/>
      </w:rPr>
      <w:tab/>
    </w:r>
    <w:r w:rsidR="00BB65CD" w:rsidRPr="00BB65CD">
      <w:rPr>
        <w:szCs w:val="24"/>
      </w:rPr>
      <w:t xml:space="preserve">Page </w:t>
    </w:r>
    <w:r w:rsidR="00BB65CD" w:rsidRPr="00BB65CD">
      <w:rPr>
        <w:bCs/>
        <w:szCs w:val="24"/>
      </w:rPr>
      <w:fldChar w:fldCharType="begin"/>
    </w:r>
    <w:r w:rsidR="00BB65CD" w:rsidRPr="00BB65CD">
      <w:rPr>
        <w:bCs/>
        <w:szCs w:val="24"/>
      </w:rPr>
      <w:instrText xml:space="preserve"> PAGE  \* Arabic  \* MERGEFORMAT </w:instrText>
    </w:r>
    <w:r w:rsidR="00BB65CD" w:rsidRPr="00BB65CD">
      <w:rPr>
        <w:bCs/>
        <w:szCs w:val="24"/>
      </w:rPr>
      <w:fldChar w:fldCharType="separate"/>
    </w:r>
    <w:r w:rsidR="00A059E1">
      <w:rPr>
        <w:bCs/>
        <w:noProof/>
        <w:szCs w:val="24"/>
      </w:rPr>
      <w:t>2</w:t>
    </w:r>
    <w:r w:rsidR="00BB65CD" w:rsidRPr="00BB65CD">
      <w:rPr>
        <w:bCs/>
        <w:szCs w:val="24"/>
      </w:rPr>
      <w:fldChar w:fldCharType="end"/>
    </w:r>
    <w:r w:rsidR="00BB65CD" w:rsidRPr="00BB65CD">
      <w:rPr>
        <w:szCs w:val="24"/>
      </w:rPr>
      <w:t xml:space="preserve"> of </w:t>
    </w:r>
    <w:r w:rsidR="00BB65CD" w:rsidRPr="00BB65CD">
      <w:rPr>
        <w:bCs/>
        <w:szCs w:val="24"/>
      </w:rPr>
      <w:fldChar w:fldCharType="begin"/>
    </w:r>
    <w:r w:rsidR="00BB65CD" w:rsidRPr="00BB65CD">
      <w:rPr>
        <w:bCs/>
        <w:szCs w:val="24"/>
      </w:rPr>
      <w:instrText xml:space="preserve"> NUMPAGES  \* Arabic  \* MERGEFORMAT </w:instrText>
    </w:r>
    <w:r w:rsidR="00BB65CD" w:rsidRPr="00BB65CD">
      <w:rPr>
        <w:bCs/>
        <w:szCs w:val="24"/>
      </w:rPr>
      <w:fldChar w:fldCharType="separate"/>
    </w:r>
    <w:r w:rsidR="00A059E1">
      <w:rPr>
        <w:bCs/>
        <w:noProof/>
        <w:szCs w:val="24"/>
      </w:rPr>
      <w:t>2</w:t>
    </w:r>
    <w:r w:rsidR="00BB65CD" w:rsidRPr="00BB65CD">
      <w:rPr>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76CEF" w14:textId="77777777" w:rsidR="00431E3D" w:rsidRDefault="00431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D0248" w14:textId="77777777" w:rsidR="000359FD" w:rsidRDefault="000359FD">
      <w:r>
        <w:separator/>
      </w:r>
    </w:p>
  </w:footnote>
  <w:footnote w:type="continuationSeparator" w:id="0">
    <w:p w14:paraId="437575FB" w14:textId="77777777" w:rsidR="000359FD" w:rsidRDefault="00035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8475F" w14:textId="77777777" w:rsidR="00431E3D" w:rsidRDefault="00431E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13B3" w14:textId="77777777" w:rsidR="001B1D52" w:rsidRDefault="001B1D52" w:rsidP="004D6AAE">
    <w:pPr>
      <w:pStyle w:val="FootnoteText"/>
      <w:rPr>
        <w:i/>
      </w:rPr>
    </w:pPr>
  </w:p>
  <w:p w14:paraId="5486A087" w14:textId="77777777" w:rsidR="001B1D52" w:rsidRDefault="001B1D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C6E1" w14:textId="77777777" w:rsidR="00431E3D" w:rsidRDefault="00431E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95CFF" w14:textId="77777777" w:rsidR="001B1D52" w:rsidRDefault="001B1D52" w:rsidP="00D0521F">
    <w:pPr>
      <w:tabs>
        <w:tab w:val="left" w:pos="6840"/>
        <w:tab w:val="right" w:pos="9360"/>
      </w:tabs>
      <w:rPr>
        <w:i/>
      </w:rPr>
    </w:pPr>
    <w:r>
      <w:rPr>
        <w:i/>
        <w:sz w:val="20"/>
      </w:rPr>
      <w:tab/>
      <w:t>Policy Code:</w:t>
    </w:r>
    <w:r>
      <w:rPr>
        <w:sz w:val="20"/>
      </w:rPr>
      <w:tab/>
    </w:r>
    <w:r>
      <w:rPr>
        <w:b/>
      </w:rPr>
      <w:t>6120</w:t>
    </w:r>
  </w:p>
  <w:p w14:paraId="57216A6B" w14:textId="77777777" w:rsidR="001B1D52" w:rsidRDefault="001B1D52" w:rsidP="00D0521F">
    <w:pPr>
      <w:tabs>
        <w:tab w:val="left" w:pos="6840"/>
        <w:tab w:val="right" w:pos="9360"/>
      </w:tabs>
      <w:spacing w:line="109" w:lineRule="exact"/>
    </w:pPr>
  </w:p>
  <w:p w14:paraId="37FC6529" w14:textId="77777777" w:rsidR="001B1D52" w:rsidRDefault="003A389C" w:rsidP="00D0521F">
    <w:pPr>
      <w:tabs>
        <w:tab w:val="left" w:pos="-1440"/>
        <w:tab w:val="left" w:pos="0"/>
      </w:tabs>
      <w:jc w:val="both"/>
    </w:pPr>
    <w:r>
      <w:rPr>
        <w:noProof/>
        <w:snapToGrid/>
      </w:rPr>
      <mc:AlternateContent>
        <mc:Choice Requires="wps">
          <w:drawing>
            <wp:anchor distT="0" distB="0" distL="114300" distR="114300" simplePos="0" relativeHeight="251659264" behindDoc="0" locked="0" layoutInCell="0" allowOverlap="1" wp14:anchorId="68146AEF" wp14:editId="72573EF1">
              <wp:simplePos x="0" y="0"/>
              <wp:positionH relativeFrom="column">
                <wp:posOffset>0</wp:posOffset>
              </wp:positionH>
              <wp:positionV relativeFrom="paragraph">
                <wp:posOffset>-8890</wp:posOffset>
              </wp:positionV>
              <wp:extent cx="5943600" cy="0"/>
              <wp:effectExtent l="28575" t="29210" r="28575" b="3746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21789"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" o:allowincell="f" strokeweight="4.5pt">
              <v:stroke linestyle="thinThi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03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4604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8A18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A6422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B203DD2"/>
    <w:multiLevelType w:val="hybridMultilevel"/>
    <w:tmpl w:val="88AE0362"/>
    <w:lvl w:ilvl="0" w:tplc="ACEEABC8">
      <w:start w:val="1"/>
      <w:numFmt w:val="upp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 w15:restartNumberingAfterBreak="0">
    <w:nsid w:val="2D816344"/>
    <w:multiLevelType w:val="hybridMultilevel"/>
    <w:tmpl w:val="D07A63BA"/>
    <w:lvl w:ilvl="0" w:tplc="FDA2F4A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FB03E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5CB7D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67D27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03864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994E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10324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20D00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2D374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31A22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6604A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0A069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26611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34604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856E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73616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7681F2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74838906">
    <w:abstractNumId w:val="7"/>
  </w:num>
  <w:num w:numId="2" w16cid:durableId="1627657696">
    <w:abstractNumId w:val="8"/>
  </w:num>
  <w:num w:numId="3" w16cid:durableId="97990991">
    <w:abstractNumId w:val="21"/>
  </w:num>
  <w:num w:numId="4" w16cid:durableId="776605862">
    <w:abstractNumId w:val="17"/>
  </w:num>
  <w:num w:numId="5" w16cid:durableId="1436707790">
    <w:abstractNumId w:val="15"/>
  </w:num>
  <w:num w:numId="6" w16cid:durableId="1927375781">
    <w:abstractNumId w:val="11"/>
  </w:num>
  <w:num w:numId="7" w16cid:durableId="1158107211">
    <w:abstractNumId w:val="10"/>
  </w:num>
  <w:num w:numId="8" w16cid:durableId="1764257089">
    <w:abstractNumId w:val="6"/>
  </w:num>
  <w:num w:numId="9" w16cid:durableId="1551069931">
    <w:abstractNumId w:val="9"/>
  </w:num>
  <w:num w:numId="10" w16cid:durableId="1122110469">
    <w:abstractNumId w:val="0"/>
  </w:num>
  <w:num w:numId="11" w16cid:durableId="1334600932">
    <w:abstractNumId w:val="19"/>
  </w:num>
  <w:num w:numId="12" w16cid:durableId="235632035">
    <w:abstractNumId w:val="13"/>
  </w:num>
  <w:num w:numId="13" w16cid:durableId="1750342928">
    <w:abstractNumId w:val="16"/>
  </w:num>
  <w:num w:numId="14" w16cid:durableId="887835288">
    <w:abstractNumId w:val="3"/>
  </w:num>
  <w:num w:numId="15" w16cid:durableId="67459301">
    <w:abstractNumId w:val="18"/>
  </w:num>
  <w:num w:numId="16" w16cid:durableId="1576092660">
    <w:abstractNumId w:val="2"/>
  </w:num>
  <w:num w:numId="17" w16cid:durableId="837158718">
    <w:abstractNumId w:val="1"/>
  </w:num>
  <w:num w:numId="18" w16cid:durableId="366031295">
    <w:abstractNumId w:val="14"/>
  </w:num>
  <w:num w:numId="19" w16cid:durableId="2046559237">
    <w:abstractNumId w:val="12"/>
  </w:num>
  <w:num w:numId="20" w16cid:durableId="1139616202">
    <w:abstractNumId w:val="20"/>
  </w:num>
  <w:num w:numId="21" w16cid:durableId="840118912">
    <w:abstractNumId w:val="5"/>
  </w:num>
  <w:num w:numId="22" w16cid:durableId="6553754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13"/>
    <w:rsid w:val="000359FD"/>
    <w:rsid w:val="000738AC"/>
    <w:rsid w:val="00073FC3"/>
    <w:rsid w:val="00076675"/>
    <w:rsid w:val="000817D9"/>
    <w:rsid w:val="00084D86"/>
    <w:rsid w:val="000A1998"/>
    <w:rsid w:val="000C5D0B"/>
    <w:rsid w:val="000D7998"/>
    <w:rsid w:val="001032FF"/>
    <w:rsid w:val="00121406"/>
    <w:rsid w:val="00133447"/>
    <w:rsid w:val="00171B1F"/>
    <w:rsid w:val="0017319A"/>
    <w:rsid w:val="00174809"/>
    <w:rsid w:val="0019693C"/>
    <w:rsid w:val="001A38E2"/>
    <w:rsid w:val="001B077A"/>
    <w:rsid w:val="001B1740"/>
    <w:rsid w:val="001B1D52"/>
    <w:rsid w:val="001D3311"/>
    <w:rsid w:val="001F0D84"/>
    <w:rsid w:val="002076DC"/>
    <w:rsid w:val="002509CD"/>
    <w:rsid w:val="002549CB"/>
    <w:rsid w:val="00257299"/>
    <w:rsid w:val="00284E13"/>
    <w:rsid w:val="002A4943"/>
    <w:rsid w:val="002A7713"/>
    <w:rsid w:val="002B2385"/>
    <w:rsid w:val="002B28DB"/>
    <w:rsid w:val="002C0840"/>
    <w:rsid w:val="002F0B6F"/>
    <w:rsid w:val="00345FC6"/>
    <w:rsid w:val="00355B81"/>
    <w:rsid w:val="00370A59"/>
    <w:rsid w:val="00390FB3"/>
    <w:rsid w:val="00394522"/>
    <w:rsid w:val="003A359D"/>
    <w:rsid w:val="003A389C"/>
    <w:rsid w:val="003C1199"/>
    <w:rsid w:val="003C698E"/>
    <w:rsid w:val="003D1329"/>
    <w:rsid w:val="003F0E93"/>
    <w:rsid w:val="004031E5"/>
    <w:rsid w:val="0042504A"/>
    <w:rsid w:val="00431E3D"/>
    <w:rsid w:val="00466948"/>
    <w:rsid w:val="00475DC4"/>
    <w:rsid w:val="00481372"/>
    <w:rsid w:val="004B7821"/>
    <w:rsid w:val="004C0A59"/>
    <w:rsid w:val="004D668A"/>
    <w:rsid w:val="004D6AAE"/>
    <w:rsid w:val="004E7813"/>
    <w:rsid w:val="004F2563"/>
    <w:rsid w:val="004F6099"/>
    <w:rsid w:val="004F7FFB"/>
    <w:rsid w:val="00500EDB"/>
    <w:rsid w:val="00510CFB"/>
    <w:rsid w:val="00517BBD"/>
    <w:rsid w:val="005309B8"/>
    <w:rsid w:val="005422A4"/>
    <w:rsid w:val="00554105"/>
    <w:rsid w:val="005555C0"/>
    <w:rsid w:val="00571ABE"/>
    <w:rsid w:val="005739F0"/>
    <w:rsid w:val="00592F4E"/>
    <w:rsid w:val="005A448E"/>
    <w:rsid w:val="005B32EA"/>
    <w:rsid w:val="005B3879"/>
    <w:rsid w:val="005B4E5C"/>
    <w:rsid w:val="005C2243"/>
    <w:rsid w:val="005C4DAD"/>
    <w:rsid w:val="005E5C22"/>
    <w:rsid w:val="005F1DC8"/>
    <w:rsid w:val="006159E8"/>
    <w:rsid w:val="00624A85"/>
    <w:rsid w:val="00633299"/>
    <w:rsid w:val="00637E7A"/>
    <w:rsid w:val="0065591C"/>
    <w:rsid w:val="0065602E"/>
    <w:rsid w:val="00657A67"/>
    <w:rsid w:val="006A15B3"/>
    <w:rsid w:val="006A7666"/>
    <w:rsid w:val="006B0F3F"/>
    <w:rsid w:val="006B3E0D"/>
    <w:rsid w:val="006C046B"/>
    <w:rsid w:val="006E4F68"/>
    <w:rsid w:val="00703EE2"/>
    <w:rsid w:val="00710357"/>
    <w:rsid w:val="00714573"/>
    <w:rsid w:val="00715894"/>
    <w:rsid w:val="00725A6C"/>
    <w:rsid w:val="00745157"/>
    <w:rsid w:val="0076363E"/>
    <w:rsid w:val="00791BF7"/>
    <w:rsid w:val="007946E8"/>
    <w:rsid w:val="00797267"/>
    <w:rsid w:val="007C100E"/>
    <w:rsid w:val="007C2098"/>
    <w:rsid w:val="007C4604"/>
    <w:rsid w:val="007F0E5E"/>
    <w:rsid w:val="007F5C82"/>
    <w:rsid w:val="00825F2E"/>
    <w:rsid w:val="00841D97"/>
    <w:rsid w:val="00856D8A"/>
    <w:rsid w:val="0086143B"/>
    <w:rsid w:val="008748B6"/>
    <w:rsid w:val="008770D1"/>
    <w:rsid w:val="00881D6F"/>
    <w:rsid w:val="00883ECD"/>
    <w:rsid w:val="0088606A"/>
    <w:rsid w:val="008969AA"/>
    <w:rsid w:val="008A2824"/>
    <w:rsid w:val="008D6E1B"/>
    <w:rsid w:val="008E0CEF"/>
    <w:rsid w:val="008E1204"/>
    <w:rsid w:val="008E3238"/>
    <w:rsid w:val="00903F73"/>
    <w:rsid w:val="00912B4F"/>
    <w:rsid w:val="00917070"/>
    <w:rsid w:val="00934A44"/>
    <w:rsid w:val="009901AB"/>
    <w:rsid w:val="00995D3C"/>
    <w:rsid w:val="009A3F80"/>
    <w:rsid w:val="009B37F4"/>
    <w:rsid w:val="009B709B"/>
    <w:rsid w:val="009E7C25"/>
    <w:rsid w:val="009F3FDA"/>
    <w:rsid w:val="00A02A62"/>
    <w:rsid w:val="00A055CF"/>
    <w:rsid w:val="00A059E1"/>
    <w:rsid w:val="00A06AA4"/>
    <w:rsid w:val="00A16E32"/>
    <w:rsid w:val="00A27613"/>
    <w:rsid w:val="00A31E52"/>
    <w:rsid w:val="00A439F8"/>
    <w:rsid w:val="00A45F8D"/>
    <w:rsid w:val="00A50D6F"/>
    <w:rsid w:val="00A863EC"/>
    <w:rsid w:val="00A978B3"/>
    <w:rsid w:val="00AA0DB7"/>
    <w:rsid w:val="00AB4480"/>
    <w:rsid w:val="00AC1425"/>
    <w:rsid w:val="00AD1CFD"/>
    <w:rsid w:val="00AE4B43"/>
    <w:rsid w:val="00AF28DF"/>
    <w:rsid w:val="00B362DF"/>
    <w:rsid w:val="00B36E8F"/>
    <w:rsid w:val="00BB65CD"/>
    <w:rsid w:val="00BD0B84"/>
    <w:rsid w:val="00BD2A58"/>
    <w:rsid w:val="00BE0AFF"/>
    <w:rsid w:val="00BE1016"/>
    <w:rsid w:val="00BE5967"/>
    <w:rsid w:val="00BE7968"/>
    <w:rsid w:val="00BF0975"/>
    <w:rsid w:val="00C44CE2"/>
    <w:rsid w:val="00C54785"/>
    <w:rsid w:val="00C82F05"/>
    <w:rsid w:val="00C94D2E"/>
    <w:rsid w:val="00C95C5E"/>
    <w:rsid w:val="00CB0ACF"/>
    <w:rsid w:val="00CC7931"/>
    <w:rsid w:val="00CD0F44"/>
    <w:rsid w:val="00CD47D9"/>
    <w:rsid w:val="00CD70B2"/>
    <w:rsid w:val="00CE4217"/>
    <w:rsid w:val="00CE4C38"/>
    <w:rsid w:val="00CE5AAD"/>
    <w:rsid w:val="00CE5BC0"/>
    <w:rsid w:val="00CF0CC1"/>
    <w:rsid w:val="00CF381B"/>
    <w:rsid w:val="00D0521F"/>
    <w:rsid w:val="00D05AA8"/>
    <w:rsid w:val="00D06A3A"/>
    <w:rsid w:val="00D137D5"/>
    <w:rsid w:val="00D257ED"/>
    <w:rsid w:val="00D2606C"/>
    <w:rsid w:val="00D32BA3"/>
    <w:rsid w:val="00D37DA8"/>
    <w:rsid w:val="00D51358"/>
    <w:rsid w:val="00D5283C"/>
    <w:rsid w:val="00D6164C"/>
    <w:rsid w:val="00DA1384"/>
    <w:rsid w:val="00DA5EC7"/>
    <w:rsid w:val="00DB0EF7"/>
    <w:rsid w:val="00DB727C"/>
    <w:rsid w:val="00DC131B"/>
    <w:rsid w:val="00DC70B9"/>
    <w:rsid w:val="00DD17A5"/>
    <w:rsid w:val="00DF214A"/>
    <w:rsid w:val="00DF22FE"/>
    <w:rsid w:val="00E131EB"/>
    <w:rsid w:val="00E23D40"/>
    <w:rsid w:val="00E40A65"/>
    <w:rsid w:val="00E41E60"/>
    <w:rsid w:val="00E424BB"/>
    <w:rsid w:val="00E55DCD"/>
    <w:rsid w:val="00E72C09"/>
    <w:rsid w:val="00E72CE0"/>
    <w:rsid w:val="00E76689"/>
    <w:rsid w:val="00E915CD"/>
    <w:rsid w:val="00E91F99"/>
    <w:rsid w:val="00E933AF"/>
    <w:rsid w:val="00EA3201"/>
    <w:rsid w:val="00EA62C9"/>
    <w:rsid w:val="00EB1F2E"/>
    <w:rsid w:val="00EC5071"/>
    <w:rsid w:val="00ED1EEB"/>
    <w:rsid w:val="00ED4305"/>
    <w:rsid w:val="00ED4D9B"/>
    <w:rsid w:val="00ED5F46"/>
    <w:rsid w:val="00EE40C9"/>
    <w:rsid w:val="00F22DCD"/>
    <w:rsid w:val="00F34EEE"/>
    <w:rsid w:val="00F40FD8"/>
    <w:rsid w:val="00F44F88"/>
    <w:rsid w:val="00F53AA9"/>
    <w:rsid w:val="00F650B8"/>
    <w:rsid w:val="00F72B78"/>
    <w:rsid w:val="00F779AD"/>
    <w:rsid w:val="00F8786D"/>
    <w:rsid w:val="00F90E45"/>
    <w:rsid w:val="00F972BF"/>
    <w:rsid w:val="00FB3D82"/>
    <w:rsid w:val="00FD5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8330DD3"/>
  <w15:docId w15:val="{DC96D596-48A4-1C48-82F6-2B5895A5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59E8"/>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24A85"/>
    <w:rPr>
      <w:rFonts w:ascii="Times New Roman" w:hAnsi="Times New Roman"/>
      <w:sz w:val="24"/>
      <w:vertAlign w:val="superscript"/>
    </w:rPr>
  </w:style>
  <w:style w:type="paragraph" w:customStyle="1" w:styleId="a">
    <w:name w:val="_"/>
    <w:basedOn w:val="Normal"/>
    <w:rsid w:val="006159E8"/>
    <w:pPr>
      <w:ind w:left="720" w:hanging="720"/>
    </w:pPr>
    <w:rPr>
      <w:rFonts w:ascii="CG Times" w:hAnsi="CG Times"/>
    </w:rPr>
  </w:style>
  <w:style w:type="paragraph" w:styleId="FootnoteText">
    <w:name w:val="footnote text"/>
    <w:basedOn w:val="Normal"/>
    <w:semiHidden/>
    <w:rsid w:val="006159E8"/>
    <w:rPr>
      <w:sz w:val="20"/>
    </w:rPr>
  </w:style>
  <w:style w:type="paragraph" w:styleId="Header">
    <w:name w:val="header"/>
    <w:basedOn w:val="Normal"/>
    <w:rsid w:val="005C4DAD"/>
    <w:pPr>
      <w:tabs>
        <w:tab w:val="center" w:pos="4320"/>
        <w:tab w:val="right" w:pos="8640"/>
      </w:tabs>
    </w:pPr>
  </w:style>
  <w:style w:type="paragraph" w:styleId="Footer">
    <w:name w:val="footer"/>
    <w:basedOn w:val="Normal"/>
    <w:rsid w:val="005C4DAD"/>
    <w:pPr>
      <w:tabs>
        <w:tab w:val="center" w:pos="4320"/>
        <w:tab w:val="right" w:pos="8640"/>
      </w:tabs>
    </w:pPr>
  </w:style>
  <w:style w:type="character" w:styleId="PageNumber">
    <w:name w:val="page number"/>
    <w:basedOn w:val="DefaultParagraphFont"/>
    <w:rsid w:val="005C4DAD"/>
  </w:style>
  <w:style w:type="paragraph" w:styleId="BalloonText">
    <w:name w:val="Balloon Text"/>
    <w:basedOn w:val="Normal"/>
    <w:semiHidden/>
    <w:rsid w:val="000738AC"/>
    <w:rPr>
      <w:rFonts w:ascii="Tahoma" w:hAnsi="Tahoma" w:cs="Tahoma"/>
      <w:sz w:val="16"/>
      <w:szCs w:val="16"/>
    </w:rPr>
  </w:style>
  <w:style w:type="character" w:customStyle="1" w:styleId="StyleFootnoteReference13pt">
    <w:name w:val="Style Footnote Reference + 13 pt"/>
    <w:basedOn w:val="FootnoteReference"/>
    <w:rsid w:val="00624A85"/>
    <w:rPr>
      <w:rFonts w:ascii="Times New Roman" w:hAnsi="Times New Roman"/>
      <w:sz w:val="24"/>
      <w:vertAlign w:val="superscript"/>
    </w:rPr>
  </w:style>
  <w:style w:type="character" w:customStyle="1" w:styleId="StyleFootnoteReference14pt">
    <w:name w:val="Style Footnote Reference + 14 pt"/>
    <w:basedOn w:val="FootnoteReference"/>
    <w:rsid w:val="00624A85"/>
    <w:rPr>
      <w:rFonts w:ascii="Times New Roman" w:hAnsi="Times New Roman"/>
      <w:sz w:val="24"/>
      <w:vertAlign w:val="superscript"/>
    </w:rPr>
  </w:style>
  <w:style w:type="character" w:styleId="CommentReference">
    <w:name w:val="annotation reference"/>
    <w:basedOn w:val="DefaultParagraphFont"/>
    <w:semiHidden/>
    <w:rsid w:val="007F5C82"/>
    <w:rPr>
      <w:sz w:val="16"/>
      <w:szCs w:val="16"/>
    </w:rPr>
  </w:style>
  <w:style w:type="paragraph" w:styleId="CommentText">
    <w:name w:val="annotation text"/>
    <w:basedOn w:val="Normal"/>
    <w:semiHidden/>
    <w:rsid w:val="007F5C82"/>
    <w:rPr>
      <w:sz w:val="20"/>
    </w:rPr>
  </w:style>
  <w:style w:type="paragraph" w:styleId="CommentSubject">
    <w:name w:val="annotation subject"/>
    <w:basedOn w:val="CommentText"/>
    <w:next w:val="CommentText"/>
    <w:semiHidden/>
    <w:rsid w:val="007F5C82"/>
    <w:rPr>
      <w:b/>
      <w:bCs/>
    </w:rPr>
  </w:style>
  <w:style w:type="character" w:styleId="LineNumber">
    <w:name w:val="line number"/>
    <w:basedOn w:val="DefaultParagraphFont"/>
    <w:semiHidden/>
    <w:unhideWhenUsed/>
    <w:rsid w:val="00C95C5E"/>
  </w:style>
  <w:style w:type="paragraph" w:styleId="Revision">
    <w:name w:val="Revision"/>
    <w:hidden/>
    <w:uiPriority w:val="99"/>
    <w:semiHidden/>
    <w:rsid w:val="00B36E8F"/>
    <w:rPr>
      <w:snapToGrid w:val="0"/>
      <w:sz w:val="24"/>
    </w:rPr>
  </w:style>
  <w:style w:type="character" w:styleId="Hyperlink">
    <w:name w:val="Hyperlink"/>
    <w:basedOn w:val="DefaultParagraphFont"/>
    <w:unhideWhenUsed/>
    <w:rsid w:val="00B36E8F"/>
    <w:rPr>
      <w:color w:val="0000FF" w:themeColor="hyperlink"/>
      <w:u w:val="single"/>
    </w:rPr>
  </w:style>
  <w:style w:type="character" w:styleId="UnresolvedMention">
    <w:name w:val="Unresolved Mention"/>
    <w:basedOn w:val="DefaultParagraphFont"/>
    <w:uiPriority w:val="99"/>
    <w:semiHidden/>
    <w:unhideWhenUsed/>
    <w:rsid w:val="00B36E8F"/>
    <w:rPr>
      <w:color w:val="605E5C"/>
      <w:shd w:val="clear" w:color="auto" w:fill="E1DFDD"/>
    </w:rPr>
  </w:style>
  <w:style w:type="paragraph" w:styleId="ListParagraph">
    <w:name w:val="List Paragraph"/>
    <w:basedOn w:val="Normal"/>
    <w:uiPriority w:val="34"/>
    <w:qFormat/>
    <w:rsid w:val="00B36E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52176">
      <w:bodyDiv w:val="1"/>
      <w:marLeft w:val="0"/>
      <w:marRight w:val="0"/>
      <w:marTop w:val="0"/>
      <w:marBottom w:val="0"/>
      <w:divBdr>
        <w:top w:val="none" w:sz="0" w:space="0" w:color="auto"/>
        <w:left w:val="none" w:sz="0" w:space="0" w:color="auto"/>
        <w:bottom w:val="none" w:sz="0" w:space="0" w:color="auto"/>
        <w:right w:val="none" w:sz="0" w:space="0" w:color="auto"/>
      </w:divBdr>
    </w:div>
    <w:div w:id="241793006">
      <w:bodyDiv w:val="1"/>
      <w:marLeft w:val="0"/>
      <w:marRight w:val="0"/>
      <w:marTop w:val="0"/>
      <w:marBottom w:val="0"/>
      <w:divBdr>
        <w:top w:val="none" w:sz="0" w:space="0" w:color="auto"/>
        <w:left w:val="none" w:sz="0" w:space="0" w:color="auto"/>
        <w:bottom w:val="none" w:sz="0" w:space="0" w:color="auto"/>
        <w:right w:val="none" w:sz="0" w:space="0" w:color="auto"/>
      </w:divBdr>
    </w:div>
    <w:div w:id="191196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redirector.microscribepub.com/?cat=usc&amp;loc=us&amp;id=20-1232g&amp;" TargetMode="External"/><Relationship Id="rId26" Type="http://schemas.openxmlformats.org/officeDocument/2006/relationships/hyperlink" Target="http://redirector.microscribepub.com/?cat=stat&amp;loc=nc&amp;id=115c&amp;spec=36" TargetMode="External"/><Relationship Id="rId21" Type="http://schemas.openxmlformats.org/officeDocument/2006/relationships/hyperlink" Target="http://redirector.microscribepub.com/?cat=usc&amp;loc=us&amp;id=29-705&amp;" TargetMode="External"/><Relationship Id="rId34" Type="http://schemas.openxmlformats.org/officeDocument/2006/relationships/hyperlink" Target="http://redirector.microscribepub.com/?cat=pol&amp;loc=nc&amp;id=excp-000&amp;"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redirector.microscribepub.com/?cat=cfr&amp;loc=us&amp;id=28&amp;spec=35" TargetMode="External"/><Relationship Id="rId25" Type="http://schemas.openxmlformats.org/officeDocument/2006/relationships/hyperlink" Target="http://redirector.microscribepub.com/?cat=stat&amp;loc=nc&amp;id=115c&amp;spec=12" TargetMode="External"/><Relationship Id="rId33" Type="http://schemas.openxmlformats.org/officeDocument/2006/relationships/hyperlink" Target="http://redirector.microscribepub.com/?cat=code&amp;loc=nc&amp;id=21&amp;spec=36.0224"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redirector.microscribepub.com/?cat=usc&amp;loc=us&amp;id=42-12134&amp;" TargetMode="External"/><Relationship Id="rId20" Type="http://schemas.openxmlformats.org/officeDocument/2006/relationships/hyperlink" Target="http://redirector.microscribepub.com/?cat=cfr&amp;loc=us&amp;id=34&amp;spec=300" TargetMode="External"/><Relationship Id="rId29" Type="http://schemas.openxmlformats.org/officeDocument/2006/relationships/hyperlink" Target="http://redirector.microscribepub.com/?cat=stat&amp;loc=nc&amp;id=115c&amp;spec=37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redirector.microscribepub.com/?cat=stat&amp;loc=nc&amp;id=115c&amp;spec=12" TargetMode="External"/><Relationship Id="rId32" Type="http://schemas.openxmlformats.org/officeDocument/2006/relationships/hyperlink" Target="http://redirector.microscribepub.com/?cat=code&amp;loc=nc&amp;id=21&amp;spec=36.0221"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edirector.microscribepub.com/?cat=pol&amp;loc=nc&amp;id=shlt-003&amp;" TargetMode="External"/><Relationship Id="rId23" Type="http://schemas.openxmlformats.org/officeDocument/2006/relationships/hyperlink" Target="http://redirector.microscribepub.com/?cat=cfr&amp;loc=us&amp;id=34&amp;spec=104" TargetMode="External"/><Relationship Id="rId28" Type="http://schemas.openxmlformats.org/officeDocument/2006/relationships/hyperlink" Target="http://redirector.microscribepub.com/?cat=stat&amp;loc=nc&amp;id=115c&amp;spec=375.1" TargetMode="External"/><Relationship Id="rId36"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redirector.microscribepub.com/?cat=usc&amp;loc=us&amp;id=20-1400&amp;" TargetMode="External"/><Relationship Id="rId31" Type="http://schemas.openxmlformats.org/officeDocument/2006/relationships/hyperlink" Target="http://redirector.microscribepub.com/?cat=code&amp;loc=nc&amp;id=16&amp;spec=6d.040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redirector.microscribepub.com/?cat=pol&amp;loc=nc&amp;id=shlt-003&amp;" TargetMode="External"/><Relationship Id="rId22" Type="http://schemas.openxmlformats.org/officeDocument/2006/relationships/hyperlink" Target="http://redirector.microscribepub.com/?cat=usc&amp;loc=us&amp;id=29-794&amp;" TargetMode="External"/><Relationship Id="rId27" Type="http://schemas.openxmlformats.org/officeDocument/2006/relationships/hyperlink" Target="http://redirector.microscribepub.com/?cat=stat&amp;loc=nc&amp;id=115c&amp;spec=307" TargetMode="External"/><Relationship Id="rId30" Type="http://schemas.openxmlformats.org/officeDocument/2006/relationships/hyperlink" Target="http://redirector.microscribepub.com/?cat=stat&amp;loc=nc&amp;id=115c&amp;spec=376.5" TargetMode="External"/><Relationship Id="rId35" Type="http://schemas.openxmlformats.org/officeDocument/2006/relationships/hyperlink" Target="http://redirector.microscribepub.com/?cat=pol&amp;loc=nc&amp;id=shlt-003&amp;" TargetMode="Externa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B4A60-3EFC-2047-ACCA-7A4C9F524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700</Words>
  <Characters>6173</Characters>
  <Application>Microsoft Office Word</Application>
  <DocSecurity>0</DocSecurity>
  <Lines>51</Lines>
  <Paragraphs>13</Paragraphs>
  <ScaleCrop>false</ScaleCrop>
  <HeadingPairs>
    <vt:vector size="2" baseType="variant">
      <vt:variant>
        <vt:lpstr>Title</vt:lpstr>
      </vt:variant>
      <vt:variant>
        <vt:i4>1</vt:i4>
      </vt:variant>
    </vt:vector>
  </HeadingPairs>
  <TitlesOfParts>
    <vt:vector size="1" baseType="lpstr">
      <vt:lpstr>LEGAL STATUS</vt:lpstr>
    </vt:vector>
  </TitlesOfParts>
  <Company>NCSBA</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STATUS</dc:title>
  <dc:creator>Kendra</dc:creator>
  <cp:lastModifiedBy>Larry Price</cp:lastModifiedBy>
  <cp:revision>7</cp:revision>
  <cp:lastPrinted>2017-04-24T15:26:00Z</cp:lastPrinted>
  <dcterms:created xsi:type="dcterms:W3CDTF">2020-02-15T03:41:00Z</dcterms:created>
  <dcterms:modified xsi:type="dcterms:W3CDTF">2022-06-21T01:36:00Z</dcterms:modified>
</cp:coreProperties>
</file>