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8044" w14:textId="77777777" w:rsidR="00507E3F" w:rsidRPr="00C96BAD" w:rsidRDefault="00507E3F" w:rsidP="00507E3F">
      <w:pPr>
        <w:tabs>
          <w:tab w:val="left" w:pos="6840"/>
          <w:tab w:val="right" w:pos="9360"/>
        </w:tabs>
        <w:rPr>
          <w:color w:val="000000" w:themeColor="text1"/>
        </w:rPr>
      </w:pPr>
      <w:r w:rsidRPr="00C96BAD">
        <w:rPr>
          <w:b/>
          <w:color w:val="000000" w:themeColor="text1"/>
          <w:sz w:val="28"/>
        </w:rPr>
        <w:t>LICENSURE</w:t>
      </w:r>
      <w:r w:rsidRPr="00C96BAD">
        <w:rPr>
          <w:i/>
          <w:color w:val="000000" w:themeColor="text1"/>
          <w:sz w:val="20"/>
        </w:rPr>
        <w:tab/>
        <w:t>Policy Code:</w:t>
      </w:r>
      <w:r w:rsidRPr="00C96BAD">
        <w:rPr>
          <w:color w:val="000000" w:themeColor="text1"/>
          <w:sz w:val="20"/>
        </w:rPr>
        <w:tab/>
      </w:r>
      <w:r w:rsidRPr="00C96BAD">
        <w:rPr>
          <w:b/>
          <w:color w:val="000000" w:themeColor="text1"/>
        </w:rPr>
        <w:t>7130</w:t>
      </w:r>
    </w:p>
    <w:p w14:paraId="2EFC7065" w14:textId="165F15A9" w:rsidR="00507E3F" w:rsidRPr="00C96BAD" w:rsidRDefault="00F20472" w:rsidP="00507E3F">
      <w:pPr>
        <w:tabs>
          <w:tab w:val="left" w:pos="6840"/>
          <w:tab w:val="right" w:pos="9360"/>
        </w:tabs>
        <w:spacing w:line="109" w:lineRule="exact"/>
        <w:rPr>
          <w:color w:val="000000" w:themeColor="text1"/>
        </w:rPr>
      </w:pPr>
      <w:r w:rsidRPr="00C96BAD">
        <w:rPr>
          <w:noProof/>
          <w:color w:val="000000" w:themeColor="text1"/>
        </w:rPr>
        <mc:AlternateContent>
          <mc:Choice Requires="wps">
            <w:drawing>
              <wp:anchor distT="0" distB="0" distL="114300" distR="114300" simplePos="0" relativeHeight="251657728" behindDoc="0" locked="0" layoutInCell="0" allowOverlap="1" wp14:anchorId="1535E13B" wp14:editId="58CEA15A">
                <wp:simplePos x="0" y="0"/>
                <wp:positionH relativeFrom="column">
                  <wp:posOffset>0</wp:posOffset>
                </wp:positionH>
                <wp:positionV relativeFrom="paragraph">
                  <wp:posOffset>45085</wp:posOffset>
                </wp:positionV>
                <wp:extent cx="59436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C6A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" o:allowincell="f" strokeweight="4.5pt">
                <v:stroke linestyle="thinThick"/>
              </v:line>
            </w:pict>
          </mc:Fallback>
        </mc:AlternateContent>
      </w:r>
    </w:p>
    <w:p w14:paraId="2570954E" w14:textId="5EA2608E" w:rsidR="00507E3F" w:rsidRPr="00C96BAD" w:rsidRDefault="00507E3F" w:rsidP="00507E3F">
      <w:pPr>
        <w:tabs>
          <w:tab w:val="left" w:pos="-1440"/>
        </w:tabs>
        <w:jc w:val="both"/>
        <w:rPr>
          <w:color w:val="000000" w:themeColor="text1"/>
        </w:rPr>
      </w:pPr>
    </w:p>
    <w:p w14:paraId="6B1C972B" w14:textId="77777777" w:rsidR="006D7443" w:rsidRPr="00C96BAD" w:rsidRDefault="006D7443" w:rsidP="00507E3F">
      <w:pPr>
        <w:tabs>
          <w:tab w:val="left" w:pos="-1440"/>
        </w:tabs>
        <w:jc w:val="both"/>
        <w:rPr>
          <w:color w:val="000000" w:themeColor="text1"/>
        </w:rPr>
        <w:sectPr w:rsidR="006D7443" w:rsidRPr="00C96BAD" w:rsidSect="00D43477">
          <w:headerReference w:type="default" r:id="rId8"/>
          <w:footerReference w:type="default" r:id="rId9"/>
          <w:pgSz w:w="12240" w:h="15840" w:code="1"/>
          <w:pgMar w:top="1440" w:right="1440" w:bottom="1440" w:left="1440" w:header="720" w:footer="720" w:gutter="0"/>
          <w:cols w:space="720"/>
          <w:docGrid w:linePitch="360"/>
        </w:sectPr>
      </w:pPr>
    </w:p>
    <w:p w14:paraId="42E0318D" w14:textId="77777777" w:rsidR="00507E3F" w:rsidRPr="00C96BAD" w:rsidRDefault="00507E3F" w:rsidP="00507E3F">
      <w:pPr>
        <w:tabs>
          <w:tab w:val="left" w:pos="-1440"/>
        </w:tabs>
        <w:jc w:val="both"/>
        <w:rPr>
          <w:color w:val="000000" w:themeColor="text1"/>
        </w:rPr>
      </w:pPr>
    </w:p>
    <w:p w14:paraId="2A269866" w14:textId="462699C1" w:rsidR="00B76D04" w:rsidRPr="00C96BAD" w:rsidRDefault="007971D5" w:rsidP="0026743F">
      <w:pPr>
        <w:tabs>
          <w:tab w:val="left" w:pos="-1440"/>
        </w:tabs>
        <w:jc w:val="both"/>
        <w:rPr>
          <w:color w:val="000000" w:themeColor="text1"/>
        </w:rPr>
      </w:pPr>
      <w:r w:rsidRPr="00C96BAD">
        <w:rPr>
          <w:color w:val="000000" w:themeColor="text1"/>
        </w:rPr>
        <w:t xml:space="preserve">The board intends to </w:t>
      </w:r>
      <w:r w:rsidR="005B194F" w:rsidRPr="00C96BAD">
        <w:rPr>
          <w:color w:val="000000" w:themeColor="text1"/>
        </w:rPr>
        <w:t xml:space="preserve">comply </w:t>
      </w:r>
      <w:r w:rsidR="006A5BBD" w:rsidRPr="00C96BAD">
        <w:rPr>
          <w:color w:val="000000" w:themeColor="text1"/>
        </w:rPr>
        <w:t>f</w:t>
      </w:r>
      <w:r w:rsidRPr="00C96BAD">
        <w:rPr>
          <w:color w:val="000000" w:themeColor="text1"/>
        </w:rPr>
        <w:t xml:space="preserve">ully with all licensure requirements of </w:t>
      </w:r>
      <w:r w:rsidR="00866123" w:rsidRPr="00C96BAD">
        <w:rPr>
          <w:color w:val="000000" w:themeColor="text1"/>
        </w:rPr>
        <w:t>federal and</w:t>
      </w:r>
      <w:r w:rsidRPr="00C96BAD">
        <w:rPr>
          <w:color w:val="000000" w:themeColor="text1"/>
        </w:rPr>
        <w:t xml:space="preserve"> state law and State Board of Education policies. </w:t>
      </w:r>
      <w:r w:rsidR="00614E15" w:rsidRPr="00C96BAD">
        <w:rPr>
          <w:color w:val="000000" w:themeColor="text1"/>
        </w:rPr>
        <w:t xml:space="preserve"> </w:t>
      </w:r>
    </w:p>
    <w:p w14:paraId="1D69725A" w14:textId="77777777" w:rsidR="00B76D04" w:rsidRPr="00C96BAD" w:rsidRDefault="00B76D04" w:rsidP="00507E3F">
      <w:pPr>
        <w:tabs>
          <w:tab w:val="left" w:pos="-1440"/>
        </w:tabs>
        <w:jc w:val="both"/>
        <w:rPr>
          <w:color w:val="000000" w:themeColor="text1"/>
        </w:rPr>
      </w:pPr>
    </w:p>
    <w:p w14:paraId="60AA674A" w14:textId="0DF49187" w:rsidR="00B76D04" w:rsidRPr="00C96BAD" w:rsidRDefault="00B76D04" w:rsidP="00B76D04">
      <w:pPr>
        <w:pStyle w:val="ListParagraph"/>
        <w:numPr>
          <w:ilvl w:val="0"/>
          <w:numId w:val="5"/>
        </w:numPr>
        <w:tabs>
          <w:tab w:val="left" w:pos="-1440"/>
        </w:tabs>
        <w:ind w:hanging="720"/>
        <w:jc w:val="both"/>
        <w:rPr>
          <w:rFonts w:ascii="Times New Roman Bold" w:hAnsi="Times New Roman Bold"/>
          <w:b/>
          <w:smallCaps/>
          <w:color w:val="000000" w:themeColor="text1"/>
        </w:rPr>
      </w:pPr>
      <w:r w:rsidRPr="00C96BAD">
        <w:rPr>
          <w:rFonts w:ascii="Times New Roman Bold" w:hAnsi="Times New Roman Bold"/>
          <w:b/>
          <w:smallCaps/>
          <w:color w:val="000000" w:themeColor="text1"/>
        </w:rPr>
        <w:t xml:space="preserve"> </w:t>
      </w:r>
      <w:r w:rsidR="009F0300" w:rsidRPr="00C96BAD">
        <w:rPr>
          <w:rFonts w:ascii="Times New Roman Bold" w:hAnsi="Times New Roman Bold"/>
          <w:b/>
          <w:smallCaps/>
          <w:color w:val="000000" w:themeColor="text1"/>
        </w:rPr>
        <w:t xml:space="preserve">Licensure </w:t>
      </w:r>
      <w:r w:rsidR="00EA5B0D" w:rsidRPr="00C96BAD">
        <w:rPr>
          <w:rFonts w:ascii="Times New Roman Bold" w:hAnsi="Times New Roman Bold"/>
          <w:b/>
          <w:smallCaps/>
          <w:color w:val="000000" w:themeColor="text1"/>
        </w:rPr>
        <w:t xml:space="preserve">and Other Qualification </w:t>
      </w:r>
      <w:r w:rsidRPr="00C96BAD">
        <w:rPr>
          <w:rFonts w:ascii="Times New Roman Bold" w:hAnsi="Times New Roman Bold"/>
          <w:b/>
          <w:smallCaps/>
          <w:color w:val="000000" w:themeColor="text1"/>
        </w:rPr>
        <w:t xml:space="preserve">Requirements </w:t>
      </w:r>
    </w:p>
    <w:p w14:paraId="2C7C7CF2" w14:textId="77777777" w:rsidR="00B76D04" w:rsidRPr="00C96BAD" w:rsidRDefault="00B76D04" w:rsidP="00305CE7">
      <w:pPr>
        <w:pStyle w:val="ListParagraph"/>
        <w:tabs>
          <w:tab w:val="left" w:pos="-1440"/>
        </w:tabs>
        <w:jc w:val="both"/>
        <w:rPr>
          <w:color w:val="000000" w:themeColor="text1"/>
        </w:rPr>
      </w:pPr>
    </w:p>
    <w:p w14:paraId="3867F594" w14:textId="79C9F8BB" w:rsidR="00B76D04" w:rsidRPr="00C96BAD" w:rsidRDefault="00507E3F" w:rsidP="009F0300">
      <w:pPr>
        <w:pStyle w:val="ListParagraph"/>
        <w:numPr>
          <w:ilvl w:val="0"/>
          <w:numId w:val="8"/>
        </w:numPr>
        <w:tabs>
          <w:tab w:val="left" w:pos="-1440"/>
        </w:tabs>
        <w:ind w:left="1440" w:hanging="720"/>
        <w:jc w:val="both"/>
        <w:rPr>
          <w:color w:val="000000" w:themeColor="text1"/>
        </w:rPr>
      </w:pPr>
      <w:r w:rsidRPr="00C96BAD">
        <w:rPr>
          <w:color w:val="000000" w:themeColor="text1"/>
        </w:rPr>
        <w:t xml:space="preserve">Except as </w:t>
      </w:r>
      <w:r w:rsidR="0026743F" w:rsidRPr="00C96BAD">
        <w:rPr>
          <w:color w:val="000000" w:themeColor="text1"/>
        </w:rPr>
        <w:t>otherwise permitted by the State Board of Education</w:t>
      </w:r>
      <w:r w:rsidR="00EA5B0D" w:rsidRPr="00C96BAD">
        <w:rPr>
          <w:color w:val="000000" w:themeColor="text1"/>
        </w:rPr>
        <w:t xml:space="preserve"> or state law</w:t>
      </w:r>
      <w:r w:rsidR="0026743F" w:rsidRPr="00C96BAD">
        <w:rPr>
          <w:color w:val="000000" w:themeColor="text1"/>
        </w:rPr>
        <w:t xml:space="preserve">, </w:t>
      </w:r>
      <w:r w:rsidRPr="00C96BAD">
        <w:rPr>
          <w:color w:val="000000" w:themeColor="text1"/>
        </w:rPr>
        <w:t xml:space="preserve">a professional employee must </w:t>
      </w:r>
      <w:proofErr w:type="gramStart"/>
      <w:r w:rsidRPr="00C96BAD">
        <w:rPr>
          <w:color w:val="000000" w:themeColor="text1"/>
        </w:rPr>
        <w:t>hold at all times</w:t>
      </w:r>
      <w:proofErr w:type="gramEnd"/>
      <w:r w:rsidRPr="00C96BAD">
        <w:rPr>
          <w:color w:val="000000" w:themeColor="text1"/>
        </w:rPr>
        <w:t xml:space="preserve"> a valid North Carolina license appropriate to </w:t>
      </w:r>
      <w:r w:rsidR="002044F6" w:rsidRPr="00C96BAD">
        <w:rPr>
          <w:color w:val="000000" w:themeColor="text1"/>
        </w:rPr>
        <w:t>his or her</w:t>
      </w:r>
      <w:r w:rsidR="00305CE7" w:rsidRPr="00C96BAD">
        <w:rPr>
          <w:color w:val="000000" w:themeColor="text1"/>
        </w:rPr>
        <w:t xml:space="preserve"> </w:t>
      </w:r>
      <w:r w:rsidRPr="00C96BAD">
        <w:rPr>
          <w:color w:val="000000" w:themeColor="text1"/>
        </w:rPr>
        <w:t>position</w:t>
      </w:r>
      <w:r w:rsidR="007D23BD" w:rsidRPr="00C96BAD">
        <w:rPr>
          <w:color w:val="000000" w:themeColor="text1"/>
        </w:rPr>
        <w:t xml:space="preserve">. </w:t>
      </w:r>
      <w:r w:rsidR="000F7345" w:rsidRPr="00C96BAD">
        <w:rPr>
          <w:color w:val="000000" w:themeColor="text1"/>
        </w:rPr>
        <w:t xml:space="preserve"> </w:t>
      </w:r>
    </w:p>
    <w:p w14:paraId="7E8D524C" w14:textId="77777777" w:rsidR="00B76D04" w:rsidRPr="00C96BAD" w:rsidRDefault="00B76D04" w:rsidP="00B76D04">
      <w:pPr>
        <w:pStyle w:val="ListParagraph"/>
        <w:tabs>
          <w:tab w:val="left" w:pos="-1440"/>
        </w:tabs>
        <w:ind w:left="1440"/>
        <w:jc w:val="both"/>
        <w:rPr>
          <w:color w:val="000000" w:themeColor="text1"/>
        </w:rPr>
      </w:pPr>
    </w:p>
    <w:p w14:paraId="2DD9BB7A" w14:textId="54580AF4" w:rsidR="00507E3F" w:rsidRPr="00C96BAD" w:rsidRDefault="00114FA2" w:rsidP="009F0300">
      <w:pPr>
        <w:pStyle w:val="ListParagraph"/>
        <w:numPr>
          <w:ilvl w:val="0"/>
          <w:numId w:val="8"/>
        </w:numPr>
        <w:tabs>
          <w:tab w:val="left" w:pos="-1440"/>
        </w:tabs>
        <w:ind w:left="1440" w:hanging="720"/>
        <w:jc w:val="both"/>
        <w:rPr>
          <w:color w:val="000000" w:themeColor="text1"/>
        </w:rPr>
      </w:pPr>
      <w:r w:rsidRPr="00C96BAD">
        <w:rPr>
          <w:color w:val="000000" w:themeColor="text1"/>
        </w:rPr>
        <w:t>To the extent possible, all professional teaching assignments will be in the area of the professional employee’s license</w:t>
      </w:r>
      <w:r w:rsidR="007971D5" w:rsidRPr="00C96BAD">
        <w:rPr>
          <w:color w:val="000000" w:themeColor="text1"/>
        </w:rPr>
        <w:t xml:space="preserve"> except as may be otherwise allowed by state and federal law and State Board policy</w:t>
      </w:r>
      <w:r w:rsidRPr="00C96BAD">
        <w:rPr>
          <w:color w:val="000000" w:themeColor="text1"/>
        </w:rPr>
        <w:t xml:space="preserve">. </w:t>
      </w:r>
      <w:r w:rsidR="003F0782" w:rsidRPr="00C96BAD">
        <w:rPr>
          <w:color w:val="000000" w:themeColor="text1"/>
        </w:rPr>
        <w:t xml:space="preserve"> </w:t>
      </w:r>
      <w:r w:rsidRPr="00C96BAD">
        <w:rPr>
          <w:color w:val="000000" w:themeColor="text1"/>
        </w:rPr>
        <w:t xml:space="preserve">In addition, all professional teachers employed to teach core academic subjects </w:t>
      </w:r>
      <w:r w:rsidR="008E62D9" w:rsidRPr="00C96BAD">
        <w:rPr>
          <w:color w:val="000000" w:themeColor="text1"/>
        </w:rPr>
        <w:t xml:space="preserve">must </w:t>
      </w:r>
      <w:r w:rsidRPr="00C96BAD">
        <w:rPr>
          <w:color w:val="000000" w:themeColor="text1"/>
        </w:rPr>
        <w:t xml:space="preserve">be “highly qualified” as required by </w:t>
      </w:r>
      <w:r w:rsidR="00C84B90" w:rsidRPr="00C96BAD">
        <w:rPr>
          <w:color w:val="000000" w:themeColor="text1"/>
        </w:rPr>
        <w:t>the State Board of Education</w:t>
      </w:r>
      <w:r w:rsidRPr="00C96BAD">
        <w:rPr>
          <w:color w:val="000000" w:themeColor="text1"/>
        </w:rPr>
        <w:t>.</w:t>
      </w:r>
      <w:r w:rsidR="007971D5" w:rsidRPr="00C96BAD">
        <w:rPr>
          <w:color w:val="000000" w:themeColor="text1"/>
        </w:rPr>
        <w:t xml:space="preserve">  Core academic subjects include English, reading or language arts, mathematics, science, foreign languages, civics and government, economics, arts, history</w:t>
      </w:r>
      <w:r w:rsidR="00844F3A" w:rsidRPr="00C96BAD">
        <w:rPr>
          <w:color w:val="000000" w:themeColor="text1"/>
        </w:rPr>
        <w:t>,</w:t>
      </w:r>
      <w:r w:rsidR="007971D5" w:rsidRPr="00C96BAD">
        <w:rPr>
          <w:color w:val="000000" w:themeColor="text1"/>
        </w:rPr>
        <w:t xml:space="preserve"> and geography.</w:t>
      </w:r>
    </w:p>
    <w:p w14:paraId="78FFCA5F" w14:textId="7DA823D1" w:rsidR="00B76D04" w:rsidRPr="00C96BAD" w:rsidRDefault="00B76D04" w:rsidP="00305CE7">
      <w:pPr>
        <w:tabs>
          <w:tab w:val="left" w:pos="-1440"/>
        </w:tabs>
        <w:ind w:left="1440"/>
        <w:jc w:val="both"/>
        <w:rPr>
          <w:color w:val="000000" w:themeColor="text1"/>
        </w:rPr>
      </w:pPr>
    </w:p>
    <w:p w14:paraId="2C4C6A29" w14:textId="5C7533D0" w:rsidR="006939A2" w:rsidRPr="00C96BAD" w:rsidRDefault="006939A2" w:rsidP="006939A2">
      <w:pPr>
        <w:pStyle w:val="ListParagraph"/>
        <w:numPr>
          <w:ilvl w:val="0"/>
          <w:numId w:val="8"/>
        </w:numPr>
        <w:tabs>
          <w:tab w:val="left" w:pos="-1440"/>
        </w:tabs>
        <w:ind w:left="1440" w:hanging="720"/>
        <w:jc w:val="both"/>
        <w:rPr>
          <w:color w:val="000000" w:themeColor="text1"/>
        </w:rPr>
      </w:pPr>
      <w:r w:rsidRPr="00C96BAD">
        <w:rPr>
          <w:color w:val="000000" w:themeColor="text1"/>
        </w:rPr>
        <w:t>The board may employ candidates entering the teaching profession from other fields who hold a residency license4 or an emergency license.</w:t>
      </w:r>
    </w:p>
    <w:p w14:paraId="1B93372F" w14:textId="77777777" w:rsidR="006939A2" w:rsidRPr="00C96BAD" w:rsidRDefault="006939A2" w:rsidP="006939A2">
      <w:pPr>
        <w:pStyle w:val="ListParagraph"/>
        <w:rPr>
          <w:color w:val="000000" w:themeColor="text1"/>
        </w:rPr>
      </w:pPr>
    </w:p>
    <w:p w14:paraId="5440F3CE" w14:textId="62338858" w:rsidR="00007776" w:rsidRPr="00C96BAD" w:rsidRDefault="006939A2" w:rsidP="006939A2">
      <w:pPr>
        <w:pStyle w:val="ListParagraph"/>
        <w:numPr>
          <w:ilvl w:val="0"/>
          <w:numId w:val="8"/>
        </w:numPr>
        <w:tabs>
          <w:tab w:val="left" w:pos="-1440"/>
        </w:tabs>
        <w:ind w:left="1440" w:hanging="720"/>
        <w:jc w:val="both"/>
        <w:rPr>
          <w:color w:val="000000" w:themeColor="text1"/>
        </w:rPr>
      </w:pPr>
      <w:r w:rsidRPr="00C96BAD">
        <w:rPr>
          <w:color w:val="000000" w:themeColor="text1"/>
        </w:rPr>
        <w:t>In extenuating circumstances when no other appropriately licensed professionals or persons who are eligible for a residency license are available to fill a position, the board may employ an individual who holds a permit to teach issued by the State Board of Education.</w:t>
      </w:r>
    </w:p>
    <w:p w14:paraId="3516B4BC" w14:textId="77777777" w:rsidR="00B76D04" w:rsidRPr="00C96BAD" w:rsidRDefault="00B76D04" w:rsidP="00B76D04">
      <w:pPr>
        <w:pStyle w:val="ListParagraph"/>
        <w:rPr>
          <w:color w:val="000000" w:themeColor="text1"/>
        </w:rPr>
      </w:pPr>
    </w:p>
    <w:p w14:paraId="28D8AA1D" w14:textId="57D27AD8" w:rsidR="0026743F" w:rsidRPr="00C96BAD" w:rsidRDefault="0026743F" w:rsidP="009F0300">
      <w:pPr>
        <w:pStyle w:val="ListParagraph"/>
        <w:numPr>
          <w:ilvl w:val="0"/>
          <w:numId w:val="5"/>
        </w:numPr>
        <w:tabs>
          <w:tab w:val="left" w:pos="-1440"/>
        </w:tabs>
        <w:ind w:hanging="720"/>
        <w:jc w:val="both"/>
        <w:rPr>
          <w:rFonts w:ascii="Times New Roman Bold" w:hAnsi="Times New Roman Bold"/>
          <w:b/>
          <w:smallCaps/>
          <w:color w:val="000000" w:themeColor="text1"/>
        </w:rPr>
      </w:pPr>
      <w:r w:rsidRPr="00C96BAD">
        <w:rPr>
          <w:rFonts w:ascii="Times New Roman Bold" w:hAnsi="Times New Roman Bold"/>
          <w:b/>
          <w:smallCaps/>
          <w:color w:val="000000" w:themeColor="text1"/>
        </w:rPr>
        <w:t>Exceptions to Licensure Requirements</w:t>
      </w:r>
      <w:r w:rsidR="009F0300" w:rsidRPr="00C96BAD">
        <w:rPr>
          <w:rFonts w:ascii="Times New Roman Bold" w:hAnsi="Times New Roman Bold"/>
          <w:b/>
          <w:smallCaps/>
          <w:color w:val="000000" w:themeColor="text1"/>
        </w:rPr>
        <w:t xml:space="preserve"> </w:t>
      </w:r>
    </w:p>
    <w:p w14:paraId="56D9ACEC" w14:textId="77777777" w:rsidR="0026743F" w:rsidRPr="00C96BAD" w:rsidRDefault="0026743F" w:rsidP="00162D76">
      <w:pPr>
        <w:pStyle w:val="ListParagraph"/>
        <w:tabs>
          <w:tab w:val="left" w:pos="-1440"/>
        </w:tabs>
        <w:ind w:left="1440"/>
        <w:jc w:val="both"/>
        <w:rPr>
          <w:color w:val="000000" w:themeColor="text1"/>
        </w:rPr>
      </w:pPr>
    </w:p>
    <w:p w14:paraId="487F5F0C" w14:textId="24973B92" w:rsidR="00B76D04" w:rsidRPr="00C96BAD" w:rsidRDefault="00B76D04" w:rsidP="00162D76">
      <w:pPr>
        <w:pStyle w:val="ListParagraph"/>
        <w:tabs>
          <w:tab w:val="left" w:pos="-1440"/>
        </w:tabs>
        <w:ind w:left="1440"/>
        <w:jc w:val="both"/>
        <w:rPr>
          <w:color w:val="000000" w:themeColor="text1"/>
        </w:rPr>
      </w:pPr>
    </w:p>
    <w:p w14:paraId="33B6D1DA" w14:textId="6F8500BB" w:rsidR="00B76D04" w:rsidRPr="00C96BAD" w:rsidRDefault="0026743F" w:rsidP="006939A2">
      <w:pPr>
        <w:pStyle w:val="ListParagraph"/>
        <w:numPr>
          <w:ilvl w:val="0"/>
          <w:numId w:val="9"/>
        </w:numPr>
        <w:tabs>
          <w:tab w:val="left" w:pos="-1440"/>
        </w:tabs>
        <w:ind w:left="1440" w:hanging="720"/>
        <w:jc w:val="both"/>
        <w:rPr>
          <w:color w:val="000000" w:themeColor="text1"/>
        </w:rPr>
      </w:pPr>
      <w:r w:rsidRPr="00C96BAD">
        <w:rPr>
          <w:color w:val="000000" w:themeColor="text1"/>
        </w:rPr>
        <w:t>Adjunct CTE Instructors</w:t>
      </w:r>
    </w:p>
    <w:p w14:paraId="0A77BA72" w14:textId="77777777" w:rsidR="0026743F" w:rsidRPr="00C96BAD" w:rsidRDefault="0026743F" w:rsidP="00162D76">
      <w:pPr>
        <w:pStyle w:val="ListParagraph"/>
        <w:tabs>
          <w:tab w:val="left" w:pos="-1440"/>
        </w:tabs>
        <w:ind w:left="1440"/>
        <w:jc w:val="both"/>
        <w:rPr>
          <w:color w:val="000000" w:themeColor="text1"/>
        </w:rPr>
      </w:pPr>
    </w:p>
    <w:p w14:paraId="32EDF773" w14:textId="1751A222" w:rsidR="00B76D04" w:rsidRPr="00C96BAD" w:rsidRDefault="00B76D04" w:rsidP="006A3D8B">
      <w:pPr>
        <w:ind w:left="1440"/>
        <w:rPr>
          <w:color w:val="000000" w:themeColor="text1"/>
        </w:rPr>
      </w:pPr>
      <w:r w:rsidRPr="00C96BAD">
        <w:rPr>
          <w:color w:val="000000" w:themeColor="text1"/>
        </w:rPr>
        <w:t xml:space="preserve">An unlicensed individual who meets the adjunct hiring criteria established by the State Board of Education for a specific career and technical education </w:t>
      </w:r>
      <w:r w:rsidR="002303EE" w:rsidRPr="00C96BAD">
        <w:rPr>
          <w:color w:val="000000" w:themeColor="text1"/>
        </w:rPr>
        <w:t xml:space="preserve">(CTE) </w:t>
      </w:r>
      <w:r w:rsidRPr="00C96BAD">
        <w:rPr>
          <w:color w:val="000000" w:themeColor="text1"/>
        </w:rPr>
        <w:t xml:space="preserve">career cluster may be employed as an adjunct </w:t>
      </w:r>
      <w:r w:rsidR="002303EE" w:rsidRPr="00C96BAD">
        <w:rPr>
          <w:color w:val="000000" w:themeColor="text1"/>
        </w:rPr>
        <w:t xml:space="preserve">CTE </w:t>
      </w:r>
      <w:r w:rsidRPr="00C96BAD">
        <w:rPr>
          <w:color w:val="000000" w:themeColor="text1"/>
        </w:rPr>
        <w:t xml:space="preserve">instructor for up to </w:t>
      </w:r>
      <w:r w:rsidR="006A3D8B" w:rsidRPr="00C96BAD">
        <w:rPr>
          <w:color w:val="000000" w:themeColor="text1"/>
        </w:rPr>
        <w:t xml:space="preserve">20 hours per week or up to five full consecutive months of employment, provided the individual first completes preservice training and meets all other statutory requirements for serving as an adjunct instructor established by </w:t>
      </w:r>
      <w:hyperlink r:id="rId10" w:tgtFrame="_blank" w:history="1">
        <w:r w:rsidR="006A3D8B" w:rsidRPr="00C96BAD">
          <w:rPr>
            <w:color w:val="000000" w:themeColor="text1"/>
            <w:u w:val="single"/>
          </w:rPr>
          <w:t>G.S. 115C-157.1</w:t>
        </w:r>
      </w:hyperlink>
      <w:r w:rsidR="006A3D8B" w:rsidRPr="00C96BAD">
        <w:rPr>
          <w:color w:val="000000" w:themeColor="text1"/>
        </w:rPr>
        <w:t>.</w:t>
      </w:r>
    </w:p>
    <w:p w14:paraId="763B1359" w14:textId="5362234F" w:rsidR="006A3D8B" w:rsidRPr="00C96BAD" w:rsidRDefault="006A3D8B" w:rsidP="006A3D8B">
      <w:pPr>
        <w:ind w:left="1440"/>
        <w:rPr>
          <w:color w:val="000000" w:themeColor="text1"/>
        </w:rPr>
      </w:pPr>
    </w:p>
    <w:p w14:paraId="4BC52D4B" w14:textId="212169B9" w:rsidR="006A3D8B" w:rsidRPr="00C96BAD" w:rsidRDefault="006A3D8B" w:rsidP="006A3D8B">
      <w:pPr>
        <w:pStyle w:val="NormalWeb"/>
        <w:numPr>
          <w:ilvl w:val="0"/>
          <w:numId w:val="9"/>
        </w:numPr>
        <w:ind w:left="1440" w:hanging="630"/>
        <w:rPr>
          <w:color w:val="000000" w:themeColor="text1"/>
        </w:rPr>
      </w:pPr>
      <w:r w:rsidRPr="00C96BAD">
        <w:rPr>
          <w:color w:val="000000" w:themeColor="text1"/>
        </w:rPr>
        <w:t>Adjunct Instructors in Core Academic Subjects, Fine and Performing Arts, and Foreign Languages8</w:t>
      </w:r>
    </w:p>
    <w:p w14:paraId="666762E6" w14:textId="77777777" w:rsidR="006A3D8B" w:rsidRPr="00C96BAD" w:rsidRDefault="006A3D8B" w:rsidP="006A3D8B">
      <w:pPr>
        <w:pStyle w:val="NormalWeb"/>
        <w:ind w:left="1440"/>
        <w:rPr>
          <w:color w:val="000000" w:themeColor="text1"/>
        </w:rPr>
      </w:pPr>
      <w:r w:rsidRPr="00C96BAD">
        <w:rPr>
          <w:color w:val="000000" w:themeColor="text1"/>
        </w:rPr>
        <w:t xml:space="preserve">In accordance with </w:t>
      </w:r>
      <w:hyperlink r:id="rId11" w:tgtFrame="_blank" w:history="1">
        <w:r w:rsidRPr="00C96BAD">
          <w:rPr>
            <w:rStyle w:val="Hyperlink"/>
            <w:color w:val="000000" w:themeColor="text1"/>
          </w:rPr>
          <w:t>G.S. 115C-298.5</w:t>
        </w:r>
      </w:hyperlink>
      <w:r w:rsidRPr="00C96BAD">
        <w:rPr>
          <w:color w:val="000000" w:themeColor="text1"/>
        </w:rPr>
        <w:t xml:space="preserve">, an unlicensed faculty member of a higher education institution who meets the adjunct hiring criteria established by the State </w:t>
      </w:r>
      <w:r w:rsidRPr="00C96BAD">
        <w:rPr>
          <w:color w:val="000000" w:themeColor="text1"/>
        </w:rPr>
        <w:lastRenderedPageBreak/>
        <w:t>Board of Education may be employed as a temporary adjunct instructor for specific core academic subjects, fine and performing arts, and foreign language courses in grades kindergarten through twelve provided the individual first completes preservice training and meets all other statutory and State Board of Education requirements.</w:t>
      </w:r>
    </w:p>
    <w:p w14:paraId="2749EFE4" w14:textId="77777777" w:rsidR="006A3D8B" w:rsidRPr="00C96BAD" w:rsidRDefault="006A3D8B" w:rsidP="006A3D8B">
      <w:pPr>
        <w:pStyle w:val="NormalWeb"/>
        <w:ind w:left="1440"/>
        <w:rPr>
          <w:color w:val="000000" w:themeColor="text1"/>
        </w:rPr>
      </w:pPr>
      <w:r w:rsidRPr="00C96BAD">
        <w:rPr>
          <w:color w:val="000000" w:themeColor="text1"/>
        </w:rPr>
        <w:t xml:space="preserve">In addition, an individual with a related bachelor’s or graduate degree may be employed as a temporary adjunct instructor to teach high-school level courses in core academic subjects, fine and performing arts, and foreign language in the individual’s area of specialized knowledge or work experience provided the individual first completes preservice training required under </w:t>
      </w:r>
      <w:hyperlink r:id="rId12" w:tgtFrame="_blank" w:history="1">
        <w:r w:rsidRPr="00C96BAD">
          <w:rPr>
            <w:rStyle w:val="Hyperlink"/>
            <w:color w:val="000000" w:themeColor="text1"/>
          </w:rPr>
          <w:t>G.S. 115C-298.5</w:t>
        </w:r>
      </w:hyperlink>
      <w:r w:rsidRPr="00C96BAD">
        <w:rPr>
          <w:color w:val="000000" w:themeColor="text1"/>
        </w:rPr>
        <w:t>(a1).</w:t>
      </w:r>
    </w:p>
    <w:p w14:paraId="5A84CB9A" w14:textId="1F7DF035" w:rsidR="006A3D8B" w:rsidRPr="00C96BAD" w:rsidRDefault="006A3D8B" w:rsidP="006A3D8B">
      <w:pPr>
        <w:pStyle w:val="NormalWeb"/>
        <w:numPr>
          <w:ilvl w:val="0"/>
          <w:numId w:val="9"/>
        </w:numPr>
        <w:ind w:left="1440" w:hanging="630"/>
        <w:rPr>
          <w:color w:val="000000" w:themeColor="text1"/>
        </w:rPr>
      </w:pPr>
      <w:r w:rsidRPr="00C96BAD">
        <w:rPr>
          <w:color w:val="000000" w:themeColor="text1"/>
        </w:rPr>
        <w:t>Interim Principals</w:t>
      </w:r>
    </w:p>
    <w:p w14:paraId="3383C19E" w14:textId="49EEE6D0" w:rsidR="006A3D8B" w:rsidRPr="00C96BAD" w:rsidRDefault="006A3D8B" w:rsidP="006A3D8B">
      <w:pPr>
        <w:pStyle w:val="NormalWeb"/>
        <w:ind w:left="1440"/>
        <w:rPr>
          <w:color w:val="000000" w:themeColor="text1"/>
        </w:rPr>
      </w:pPr>
      <w:r w:rsidRPr="00C96BAD">
        <w:rPr>
          <w:color w:val="000000" w:themeColor="text1"/>
        </w:rPr>
        <w:t>A retired former principal or assistant principal may be employed as an interim principal for the remainder of any school year, regardless of licensure status.</w:t>
      </w:r>
    </w:p>
    <w:p w14:paraId="60A788BD" w14:textId="00D6C344" w:rsidR="006A3D8B" w:rsidRPr="00C96BAD" w:rsidRDefault="006A3D8B" w:rsidP="006A3D8B">
      <w:pPr>
        <w:pStyle w:val="NormalWeb"/>
        <w:numPr>
          <w:ilvl w:val="0"/>
          <w:numId w:val="9"/>
        </w:numPr>
        <w:ind w:left="1440" w:hanging="630"/>
        <w:rPr>
          <w:color w:val="000000" w:themeColor="text1"/>
        </w:rPr>
      </w:pPr>
      <w:r w:rsidRPr="00C96BAD">
        <w:rPr>
          <w:color w:val="000000" w:themeColor="text1"/>
        </w:rPr>
        <w:t>Cherokee Language and Culture Instructors</w:t>
      </w:r>
    </w:p>
    <w:p w14:paraId="1635994C" w14:textId="08023610" w:rsidR="006A3D8B" w:rsidRPr="00C96BAD" w:rsidRDefault="006A3D8B" w:rsidP="006A3D8B">
      <w:pPr>
        <w:pStyle w:val="NormalWeb"/>
        <w:ind w:left="1440"/>
        <w:rPr>
          <w:color w:val="000000" w:themeColor="text1"/>
        </w:rPr>
      </w:pPr>
      <w:r w:rsidRPr="00C96BAD">
        <w:rPr>
          <w:color w:val="000000" w:themeColor="text1"/>
        </w:rPr>
        <w:t xml:space="preserve">An individual approved to teach in accordance with an MOU entered into pursuant to </w:t>
      </w:r>
      <w:hyperlink r:id="rId13" w:tgtFrame="_blank" w:history="1">
        <w:r w:rsidRPr="00C96BAD">
          <w:rPr>
            <w:rStyle w:val="Hyperlink"/>
            <w:color w:val="000000" w:themeColor="text1"/>
          </w:rPr>
          <w:t>G.S. 115C-270.21</w:t>
        </w:r>
      </w:hyperlink>
      <w:r w:rsidRPr="00C96BAD">
        <w:rPr>
          <w:color w:val="000000" w:themeColor="text1"/>
        </w:rPr>
        <w:t>10 will be authorized to teach Cherokee language and culture classes without a license.</w:t>
      </w:r>
    </w:p>
    <w:p w14:paraId="2146BBE6" w14:textId="5C020B3A" w:rsidR="006A3D8B" w:rsidRPr="00C96BAD" w:rsidRDefault="006A3D8B" w:rsidP="006A3D8B">
      <w:pPr>
        <w:pStyle w:val="NormalWeb"/>
        <w:numPr>
          <w:ilvl w:val="0"/>
          <w:numId w:val="9"/>
        </w:numPr>
        <w:ind w:left="1440" w:hanging="630"/>
        <w:rPr>
          <w:color w:val="000000" w:themeColor="text1"/>
        </w:rPr>
      </w:pPr>
      <w:r w:rsidRPr="00C96BAD">
        <w:rPr>
          <w:color w:val="000000" w:themeColor="text1"/>
        </w:rPr>
        <w:t>Driver Education Instructors</w:t>
      </w:r>
    </w:p>
    <w:p w14:paraId="5AD601D9" w14:textId="334E4F4E" w:rsidR="00007776" w:rsidRPr="00C96BAD" w:rsidRDefault="006A3D8B" w:rsidP="006A3D8B">
      <w:pPr>
        <w:pStyle w:val="NormalWeb"/>
        <w:ind w:left="1440"/>
        <w:rPr>
          <w:color w:val="000000" w:themeColor="text1"/>
        </w:rPr>
      </w:pPr>
      <w:r w:rsidRPr="00C96BAD">
        <w:rPr>
          <w:color w:val="000000" w:themeColor="text1"/>
        </w:rPr>
        <w:t xml:space="preserve">An individual, who is not licensed in driver education, is authorized to work as a driver education instructor if the individual holds Certified Driver Training Instructor status according to minimum standards established by State Board of Education policy </w:t>
      </w:r>
      <w:hyperlink r:id="rId14" w:tgtFrame="_blank" w:history="1">
        <w:r w:rsidRPr="00C96BAD">
          <w:rPr>
            <w:rStyle w:val="Hyperlink"/>
            <w:color w:val="000000" w:themeColor="text1"/>
          </w:rPr>
          <w:t>DRIV-003</w:t>
        </w:r>
      </w:hyperlink>
      <w:r w:rsidRPr="00C96BAD">
        <w:rPr>
          <w:color w:val="000000" w:themeColor="text1"/>
        </w:rPr>
        <w:t>.</w:t>
      </w:r>
    </w:p>
    <w:p w14:paraId="5F11BDC4" w14:textId="77777777" w:rsidR="00DD6043" w:rsidRPr="00C96BAD" w:rsidRDefault="00DD6043" w:rsidP="00162D76">
      <w:pPr>
        <w:pStyle w:val="ListParagraph"/>
        <w:numPr>
          <w:ilvl w:val="0"/>
          <w:numId w:val="5"/>
        </w:numPr>
        <w:tabs>
          <w:tab w:val="left" w:pos="-1440"/>
        </w:tabs>
        <w:ind w:hanging="720"/>
        <w:jc w:val="both"/>
        <w:rPr>
          <w:b/>
          <w:smallCaps/>
          <w:color w:val="000000" w:themeColor="text1"/>
          <w:szCs w:val="24"/>
        </w:rPr>
      </w:pPr>
      <w:r w:rsidRPr="00C96BAD">
        <w:rPr>
          <w:b/>
          <w:smallCaps/>
          <w:color w:val="000000" w:themeColor="text1"/>
          <w:szCs w:val="24"/>
        </w:rPr>
        <w:t>Beginning Teacher Support</w:t>
      </w:r>
      <w:r w:rsidR="00C451B9" w:rsidRPr="00C96BAD">
        <w:rPr>
          <w:b/>
          <w:smallCaps/>
          <w:color w:val="000000" w:themeColor="text1"/>
          <w:szCs w:val="24"/>
        </w:rPr>
        <w:t xml:space="preserve"> Program</w:t>
      </w:r>
    </w:p>
    <w:p w14:paraId="46AA0389" w14:textId="77777777" w:rsidR="00DD6043" w:rsidRPr="00C96BAD" w:rsidRDefault="00DD6043" w:rsidP="00DD6043">
      <w:pPr>
        <w:tabs>
          <w:tab w:val="left" w:pos="-1440"/>
        </w:tabs>
        <w:jc w:val="both"/>
        <w:rPr>
          <w:color w:val="000000" w:themeColor="text1"/>
        </w:rPr>
      </w:pPr>
    </w:p>
    <w:p w14:paraId="035677DD" w14:textId="43DAC26F" w:rsidR="00DD6043" w:rsidRPr="00C96BAD" w:rsidRDefault="00DD6043" w:rsidP="00DD6043">
      <w:pPr>
        <w:tabs>
          <w:tab w:val="left" w:pos="-1440"/>
        </w:tabs>
        <w:ind w:left="720"/>
        <w:jc w:val="both"/>
        <w:rPr>
          <w:color w:val="000000" w:themeColor="text1"/>
        </w:rPr>
      </w:pPr>
      <w:r w:rsidRPr="00C96BAD">
        <w:rPr>
          <w:color w:val="000000" w:themeColor="text1"/>
        </w:rPr>
        <w:t xml:space="preserve">The </w:t>
      </w:r>
      <w:r w:rsidR="006A3D8B" w:rsidRPr="00C96BAD">
        <w:rPr>
          <w:color w:val="000000" w:themeColor="text1"/>
        </w:rPr>
        <w:t xml:space="preserve">executive director </w:t>
      </w:r>
      <w:r w:rsidRPr="00C96BAD">
        <w:rPr>
          <w:color w:val="000000" w:themeColor="text1"/>
        </w:rPr>
        <w:t xml:space="preserve">or designee </w:t>
      </w:r>
      <w:r w:rsidR="00856AEC" w:rsidRPr="00C96BAD">
        <w:rPr>
          <w:color w:val="000000" w:themeColor="text1"/>
        </w:rPr>
        <w:t>shall</w:t>
      </w:r>
      <w:r w:rsidR="003F0782" w:rsidRPr="00C96BAD">
        <w:rPr>
          <w:color w:val="000000" w:themeColor="text1"/>
        </w:rPr>
        <w:t xml:space="preserve"> </w:t>
      </w:r>
      <w:r w:rsidRPr="00C96BAD">
        <w:rPr>
          <w:color w:val="000000" w:themeColor="text1"/>
        </w:rPr>
        <w:t xml:space="preserve">develop a plan and a comprehensive program for beginning teacher support. </w:t>
      </w:r>
      <w:r w:rsidR="00FE1731" w:rsidRPr="00C96BAD">
        <w:rPr>
          <w:color w:val="000000" w:themeColor="text1"/>
        </w:rPr>
        <w:t xml:space="preserve"> </w:t>
      </w:r>
      <w:r w:rsidRPr="00C96BAD">
        <w:rPr>
          <w:color w:val="000000" w:themeColor="text1"/>
        </w:rPr>
        <w:t xml:space="preserve">The plan must be approved by the board and kept on file for review. </w:t>
      </w:r>
      <w:r w:rsidR="00FE1731" w:rsidRPr="00C96BAD">
        <w:rPr>
          <w:color w:val="000000" w:themeColor="text1"/>
        </w:rPr>
        <w:t xml:space="preserve"> </w:t>
      </w:r>
      <w:r w:rsidRPr="00C96BAD">
        <w:rPr>
          <w:color w:val="000000" w:themeColor="text1"/>
        </w:rPr>
        <w:t xml:space="preserve">The </w:t>
      </w:r>
      <w:r w:rsidR="006A3D8B" w:rsidRPr="00C96BAD">
        <w:rPr>
          <w:color w:val="000000" w:themeColor="text1"/>
        </w:rPr>
        <w:t>executive director</w:t>
      </w:r>
      <w:r w:rsidR="005D554F" w:rsidRPr="00C96BAD">
        <w:rPr>
          <w:color w:val="000000" w:themeColor="text1"/>
        </w:rPr>
        <w:t xml:space="preserve"> </w:t>
      </w:r>
      <w:r w:rsidRPr="00C96BAD">
        <w:rPr>
          <w:color w:val="000000" w:themeColor="text1"/>
        </w:rPr>
        <w:t xml:space="preserve">or designee </w:t>
      </w:r>
      <w:r w:rsidR="00856AEC" w:rsidRPr="00C96BAD">
        <w:rPr>
          <w:color w:val="000000" w:themeColor="text1"/>
        </w:rPr>
        <w:t xml:space="preserve">shall </w:t>
      </w:r>
      <w:r w:rsidRPr="00C96BAD">
        <w:rPr>
          <w:color w:val="000000" w:themeColor="text1"/>
        </w:rPr>
        <w:t>submit an annual report on the Beginning Teacher Support Program to the Department of Public Instruction (DPI) by October 1 of each year.</w:t>
      </w:r>
      <w:r w:rsidR="00572426" w:rsidRPr="00C96BAD">
        <w:rPr>
          <w:color w:val="000000" w:themeColor="text1"/>
        </w:rPr>
        <w:t xml:space="preserve">  The report must include evidence of demonstrated proficiency on the Beginning Teachers Support </w:t>
      </w:r>
      <w:r w:rsidR="00903AFC" w:rsidRPr="00C96BAD">
        <w:rPr>
          <w:color w:val="000000" w:themeColor="text1"/>
        </w:rPr>
        <w:t xml:space="preserve">Program </w:t>
      </w:r>
      <w:r w:rsidR="00572426" w:rsidRPr="00C96BAD">
        <w:rPr>
          <w:color w:val="000000" w:themeColor="text1"/>
        </w:rPr>
        <w:t xml:space="preserve">Standards and </w:t>
      </w:r>
      <w:r w:rsidR="00285D76" w:rsidRPr="00C96BAD">
        <w:rPr>
          <w:color w:val="000000" w:themeColor="text1"/>
        </w:rPr>
        <w:t xml:space="preserve">evidence </w:t>
      </w:r>
      <w:r w:rsidR="00572426" w:rsidRPr="00C96BAD">
        <w:rPr>
          <w:color w:val="000000" w:themeColor="text1"/>
        </w:rPr>
        <w:t xml:space="preserve">of mentor success in meeting Mentor Standards.  </w:t>
      </w:r>
      <w:r w:rsidR="005617DD" w:rsidRPr="00C96BAD">
        <w:rPr>
          <w:color w:val="000000" w:themeColor="text1"/>
        </w:rPr>
        <w:t>NERSBA</w:t>
      </w:r>
      <w:r w:rsidR="00572426" w:rsidRPr="00C96BAD">
        <w:rPr>
          <w:color w:val="000000" w:themeColor="text1"/>
        </w:rPr>
        <w:t xml:space="preserve"> will also participate in implementing a </w:t>
      </w:r>
      <w:proofErr w:type="gramStart"/>
      <w:r w:rsidR="00572426" w:rsidRPr="00C96BAD">
        <w:rPr>
          <w:color w:val="000000" w:themeColor="text1"/>
        </w:rPr>
        <w:t>regionally-based</w:t>
      </w:r>
      <w:proofErr w:type="gramEnd"/>
      <w:r w:rsidR="00572426" w:rsidRPr="00C96BAD">
        <w:rPr>
          <w:color w:val="000000" w:themeColor="text1"/>
        </w:rPr>
        <w:t xml:space="preserve"> annual peer review and support system.</w:t>
      </w:r>
    </w:p>
    <w:p w14:paraId="50D326FA" w14:textId="77777777" w:rsidR="00691163" w:rsidRPr="00C96BAD" w:rsidRDefault="00691163" w:rsidP="00DD6043">
      <w:pPr>
        <w:tabs>
          <w:tab w:val="left" w:pos="-1440"/>
        </w:tabs>
        <w:ind w:left="720"/>
        <w:jc w:val="both"/>
        <w:rPr>
          <w:color w:val="000000" w:themeColor="text1"/>
        </w:rPr>
      </w:pPr>
    </w:p>
    <w:p w14:paraId="4F8B33B7" w14:textId="6589EF04" w:rsidR="00691163" w:rsidRPr="00C96BAD" w:rsidRDefault="00791E91" w:rsidP="00DD6043">
      <w:pPr>
        <w:tabs>
          <w:tab w:val="left" w:pos="-1440"/>
        </w:tabs>
        <w:ind w:left="720"/>
        <w:jc w:val="both"/>
        <w:rPr>
          <w:color w:val="000000" w:themeColor="text1"/>
        </w:rPr>
      </w:pPr>
      <w:r w:rsidRPr="00C96BAD">
        <w:rPr>
          <w:color w:val="000000" w:themeColor="text1"/>
        </w:rPr>
        <w:t xml:space="preserve">Teachers </w:t>
      </w:r>
      <w:r w:rsidR="00691163" w:rsidRPr="00C96BAD">
        <w:rPr>
          <w:color w:val="000000" w:themeColor="text1"/>
        </w:rPr>
        <w:t xml:space="preserve">with fewer than three years of teaching experience </w:t>
      </w:r>
      <w:r w:rsidR="00CB3BC2" w:rsidRPr="00C96BAD">
        <w:rPr>
          <w:color w:val="000000" w:themeColor="text1"/>
        </w:rPr>
        <w:t>will</w:t>
      </w:r>
      <w:r w:rsidR="00691163" w:rsidRPr="00C96BAD">
        <w:rPr>
          <w:color w:val="000000" w:themeColor="text1"/>
        </w:rPr>
        <w:t xml:space="preserve"> be required to participate in the Beginning Teacher Support Program.</w:t>
      </w:r>
    </w:p>
    <w:p w14:paraId="27410BA4" w14:textId="77777777" w:rsidR="00DD6043" w:rsidRPr="00C96BAD" w:rsidRDefault="00DD6043" w:rsidP="00305CE7">
      <w:pPr>
        <w:tabs>
          <w:tab w:val="left" w:pos="-1440"/>
        </w:tabs>
        <w:ind w:left="720"/>
        <w:jc w:val="both"/>
        <w:rPr>
          <w:color w:val="000000" w:themeColor="text1"/>
        </w:rPr>
      </w:pPr>
    </w:p>
    <w:p w14:paraId="05684875" w14:textId="77777777" w:rsidR="00E01D62" w:rsidRPr="00C96BAD" w:rsidRDefault="00E01D62" w:rsidP="00162D76">
      <w:pPr>
        <w:pStyle w:val="ListParagraph"/>
        <w:numPr>
          <w:ilvl w:val="0"/>
          <w:numId w:val="5"/>
        </w:numPr>
        <w:tabs>
          <w:tab w:val="left" w:pos="-1440"/>
        </w:tabs>
        <w:ind w:hanging="720"/>
        <w:jc w:val="both"/>
        <w:rPr>
          <w:b/>
          <w:smallCaps/>
          <w:color w:val="000000" w:themeColor="text1"/>
          <w:szCs w:val="24"/>
        </w:rPr>
      </w:pPr>
      <w:r w:rsidRPr="00C96BAD">
        <w:rPr>
          <w:b/>
          <w:smallCaps/>
          <w:color w:val="000000" w:themeColor="text1"/>
          <w:szCs w:val="24"/>
        </w:rPr>
        <w:t xml:space="preserve">License Conversion  </w:t>
      </w:r>
    </w:p>
    <w:p w14:paraId="2AA374F9" w14:textId="77777777" w:rsidR="00E01D62" w:rsidRPr="00C96BAD" w:rsidRDefault="00E01D62" w:rsidP="00E01D62">
      <w:pPr>
        <w:tabs>
          <w:tab w:val="left" w:pos="-1440"/>
        </w:tabs>
        <w:ind w:left="720"/>
        <w:jc w:val="both"/>
        <w:rPr>
          <w:color w:val="000000" w:themeColor="text1"/>
        </w:rPr>
      </w:pPr>
    </w:p>
    <w:p w14:paraId="5BCB44B4" w14:textId="6D9CDB28" w:rsidR="00E01D62" w:rsidRPr="00C96BAD" w:rsidRDefault="0004488B" w:rsidP="0004488B">
      <w:pPr>
        <w:widowControl w:val="0"/>
        <w:tabs>
          <w:tab w:val="left" w:pos="-1440"/>
        </w:tabs>
        <w:ind w:left="720"/>
        <w:jc w:val="both"/>
        <w:rPr>
          <w:snapToGrid w:val="0"/>
          <w:color w:val="000000" w:themeColor="text1"/>
        </w:rPr>
      </w:pPr>
      <w:r w:rsidRPr="00C96BAD">
        <w:rPr>
          <w:snapToGrid w:val="0"/>
          <w:color w:val="000000" w:themeColor="text1"/>
        </w:rPr>
        <w:lastRenderedPageBreak/>
        <w:t xml:space="preserve">Teachers must meet all requirements of the State Board of Education in order to move from an initial professional license or residency license to a continuing professional license. </w:t>
      </w:r>
      <w:r w:rsidR="00E01D62" w:rsidRPr="00C96BAD">
        <w:rPr>
          <w:color w:val="000000" w:themeColor="text1"/>
        </w:rPr>
        <w:t>Licensing is a state decision and cannot be appealed at the local level.  The</w:t>
      </w:r>
      <w:r w:rsidR="006A3D8B" w:rsidRPr="00C96BAD">
        <w:rPr>
          <w:color w:val="000000" w:themeColor="text1"/>
        </w:rPr>
        <w:t xml:space="preserve"> executive director</w:t>
      </w:r>
      <w:r w:rsidR="009C6D9D" w:rsidRPr="00C96BAD">
        <w:rPr>
          <w:color w:val="000000" w:themeColor="text1"/>
        </w:rPr>
        <w:t xml:space="preserve"> </w:t>
      </w:r>
      <w:r w:rsidR="00E01D62" w:rsidRPr="00C96BAD">
        <w:rPr>
          <w:color w:val="000000" w:themeColor="text1"/>
        </w:rPr>
        <w:t xml:space="preserve">or designee shall ensure that teachers not qualifying for continuing licensure are informed of the process for appealing the state decision. </w:t>
      </w:r>
    </w:p>
    <w:p w14:paraId="20179BD6" w14:textId="77777777" w:rsidR="00E01D62" w:rsidRPr="00C96BAD" w:rsidRDefault="00E01D62" w:rsidP="00E01D62">
      <w:pPr>
        <w:tabs>
          <w:tab w:val="left" w:pos="-1440"/>
        </w:tabs>
        <w:ind w:left="720"/>
        <w:jc w:val="both"/>
        <w:rPr>
          <w:smallCaps/>
          <w:color w:val="000000" w:themeColor="text1"/>
        </w:rPr>
      </w:pPr>
    </w:p>
    <w:p w14:paraId="44C2308A" w14:textId="77777777" w:rsidR="00A21DB6" w:rsidRPr="00C96BAD" w:rsidRDefault="00A21DB6" w:rsidP="00162D76">
      <w:pPr>
        <w:pStyle w:val="ListParagraph"/>
        <w:numPr>
          <w:ilvl w:val="0"/>
          <w:numId w:val="5"/>
        </w:numPr>
        <w:tabs>
          <w:tab w:val="left" w:pos="-1440"/>
        </w:tabs>
        <w:ind w:hanging="720"/>
        <w:jc w:val="both"/>
        <w:rPr>
          <w:b/>
          <w:smallCaps/>
          <w:color w:val="000000" w:themeColor="text1"/>
          <w:szCs w:val="24"/>
        </w:rPr>
      </w:pPr>
      <w:r w:rsidRPr="00C96BAD">
        <w:rPr>
          <w:b/>
          <w:smallCaps/>
          <w:color w:val="000000" w:themeColor="text1"/>
          <w:szCs w:val="24"/>
        </w:rPr>
        <w:t>License Renewal</w:t>
      </w:r>
    </w:p>
    <w:p w14:paraId="68CD0921" w14:textId="77777777" w:rsidR="00A21DB6" w:rsidRPr="00C96BAD" w:rsidRDefault="00A21DB6" w:rsidP="00162D76">
      <w:pPr>
        <w:pStyle w:val="ListParagraph"/>
        <w:tabs>
          <w:tab w:val="left" w:pos="-1440"/>
        </w:tabs>
        <w:jc w:val="both"/>
        <w:rPr>
          <w:color w:val="000000" w:themeColor="text1"/>
        </w:rPr>
      </w:pPr>
    </w:p>
    <w:p w14:paraId="1CE41F84" w14:textId="156DF033" w:rsidR="00A21DB6" w:rsidRPr="00C96BAD" w:rsidRDefault="00A21DB6" w:rsidP="00A21DB6">
      <w:pPr>
        <w:tabs>
          <w:tab w:val="left" w:pos="-1440"/>
        </w:tabs>
        <w:ind w:left="720"/>
        <w:jc w:val="both"/>
        <w:rPr>
          <w:color w:val="000000" w:themeColor="text1"/>
        </w:rPr>
      </w:pPr>
      <w:r w:rsidRPr="00C96BAD">
        <w:rPr>
          <w:color w:val="000000" w:themeColor="text1"/>
        </w:rPr>
        <w:t xml:space="preserve">Licensure renewal is the responsibility of the individual, not of </w:t>
      </w:r>
      <w:r w:rsidR="005617DD" w:rsidRPr="00C96BAD">
        <w:rPr>
          <w:color w:val="000000" w:themeColor="text1"/>
        </w:rPr>
        <w:t>NERSBA</w:t>
      </w:r>
      <w:r w:rsidRPr="00C96BAD">
        <w:rPr>
          <w:color w:val="000000" w:themeColor="text1"/>
        </w:rPr>
        <w:t xml:space="preserve">. </w:t>
      </w:r>
      <w:r w:rsidR="0052469E" w:rsidRPr="00C96BAD">
        <w:rPr>
          <w:color w:val="000000" w:themeColor="text1"/>
        </w:rPr>
        <w:t xml:space="preserve"> </w:t>
      </w:r>
      <w:r w:rsidRPr="00C96BAD">
        <w:rPr>
          <w:color w:val="000000" w:themeColor="text1"/>
        </w:rPr>
        <w:t xml:space="preserve">Any employee </w:t>
      </w:r>
      <w:r w:rsidR="00FE1731" w:rsidRPr="00C96BAD">
        <w:rPr>
          <w:color w:val="000000" w:themeColor="text1"/>
        </w:rPr>
        <w:t xml:space="preserve">who allows </w:t>
      </w:r>
      <w:r w:rsidRPr="00C96BAD">
        <w:rPr>
          <w:color w:val="000000" w:themeColor="text1"/>
        </w:rPr>
        <w:t xml:space="preserve">a license to expire must have it reinstated prior to the beginning of the next school year. </w:t>
      </w:r>
      <w:r w:rsidR="0052469E" w:rsidRPr="00C96BAD">
        <w:rPr>
          <w:color w:val="000000" w:themeColor="text1"/>
        </w:rPr>
        <w:t xml:space="preserve"> </w:t>
      </w:r>
      <w:r w:rsidR="00171005" w:rsidRPr="00C96BAD">
        <w:rPr>
          <w:color w:val="000000" w:themeColor="text1"/>
        </w:rPr>
        <w:t xml:space="preserve">A teacher whose license has expired is subject to </w:t>
      </w:r>
      <w:r w:rsidRPr="00C96BAD">
        <w:rPr>
          <w:color w:val="000000" w:themeColor="text1"/>
        </w:rPr>
        <w:t>dismissal.</w:t>
      </w:r>
    </w:p>
    <w:p w14:paraId="7699CD56" w14:textId="77777777" w:rsidR="00A21DB6" w:rsidRPr="00C96BAD" w:rsidRDefault="00A21DB6" w:rsidP="00A21DB6">
      <w:pPr>
        <w:tabs>
          <w:tab w:val="left" w:pos="-1440"/>
        </w:tabs>
        <w:ind w:left="720"/>
        <w:jc w:val="both"/>
        <w:rPr>
          <w:color w:val="000000" w:themeColor="text1"/>
        </w:rPr>
      </w:pPr>
    </w:p>
    <w:p w14:paraId="056759E7" w14:textId="269ED3C8" w:rsidR="00A21DB6" w:rsidRPr="00C96BAD" w:rsidRDefault="005617DD" w:rsidP="00A21DB6">
      <w:pPr>
        <w:tabs>
          <w:tab w:val="left" w:pos="-1440"/>
        </w:tabs>
        <w:ind w:left="720"/>
        <w:jc w:val="both"/>
        <w:rPr>
          <w:color w:val="000000" w:themeColor="text1"/>
        </w:rPr>
      </w:pPr>
      <w:r w:rsidRPr="00C96BAD">
        <w:rPr>
          <w:color w:val="000000" w:themeColor="text1"/>
        </w:rPr>
        <w:t>NERSBA</w:t>
      </w:r>
      <w:r w:rsidR="00AF71F5" w:rsidRPr="00C96BAD">
        <w:rPr>
          <w:color w:val="000000" w:themeColor="text1"/>
        </w:rPr>
        <w:t xml:space="preserve"> </w:t>
      </w:r>
      <w:r w:rsidR="00A21DB6" w:rsidRPr="00C96BAD">
        <w:rPr>
          <w:color w:val="000000" w:themeColor="text1"/>
        </w:rPr>
        <w:t>may offer courses, workshops</w:t>
      </w:r>
      <w:r w:rsidR="00844F3A" w:rsidRPr="00C96BAD">
        <w:rPr>
          <w:color w:val="000000" w:themeColor="text1"/>
        </w:rPr>
        <w:t>,</w:t>
      </w:r>
      <w:r w:rsidR="00A21DB6" w:rsidRPr="00C96BAD">
        <w:rPr>
          <w:color w:val="000000" w:themeColor="text1"/>
        </w:rPr>
        <w:t xml:space="preserve"> and independent study activities to help </w:t>
      </w:r>
      <w:r w:rsidRPr="00C96BAD">
        <w:rPr>
          <w:color w:val="000000" w:themeColor="text1"/>
        </w:rPr>
        <w:t xml:space="preserve">NERSBA </w:t>
      </w:r>
      <w:r w:rsidR="00A21DB6" w:rsidRPr="00C96BAD">
        <w:rPr>
          <w:color w:val="000000" w:themeColor="text1"/>
        </w:rPr>
        <w:t xml:space="preserve">personnel meet license renewal requirements. </w:t>
      </w:r>
      <w:r w:rsidR="00FE1731" w:rsidRPr="00C96BAD">
        <w:rPr>
          <w:color w:val="000000" w:themeColor="text1"/>
        </w:rPr>
        <w:t xml:space="preserve"> </w:t>
      </w:r>
      <w:r w:rsidR="00A21DB6" w:rsidRPr="00C96BAD">
        <w:rPr>
          <w:color w:val="000000" w:themeColor="text1"/>
        </w:rPr>
        <w:t xml:space="preserve">Any renewal activity offered </w:t>
      </w:r>
      <w:r w:rsidR="004439C0" w:rsidRPr="00C96BAD">
        <w:rPr>
          <w:color w:val="000000" w:themeColor="text1"/>
        </w:rPr>
        <w:t xml:space="preserve">must </w:t>
      </w:r>
      <w:r w:rsidR="00A21DB6" w:rsidRPr="00C96BAD">
        <w:rPr>
          <w:color w:val="000000" w:themeColor="text1"/>
        </w:rPr>
        <w:t xml:space="preserve">be consistent with </w:t>
      </w:r>
      <w:r w:rsidR="00012263" w:rsidRPr="00C96BAD">
        <w:rPr>
          <w:color w:val="000000" w:themeColor="text1"/>
        </w:rPr>
        <w:t xml:space="preserve">State Board of Education </w:t>
      </w:r>
      <w:r w:rsidR="00A21DB6" w:rsidRPr="00C96BAD">
        <w:rPr>
          <w:color w:val="000000" w:themeColor="text1"/>
        </w:rPr>
        <w:t xml:space="preserve">policy. </w:t>
      </w:r>
      <w:r w:rsidR="00FE1731" w:rsidRPr="00C96BAD">
        <w:rPr>
          <w:color w:val="000000" w:themeColor="text1"/>
        </w:rPr>
        <w:t xml:space="preserve"> </w:t>
      </w:r>
      <w:r w:rsidR="00A21DB6" w:rsidRPr="00C96BAD">
        <w:rPr>
          <w:color w:val="000000" w:themeColor="text1"/>
        </w:rPr>
        <w:t xml:space="preserve">In addition, the </w:t>
      </w:r>
      <w:r w:rsidR="006A3D8B" w:rsidRPr="00C96BAD">
        <w:rPr>
          <w:color w:val="000000" w:themeColor="text1"/>
        </w:rPr>
        <w:t>executive director</w:t>
      </w:r>
      <w:r w:rsidR="009C6D9D" w:rsidRPr="00C96BAD">
        <w:rPr>
          <w:color w:val="000000" w:themeColor="text1"/>
        </w:rPr>
        <w:t xml:space="preserve"> </w:t>
      </w:r>
      <w:r w:rsidR="00A21DB6" w:rsidRPr="00C96BAD">
        <w:rPr>
          <w:color w:val="000000" w:themeColor="text1"/>
        </w:rPr>
        <w:t xml:space="preserve">or designee </w:t>
      </w:r>
      <w:r w:rsidR="00856AEC" w:rsidRPr="00C96BAD">
        <w:rPr>
          <w:color w:val="000000" w:themeColor="text1"/>
        </w:rPr>
        <w:t xml:space="preserve">shall </w:t>
      </w:r>
      <w:r w:rsidR="00A21DB6" w:rsidRPr="00C96BAD">
        <w:rPr>
          <w:color w:val="000000" w:themeColor="text1"/>
        </w:rPr>
        <w:t>develop a procedure to determine the appropriateness of any credit offered in advance of renewal activities.</w:t>
      </w:r>
    </w:p>
    <w:p w14:paraId="246BFE94" w14:textId="77777777" w:rsidR="00691163" w:rsidRPr="00C96BAD" w:rsidRDefault="00691163" w:rsidP="00A21DB6">
      <w:pPr>
        <w:tabs>
          <w:tab w:val="left" w:pos="-1440"/>
        </w:tabs>
        <w:ind w:left="720"/>
        <w:jc w:val="both"/>
        <w:rPr>
          <w:color w:val="000000" w:themeColor="text1"/>
        </w:rPr>
      </w:pPr>
    </w:p>
    <w:p w14:paraId="5E123D92" w14:textId="017525F5" w:rsidR="00691163" w:rsidRPr="00C96BAD" w:rsidRDefault="00691163" w:rsidP="00A21DB6">
      <w:pPr>
        <w:tabs>
          <w:tab w:val="left" w:pos="-1440"/>
        </w:tabs>
        <w:ind w:left="720"/>
        <w:jc w:val="both"/>
        <w:rPr>
          <w:color w:val="000000" w:themeColor="text1"/>
        </w:rPr>
      </w:pPr>
      <w:r w:rsidRPr="00C96BAD">
        <w:rPr>
          <w:color w:val="000000" w:themeColor="text1"/>
        </w:rPr>
        <w:t>Decisions regarding the employment of teachers who fail to meet the required proficiency standard for renewal of a continuing license will be made in accordance with state law G.S. 115C-296(b)(</w:t>
      </w:r>
      <w:proofErr w:type="gramStart"/>
      <w:r w:rsidRPr="00C96BAD">
        <w:rPr>
          <w:color w:val="000000" w:themeColor="text1"/>
        </w:rPr>
        <w:t>1)b.</w:t>
      </w:r>
      <w:proofErr w:type="gramEnd"/>
      <w:r w:rsidRPr="00C96BAD">
        <w:rPr>
          <w:color w:val="000000" w:themeColor="text1"/>
        </w:rPr>
        <w:t xml:space="preserve">4 and </w:t>
      </w:r>
      <w:r w:rsidR="009637AA" w:rsidRPr="00C96BAD">
        <w:rPr>
          <w:color w:val="000000" w:themeColor="text1"/>
        </w:rPr>
        <w:t xml:space="preserve">applicable </w:t>
      </w:r>
      <w:r w:rsidRPr="00C96BAD">
        <w:rPr>
          <w:color w:val="000000" w:themeColor="text1"/>
        </w:rPr>
        <w:t xml:space="preserve">State Board of Education </w:t>
      </w:r>
      <w:r w:rsidR="009637AA" w:rsidRPr="00C96BAD">
        <w:rPr>
          <w:color w:val="000000" w:themeColor="text1"/>
        </w:rPr>
        <w:t>requirements</w:t>
      </w:r>
      <w:r w:rsidRPr="00C96BAD">
        <w:rPr>
          <w:color w:val="000000" w:themeColor="text1"/>
        </w:rPr>
        <w:t>.</w:t>
      </w:r>
    </w:p>
    <w:p w14:paraId="68F0978E" w14:textId="77777777" w:rsidR="00A21DB6" w:rsidRPr="00C96BAD" w:rsidRDefault="00A21DB6" w:rsidP="00507E3F">
      <w:pPr>
        <w:tabs>
          <w:tab w:val="left" w:pos="-1440"/>
        </w:tabs>
        <w:jc w:val="both"/>
        <w:rPr>
          <w:color w:val="000000" w:themeColor="text1"/>
        </w:rPr>
      </w:pPr>
    </w:p>
    <w:p w14:paraId="3984DCD3" w14:textId="3292E028" w:rsidR="00007776" w:rsidRPr="00C96BAD" w:rsidRDefault="00972DFB" w:rsidP="00507E3F">
      <w:pPr>
        <w:pStyle w:val="ListParagraph"/>
        <w:numPr>
          <w:ilvl w:val="0"/>
          <w:numId w:val="5"/>
        </w:numPr>
        <w:tabs>
          <w:tab w:val="left" w:pos="-1440"/>
        </w:tabs>
        <w:ind w:hanging="720"/>
        <w:jc w:val="both"/>
        <w:rPr>
          <w:color w:val="000000" w:themeColor="text1"/>
        </w:rPr>
      </w:pPr>
      <w:r w:rsidRPr="00C96BAD">
        <w:rPr>
          <w:b/>
          <w:smallCaps/>
          <w:color w:val="000000" w:themeColor="text1"/>
          <w:szCs w:val="24"/>
        </w:rPr>
        <w:t>Parental Notification</w:t>
      </w:r>
    </w:p>
    <w:p w14:paraId="767B16F6" w14:textId="77777777" w:rsidR="00B9207C" w:rsidRPr="00C96BAD" w:rsidRDefault="00B9207C" w:rsidP="00B9207C">
      <w:pPr>
        <w:tabs>
          <w:tab w:val="left" w:pos="-1440"/>
        </w:tabs>
        <w:ind w:left="720"/>
        <w:jc w:val="both"/>
        <w:rPr>
          <w:color w:val="000000" w:themeColor="text1"/>
        </w:rPr>
      </w:pPr>
    </w:p>
    <w:p w14:paraId="1AC174D7" w14:textId="77777777" w:rsidR="0004488B" w:rsidRPr="00C96BAD" w:rsidRDefault="0004488B" w:rsidP="0004488B">
      <w:pPr>
        <w:tabs>
          <w:tab w:val="left" w:pos="-1440"/>
        </w:tabs>
        <w:ind w:left="720"/>
        <w:jc w:val="both"/>
        <w:rPr>
          <w:color w:val="000000" w:themeColor="text1"/>
        </w:rPr>
      </w:pPr>
      <w:r w:rsidRPr="00C96BAD">
        <w:rPr>
          <w:color w:val="000000" w:themeColor="text1"/>
        </w:rPr>
        <w:t>At the beginning of each school year, school system officials shall notify the parents or guardians of each student attending a Title I school or participating in a Title I program of their right to request the following information about qualifications of their child’s teacher:  whether the teacher has met NC qualification and licensing criteria for the grade level(s) and subject area(s) in which the teacher provides instruction; whether the teacher is teaching under emergency or other provisional status through which North Carolina qualification or licensing criteria have been waived; whether the teacher is teaching in the field of discipline of his or her certification; and whether the child is provided services by a paraprofessional, and if so, the paraprofessional’s qualifications.</w:t>
      </w:r>
    </w:p>
    <w:p w14:paraId="31318533" w14:textId="77777777" w:rsidR="0004488B" w:rsidRPr="00C96BAD" w:rsidRDefault="0004488B" w:rsidP="00B9207C">
      <w:pPr>
        <w:tabs>
          <w:tab w:val="left" w:pos="-1440"/>
        </w:tabs>
        <w:ind w:left="720"/>
        <w:jc w:val="both"/>
        <w:rPr>
          <w:color w:val="000000" w:themeColor="text1"/>
        </w:rPr>
      </w:pPr>
    </w:p>
    <w:p w14:paraId="6B2CD6EC" w14:textId="62033C69" w:rsidR="00B9207C" w:rsidRPr="00C96BAD" w:rsidRDefault="005617DD" w:rsidP="00B9207C">
      <w:pPr>
        <w:tabs>
          <w:tab w:val="left" w:pos="-1440"/>
        </w:tabs>
        <w:ind w:left="720"/>
        <w:jc w:val="both"/>
        <w:rPr>
          <w:color w:val="000000" w:themeColor="text1"/>
        </w:rPr>
      </w:pPr>
      <w:r w:rsidRPr="00C96BAD">
        <w:rPr>
          <w:color w:val="000000" w:themeColor="text1"/>
        </w:rPr>
        <w:t>NERSBA</w:t>
      </w:r>
      <w:r w:rsidR="00B9207C" w:rsidRPr="00C96BAD">
        <w:rPr>
          <w:color w:val="000000" w:themeColor="text1"/>
        </w:rPr>
        <w:t xml:space="preserve"> </w:t>
      </w:r>
      <w:r w:rsidR="00B75B51" w:rsidRPr="00C96BAD">
        <w:rPr>
          <w:color w:val="000000" w:themeColor="text1"/>
        </w:rPr>
        <w:t>will</w:t>
      </w:r>
      <w:r w:rsidR="00305CE7" w:rsidRPr="00C96BAD">
        <w:rPr>
          <w:color w:val="000000" w:themeColor="text1"/>
        </w:rPr>
        <w:t xml:space="preserve"> </w:t>
      </w:r>
      <w:r w:rsidR="00B9207C" w:rsidRPr="00C96BAD">
        <w:rPr>
          <w:color w:val="000000" w:themeColor="text1"/>
        </w:rPr>
        <w:t xml:space="preserve">give notice within 10 school days to the parents of </w:t>
      </w:r>
      <w:r w:rsidRPr="00C96BAD">
        <w:rPr>
          <w:color w:val="000000" w:themeColor="text1"/>
        </w:rPr>
        <w:t xml:space="preserve">scholars </w:t>
      </w:r>
      <w:r w:rsidR="00B9207C" w:rsidRPr="00C96BAD">
        <w:rPr>
          <w:color w:val="000000" w:themeColor="text1"/>
        </w:rPr>
        <w:t>who, after four consecutive weeks, have been taught a core academic subject by a teacher who is not highly qualified.</w:t>
      </w:r>
    </w:p>
    <w:p w14:paraId="323E09CE" w14:textId="77777777" w:rsidR="00B9207C" w:rsidRPr="00C96BAD" w:rsidRDefault="00B9207C" w:rsidP="00507E3F">
      <w:pPr>
        <w:tabs>
          <w:tab w:val="left" w:pos="-1440"/>
        </w:tabs>
        <w:jc w:val="both"/>
        <w:rPr>
          <w:color w:val="000000" w:themeColor="text1"/>
        </w:rPr>
      </w:pPr>
    </w:p>
    <w:p w14:paraId="110AF73C" w14:textId="3790ACF8" w:rsidR="007971D5" w:rsidRPr="00C96BAD" w:rsidRDefault="007971D5" w:rsidP="00162D76">
      <w:pPr>
        <w:pStyle w:val="ListParagraph"/>
        <w:numPr>
          <w:ilvl w:val="0"/>
          <w:numId w:val="5"/>
        </w:numPr>
        <w:tabs>
          <w:tab w:val="left" w:pos="-1440"/>
        </w:tabs>
        <w:ind w:hanging="720"/>
        <w:jc w:val="both"/>
        <w:rPr>
          <w:b/>
          <w:smallCaps/>
          <w:color w:val="000000" w:themeColor="text1"/>
          <w:szCs w:val="24"/>
        </w:rPr>
      </w:pPr>
      <w:r w:rsidRPr="00C96BAD">
        <w:rPr>
          <w:b/>
          <w:smallCaps/>
          <w:color w:val="000000" w:themeColor="text1"/>
          <w:szCs w:val="24"/>
        </w:rPr>
        <w:t>Equitable Distribution of Teachers</w:t>
      </w:r>
    </w:p>
    <w:p w14:paraId="6CBB72A4" w14:textId="77777777" w:rsidR="007971D5" w:rsidRPr="00C96BAD" w:rsidRDefault="007971D5" w:rsidP="007971D5">
      <w:pPr>
        <w:tabs>
          <w:tab w:val="left" w:pos="-1440"/>
        </w:tabs>
        <w:jc w:val="both"/>
        <w:rPr>
          <w:b/>
          <w:smallCaps/>
          <w:color w:val="000000" w:themeColor="text1"/>
        </w:rPr>
      </w:pPr>
    </w:p>
    <w:p w14:paraId="6E29E01B" w14:textId="172B85E9" w:rsidR="007971D5" w:rsidRPr="00C96BAD" w:rsidRDefault="007971D5" w:rsidP="007971D5">
      <w:pPr>
        <w:tabs>
          <w:tab w:val="left" w:pos="-1440"/>
        </w:tabs>
        <w:ind w:left="720"/>
        <w:jc w:val="both"/>
        <w:rPr>
          <w:color w:val="000000" w:themeColor="text1"/>
        </w:rPr>
      </w:pPr>
      <w:r w:rsidRPr="00C96BAD">
        <w:rPr>
          <w:color w:val="000000" w:themeColor="text1"/>
        </w:rPr>
        <w:t xml:space="preserve">The </w:t>
      </w:r>
      <w:r w:rsidR="006A3D8B" w:rsidRPr="00C96BAD">
        <w:rPr>
          <w:color w:val="000000" w:themeColor="text1"/>
        </w:rPr>
        <w:t>executive director</w:t>
      </w:r>
      <w:r w:rsidR="00CE0E75" w:rsidRPr="00C96BAD">
        <w:rPr>
          <w:color w:val="000000" w:themeColor="text1"/>
        </w:rPr>
        <w:t xml:space="preserve"> </w:t>
      </w:r>
      <w:r w:rsidRPr="00C96BAD">
        <w:rPr>
          <w:color w:val="000000" w:themeColor="text1"/>
        </w:rPr>
        <w:t xml:space="preserve">shall </w:t>
      </w:r>
      <w:r w:rsidR="0070672C" w:rsidRPr="00C96BAD">
        <w:rPr>
          <w:color w:val="000000" w:themeColor="text1"/>
        </w:rPr>
        <w:t>assess whether</w:t>
      </w:r>
      <w:r w:rsidR="00305CE7" w:rsidRPr="00C96BAD">
        <w:rPr>
          <w:color w:val="000000" w:themeColor="text1"/>
        </w:rPr>
        <w:t xml:space="preserve"> </w:t>
      </w:r>
      <w:r w:rsidRPr="00C96BAD">
        <w:rPr>
          <w:color w:val="000000" w:themeColor="text1"/>
        </w:rPr>
        <w:t>low-</w:t>
      </w:r>
      <w:r w:rsidR="003E534D" w:rsidRPr="00C96BAD">
        <w:rPr>
          <w:color w:val="000000" w:themeColor="text1"/>
        </w:rPr>
        <w:t>income</w:t>
      </w:r>
      <w:r w:rsidRPr="00C96BAD">
        <w:rPr>
          <w:color w:val="000000" w:themeColor="text1"/>
        </w:rPr>
        <w:t>, minority, learning disabled</w:t>
      </w:r>
      <w:r w:rsidR="00844F3A" w:rsidRPr="00C96BAD">
        <w:rPr>
          <w:color w:val="000000" w:themeColor="text1"/>
        </w:rPr>
        <w:t>,</w:t>
      </w:r>
      <w:r w:rsidRPr="00C96BAD">
        <w:rPr>
          <w:color w:val="000000" w:themeColor="text1"/>
        </w:rPr>
        <w:t xml:space="preserve"> and/or English learners are</w:t>
      </w:r>
      <w:r w:rsidR="003E534D" w:rsidRPr="00C96BAD">
        <w:rPr>
          <w:color w:val="000000" w:themeColor="text1"/>
        </w:rPr>
        <w:t xml:space="preserve"> </w:t>
      </w:r>
      <w:r w:rsidR="0070672C" w:rsidRPr="00C96BAD">
        <w:rPr>
          <w:color w:val="000000" w:themeColor="text1"/>
        </w:rPr>
        <w:t xml:space="preserve">being </w:t>
      </w:r>
      <w:r w:rsidRPr="00C96BAD">
        <w:rPr>
          <w:color w:val="000000" w:themeColor="text1"/>
        </w:rPr>
        <w:t xml:space="preserve">taught by </w:t>
      </w:r>
      <w:r w:rsidR="003E534D" w:rsidRPr="00C96BAD">
        <w:rPr>
          <w:color w:val="000000" w:themeColor="text1"/>
        </w:rPr>
        <w:t>in</w:t>
      </w:r>
      <w:r w:rsidRPr="00C96BAD">
        <w:rPr>
          <w:color w:val="000000" w:themeColor="text1"/>
        </w:rPr>
        <w:t>experienced</w:t>
      </w:r>
      <w:r w:rsidR="003E534D" w:rsidRPr="00C96BAD">
        <w:rPr>
          <w:color w:val="000000" w:themeColor="text1"/>
        </w:rPr>
        <w:t xml:space="preserve">, ineffective, </w:t>
      </w:r>
      <w:r w:rsidR="0070672C" w:rsidRPr="00C96BAD">
        <w:rPr>
          <w:color w:val="000000" w:themeColor="text1"/>
        </w:rPr>
        <w:t>or</w:t>
      </w:r>
      <w:r w:rsidR="003E534D" w:rsidRPr="00C96BAD">
        <w:rPr>
          <w:color w:val="000000" w:themeColor="text1"/>
        </w:rPr>
        <w:t xml:space="preserve"> out-of-field</w:t>
      </w:r>
      <w:r w:rsidRPr="00C96BAD">
        <w:rPr>
          <w:color w:val="000000" w:themeColor="text1"/>
        </w:rPr>
        <w:t xml:space="preserve"> teachers </w:t>
      </w:r>
      <w:r w:rsidR="003E534D" w:rsidRPr="00C96BAD">
        <w:rPr>
          <w:color w:val="000000" w:themeColor="text1"/>
        </w:rPr>
        <w:t>at higher rates than</w:t>
      </w:r>
      <w:r w:rsidRPr="00C96BAD">
        <w:rPr>
          <w:color w:val="000000" w:themeColor="text1"/>
        </w:rPr>
        <w:t xml:space="preserve"> students who do not fall into these categories</w:t>
      </w:r>
      <w:r w:rsidR="0070672C" w:rsidRPr="00C96BAD">
        <w:rPr>
          <w:color w:val="000000" w:themeColor="text1"/>
        </w:rPr>
        <w:t xml:space="preserve"> and shall develop a plan to address any such disparities</w:t>
      </w:r>
      <w:r w:rsidRPr="00C96BAD">
        <w:rPr>
          <w:color w:val="000000" w:themeColor="text1"/>
        </w:rPr>
        <w:t>.</w:t>
      </w:r>
      <w:r w:rsidR="00D51799" w:rsidRPr="00C96BAD">
        <w:rPr>
          <w:color w:val="000000" w:themeColor="text1"/>
        </w:rPr>
        <w:t xml:space="preserve"> </w:t>
      </w:r>
      <w:r w:rsidRPr="00C96BAD">
        <w:rPr>
          <w:color w:val="000000" w:themeColor="text1"/>
        </w:rPr>
        <w:t xml:space="preserve"> If DPI does not require such </w:t>
      </w:r>
      <w:r w:rsidR="00CB3BC2" w:rsidRPr="00C96BAD">
        <w:rPr>
          <w:color w:val="000000" w:themeColor="text1"/>
        </w:rPr>
        <w:t xml:space="preserve">a </w:t>
      </w:r>
      <w:r w:rsidRPr="00C96BAD">
        <w:rPr>
          <w:color w:val="000000" w:themeColor="text1"/>
        </w:rPr>
        <w:t xml:space="preserve">plan of </w:t>
      </w:r>
      <w:r w:rsidR="005617DD" w:rsidRPr="00C96BAD">
        <w:rPr>
          <w:color w:val="000000" w:themeColor="text1"/>
        </w:rPr>
        <w:t>NERSBA</w:t>
      </w:r>
      <w:r w:rsidR="00D51799" w:rsidRPr="00C96BAD">
        <w:rPr>
          <w:color w:val="000000" w:themeColor="text1"/>
        </w:rPr>
        <w:t xml:space="preserve">, </w:t>
      </w:r>
      <w:r w:rsidRPr="00C96BAD">
        <w:rPr>
          <w:color w:val="000000" w:themeColor="text1"/>
        </w:rPr>
        <w:t xml:space="preserve">the </w:t>
      </w:r>
      <w:r w:rsidR="006A3D8B" w:rsidRPr="00C96BAD">
        <w:rPr>
          <w:color w:val="000000" w:themeColor="text1"/>
        </w:rPr>
        <w:t>executive director</w:t>
      </w:r>
      <w:r w:rsidR="00CE0E75" w:rsidRPr="00C96BAD">
        <w:rPr>
          <w:color w:val="000000" w:themeColor="text1"/>
        </w:rPr>
        <w:t xml:space="preserve"> </w:t>
      </w:r>
      <w:r w:rsidRPr="00C96BAD">
        <w:rPr>
          <w:color w:val="000000" w:themeColor="text1"/>
        </w:rPr>
        <w:t xml:space="preserve">is not required to develop a plan under this subsection unless he or she determines that one is needed to address inequities within </w:t>
      </w:r>
      <w:r w:rsidR="005617DD" w:rsidRPr="00C96BAD">
        <w:rPr>
          <w:color w:val="000000" w:themeColor="text1"/>
        </w:rPr>
        <w:t>NERSBA</w:t>
      </w:r>
      <w:r w:rsidRPr="00C96BAD">
        <w:rPr>
          <w:color w:val="000000" w:themeColor="text1"/>
        </w:rPr>
        <w:t>.</w:t>
      </w:r>
    </w:p>
    <w:p w14:paraId="5787669D" w14:textId="77777777" w:rsidR="007971D5" w:rsidRPr="00C96BAD" w:rsidRDefault="007971D5" w:rsidP="00507E3F">
      <w:pPr>
        <w:tabs>
          <w:tab w:val="left" w:pos="-1440"/>
        </w:tabs>
        <w:jc w:val="both"/>
        <w:rPr>
          <w:color w:val="000000" w:themeColor="text1"/>
        </w:rPr>
      </w:pPr>
    </w:p>
    <w:p w14:paraId="00788A27" w14:textId="27F5C74F" w:rsidR="00E01D62" w:rsidRPr="00C96BAD" w:rsidRDefault="00507E3F" w:rsidP="00E01D62">
      <w:pPr>
        <w:tabs>
          <w:tab w:val="left" w:pos="-1440"/>
        </w:tabs>
        <w:jc w:val="both"/>
        <w:rPr>
          <w:color w:val="000000" w:themeColor="text1"/>
        </w:rPr>
      </w:pPr>
      <w:r w:rsidRPr="00C96BAD">
        <w:rPr>
          <w:color w:val="000000" w:themeColor="text1"/>
        </w:rPr>
        <w:t xml:space="preserve">Legal References:  </w:t>
      </w:r>
      <w:r w:rsidR="005A3390" w:rsidRPr="00C96BAD">
        <w:rPr>
          <w:color w:val="000000" w:themeColor="text1"/>
        </w:rPr>
        <w:t>Elementary and Secondary Education Act</w:t>
      </w:r>
      <w:r w:rsidR="00B9207C" w:rsidRPr="00C96BAD">
        <w:rPr>
          <w:color w:val="000000" w:themeColor="text1"/>
        </w:rPr>
        <w:t xml:space="preserve">, </w:t>
      </w:r>
      <w:r w:rsidR="00DE072F" w:rsidRPr="00C96BAD">
        <w:rPr>
          <w:color w:val="000000" w:themeColor="text1"/>
        </w:rPr>
        <w:t xml:space="preserve">20 U.S.C. 6301 </w:t>
      </w:r>
      <w:r w:rsidR="00DE072F" w:rsidRPr="00C96BAD">
        <w:rPr>
          <w:i/>
          <w:color w:val="000000" w:themeColor="text1"/>
        </w:rPr>
        <w:t>et seq</w:t>
      </w:r>
      <w:r w:rsidR="00DE072F" w:rsidRPr="00C96BAD">
        <w:rPr>
          <w:color w:val="000000" w:themeColor="text1"/>
        </w:rPr>
        <w:t>.; 34 C.F.R. 200.55-57, 200.61;</w:t>
      </w:r>
      <w:r w:rsidR="00DE072F" w:rsidRPr="00C96BAD">
        <w:rPr>
          <w:i/>
          <w:color w:val="000000" w:themeColor="text1"/>
        </w:rPr>
        <w:t xml:space="preserve"> </w:t>
      </w:r>
      <w:r w:rsidRPr="00C96BAD">
        <w:rPr>
          <w:color w:val="000000" w:themeColor="text1"/>
        </w:rPr>
        <w:t>G.S. 115C-296,</w:t>
      </w:r>
      <w:r w:rsidR="00B9207C" w:rsidRPr="00C96BAD">
        <w:rPr>
          <w:color w:val="000000" w:themeColor="text1"/>
        </w:rPr>
        <w:t xml:space="preserve"> </w:t>
      </w:r>
      <w:r w:rsidR="00780C06" w:rsidRPr="00C96BAD">
        <w:rPr>
          <w:color w:val="000000" w:themeColor="text1"/>
        </w:rPr>
        <w:t xml:space="preserve">-325(e)(1)(m) (applicable to career status teachers), -325.4(a)(12) (applicable to non-career status teachers), </w:t>
      </w:r>
      <w:r w:rsidR="00B9207C" w:rsidRPr="00C96BAD">
        <w:rPr>
          <w:color w:val="000000" w:themeColor="text1"/>
        </w:rPr>
        <w:t>-333</w:t>
      </w:r>
      <w:r w:rsidRPr="00C96BAD">
        <w:rPr>
          <w:color w:val="000000" w:themeColor="text1"/>
        </w:rPr>
        <w:t xml:space="preserve">, </w:t>
      </w:r>
      <w:r w:rsidR="007B78D7" w:rsidRPr="00C96BAD">
        <w:rPr>
          <w:color w:val="000000" w:themeColor="text1"/>
        </w:rPr>
        <w:t>-333.1</w:t>
      </w:r>
      <w:r w:rsidRPr="00C96BAD">
        <w:rPr>
          <w:color w:val="000000" w:themeColor="text1"/>
        </w:rPr>
        <w:t>; State Board of Education Polic</w:t>
      </w:r>
      <w:r w:rsidR="007A736C" w:rsidRPr="00C96BAD">
        <w:rPr>
          <w:color w:val="000000" w:themeColor="text1"/>
        </w:rPr>
        <w:t>ies</w:t>
      </w:r>
      <w:r w:rsidR="00B9207C" w:rsidRPr="00C96BAD">
        <w:rPr>
          <w:color w:val="000000" w:themeColor="text1"/>
        </w:rPr>
        <w:t xml:space="preserve"> </w:t>
      </w:r>
      <w:r w:rsidR="007A736C" w:rsidRPr="00C96BAD">
        <w:rPr>
          <w:color w:val="000000" w:themeColor="text1"/>
        </w:rPr>
        <w:t>TCP</w:t>
      </w:r>
      <w:r w:rsidR="00B9207C" w:rsidRPr="00C96BAD">
        <w:rPr>
          <w:color w:val="000000" w:themeColor="text1"/>
        </w:rPr>
        <w:t xml:space="preserve">-A-000, -001, -004, </w:t>
      </w:r>
      <w:r w:rsidR="00E01D62" w:rsidRPr="00C96BAD">
        <w:rPr>
          <w:color w:val="000000" w:themeColor="text1"/>
        </w:rPr>
        <w:t xml:space="preserve">-005, </w:t>
      </w:r>
      <w:r w:rsidR="002E36F8" w:rsidRPr="00C96BAD">
        <w:rPr>
          <w:color w:val="000000" w:themeColor="text1"/>
        </w:rPr>
        <w:t>-</w:t>
      </w:r>
      <w:r w:rsidR="00E01D62" w:rsidRPr="00C96BAD">
        <w:rPr>
          <w:color w:val="000000" w:themeColor="text1"/>
        </w:rPr>
        <w:t>016, -018, -021</w:t>
      </w:r>
      <w:r w:rsidR="008F045C" w:rsidRPr="00C96BAD">
        <w:rPr>
          <w:color w:val="000000" w:themeColor="text1"/>
        </w:rPr>
        <w:t>,</w:t>
      </w:r>
      <w:r w:rsidR="00E01D62" w:rsidRPr="00C96BAD">
        <w:rPr>
          <w:color w:val="000000" w:themeColor="text1"/>
        </w:rPr>
        <w:t xml:space="preserve"> TCP-C-004</w:t>
      </w:r>
    </w:p>
    <w:p w14:paraId="2B58A9F9" w14:textId="77777777" w:rsidR="00E01D62" w:rsidRPr="00C96BAD" w:rsidRDefault="00E01D62" w:rsidP="00E01D62">
      <w:pPr>
        <w:tabs>
          <w:tab w:val="left" w:pos="-1440"/>
        </w:tabs>
        <w:jc w:val="both"/>
        <w:rPr>
          <w:color w:val="000000" w:themeColor="text1"/>
        </w:rPr>
      </w:pPr>
    </w:p>
    <w:p w14:paraId="037D8AF5" w14:textId="77777777" w:rsidR="00507E3F" w:rsidRPr="00C96BAD" w:rsidRDefault="00507E3F" w:rsidP="00507E3F">
      <w:pPr>
        <w:tabs>
          <w:tab w:val="left" w:pos="-1440"/>
        </w:tabs>
        <w:jc w:val="both"/>
        <w:rPr>
          <w:color w:val="000000" w:themeColor="text1"/>
        </w:rPr>
      </w:pPr>
      <w:r w:rsidRPr="00C96BAD">
        <w:rPr>
          <w:color w:val="000000" w:themeColor="text1"/>
        </w:rPr>
        <w:t xml:space="preserve">Cross References:  </w:t>
      </w:r>
    </w:p>
    <w:p w14:paraId="02487B4A" w14:textId="77777777" w:rsidR="00507E3F" w:rsidRPr="00C96BAD" w:rsidRDefault="00507E3F" w:rsidP="00507E3F">
      <w:pPr>
        <w:tabs>
          <w:tab w:val="left" w:pos="-1440"/>
        </w:tabs>
        <w:jc w:val="both"/>
        <w:rPr>
          <w:color w:val="000000" w:themeColor="text1"/>
        </w:rPr>
      </w:pPr>
    </w:p>
    <w:p w14:paraId="31AE6A09" w14:textId="48FBEA29" w:rsidR="00150C9C" w:rsidRPr="00C96BAD" w:rsidRDefault="00150C9C" w:rsidP="00150C9C">
      <w:pPr>
        <w:rPr>
          <w:color w:val="000000" w:themeColor="text1"/>
        </w:rPr>
      </w:pPr>
      <w:r w:rsidRPr="00C96BAD">
        <w:rPr>
          <w:color w:val="000000" w:themeColor="text1"/>
        </w:rPr>
        <w:t>Adopted</w:t>
      </w:r>
      <w:r w:rsidR="00507E3F" w:rsidRPr="00C96BAD">
        <w:rPr>
          <w:color w:val="000000" w:themeColor="text1"/>
        </w:rPr>
        <w:t>:</w:t>
      </w:r>
      <w:r w:rsidR="0034033C" w:rsidRPr="00C96BAD">
        <w:rPr>
          <w:color w:val="000000" w:themeColor="text1"/>
        </w:rPr>
        <w:t xml:space="preserve">  </w:t>
      </w:r>
      <w:r w:rsidR="0023164C" w:rsidRPr="00C96BAD">
        <w:rPr>
          <w:color w:val="000000" w:themeColor="text1"/>
        </w:rPr>
        <w:t>June 17, 2020</w:t>
      </w:r>
    </w:p>
    <w:p w14:paraId="0352F5CC" w14:textId="1CFDE652" w:rsidR="006A3D8B" w:rsidRPr="00C96BAD" w:rsidRDefault="006A3D8B" w:rsidP="00150C9C">
      <w:pPr>
        <w:rPr>
          <w:color w:val="000000" w:themeColor="text1"/>
        </w:rPr>
      </w:pPr>
      <w:r w:rsidRPr="00C96BAD">
        <w:rPr>
          <w:color w:val="000000" w:themeColor="text1"/>
        </w:rPr>
        <w:t>Revised:</w:t>
      </w:r>
      <w:r w:rsidR="00C96BAD" w:rsidRPr="00C96BAD">
        <w:rPr>
          <w:color w:val="000000" w:themeColor="text1"/>
        </w:rPr>
        <w:t xml:space="preserve"> July 20, 2022</w:t>
      </w:r>
    </w:p>
    <w:p w14:paraId="67CF4278" w14:textId="6E0B8D29" w:rsidR="00720E93" w:rsidRPr="008A6D9F" w:rsidRDefault="00720E93" w:rsidP="00B43E25">
      <w:pPr>
        <w:jc w:val="both"/>
      </w:pPr>
    </w:p>
    <w:sectPr w:rsidR="00720E93" w:rsidRPr="008A6D9F" w:rsidSect="00D43477">
      <w:head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07A0" w14:textId="77777777" w:rsidR="00725218" w:rsidRDefault="00725218">
      <w:r>
        <w:separator/>
      </w:r>
    </w:p>
  </w:endnote>
  <w:endnote w:type="continuationSeparator" w:id="0">
    <w:p w14:paraId="71C1C292" w14:textId="77777777" w:rsidR="00725218" w:rsidRDefault="0072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0988" w14:textId="05B1F45B" w:rsidR="00461E11" w:rsidRPr="00150C9C" w:rsidRDefault="00DB4D1A" w:rsidP="00150C9C">
    <w:pPr>
      <w:pStyle w:val="Footer"/>
      <w:pBdr>
        <w:top w:val="thinThickSmallGap" w:sz="24" w:space="1" w:color="auto"/>
      </w:pBdr>
      <w:tabs>
        <w:tab w:val="clear" w:pos="4320"/>
        <w:tab w:val="clear" w:pos="8640"/>
        <w:tab w:val="right" w:pos="9360"/>
      </w:tabs>
    </w:pPr>
    <w:r>
      <w:rPr>
        <w:b/>
      </w:rPr>
      <w:t>NE REGIONAL SCHOOL BOARD OF DIRECTORS POLICY MANUAL</w:t>
    </w:r>
    <w:r w:rsidR="00150C9C" w:rsidRPr="001A2647">
      <w:rPr>
        <w:rFonts w:eastAsiaTheme="majorEastAsia"/>
      </w:rPr>
      <w:tab/>
    </w:r>
    <w:r w:rsidR="00150C9C" w:rsidRPr="001A2647">
      <w:t xml:space="preserve">Page </w:t>
    </w:r>
    <w:r w:rsidR="00150C9C" w:rsidRPr="001A2647">
      <w:fldChar w:fldCharType="begin"/>
    </w:r>
    <w:r w:rsidR="00150C9C" w:rsidRPr="001A2647">
      <w:instrText xml:space="preserve"> PAGE   \* MERGEFORMAT </w:instrText>
    </w:r>
    <w:r w:rsidR="00150C9C" w:rsidRPr="001A2647">
      <w:fldChar w:fldCharType="separate"/>
    </w:r>
    <w:r w:rsidR="00575732">
      <w:rPr>
        <w:noProof/>
      </w:rPr>
      <w:t>3</w:t>
    </w:r>
    <w:r w:rsidR="00150C9C" w:rsidRPr="001A2647">
      <w:rPr>
        <w:noProof/>
      </w:rPr>
      <w:fldChar w:fldCharType="end"/>
    </w:r>
    <w:r w:rsidR="00150C9C">
      <w:rPr>
        <w:noProof/>
      </w:rPr>
      <w:t xml:space="preserve"> of </w:t>
    </w:r>
    <w:r w:rsidR="00150C9C">
      <w:rPr>
        <w:noProof/>
      </w:rPr>
      <w:fldChar w:fldCharType="begin"/>
    </w:r>
    <w:r w:rsidR="00150C9C">
      <w:rPr>
        <w:noProof/>
      </w:rPr>
      <w:instrText xml:space="preserve"> NUMPAGES  \* Arabic  \* MERGEFORMAT </w:instrText>
    </w:r>
    <w:r w:rsidR="00150C9C">
      <w:rPr>
        <w:noProof/>
      </w:rPr>
      <w:fldChar w:fldCharType="separate"/>
    </w:r>
    <w:r w:rsidR="00575732">
      <w:rPr>
        <w:noProof/>
      </w:rPr>
      <w:t>3</w:t>
    </w:r>
    <w:r w:rsidR="00150C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EEFA" w14:textId="77777777" w:rsidR="00725218" w:rsidRDefault="00725218">
      <w:r>
        <w:separator/>
      </w:r>
    </w:p>
  </w:footnote>
  <w:footnote w:type="continuationSeparator" w:id="0">
    <w:p w14:paraId="1993CE8F" w14:textId="77777777" w:rsidR="00725218" w:rsidRDefault="0072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DC44" w14:textId="18303585" w:rsidR="00461E11" w:rsidRDefault="00461E11" w:rsidP="00C11F27">
    <w:pPr>
      <w:pStyle w:val="FootnoteText"/>
      <w:rPr>
        <w:i/>
      </w:rPr>
    </w:pPr>
  </w:p>
  <w:p w14:paraId="22A3FB7D" w14:textId="77777777" w:rsidR="00461E11" w:rsidRDefault="00461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9603" w14:textId="77777777" w:rsidR="00461E11" w:rsidRDefault="00461E11" w:rsidP="004B2995">
    <w:pPr>
      <w:tabs>
        <w:tab w:val="left" w:pos="6840"/>
        <w:tab w:val="right" w:pos="9360"/>
      </w:tabs>
    </w:pPr>
    <w:r>
      <w:rPr>
        <w:i/>
        <w:sz w:val="20"/>
      </w:rPr>
      <w:tab/>
      <w:t>Policy Code:</w:t>
    </w:r>
    <w:r>
      <w:rPr>
        <w:sz w:val="20"/>
      </w:rPr>
      <w:tab/>
    </w:r>
    <w:r>
      <w:rPr>
        <w:b/>
      </w:rPr>
      <w:t>7130</w:t>
    </w:r>
  </w:p>
  <w:p w14:paraId="2D02E0BC" w14:textId="77777777" w:rsidR="00461E11" w:rsidRDefault="00461E11" w:rsidP="004B2995">
    <w:pPr>
      <w:tabs>
        <w:tab w:val="left" w:pos="6840"/>
        <w:tab w:val="right" w:pos="9360"/>
      </w:tabs>
      <w:spacing w:line="109" w:lineRule="exact"/>
    </w:pPr>
  </w:p>
  <w:p w14:paraId="6274587F" w14:textId="4D4A2F39" w:rsidR="00461E11" w:rsidRPr="004B2995" w:rsidRDefault="004227A0" w:rsidP="001B6446">
    <w:pPr>
      <w:tabs>
        <w:tab w:val="left" w:pos="-1440"/>
      </w:tabs>
      <w:jc w:val="both"/>
    </w:pPr>
    <w:r>
      <w:rPr>
        <w:noProof/>
      </w:rPr>
      <mc:AlternateContent>
        <mc:Choice Requires="wps">
          <w:drawing>
            <wp:anchor distT="0" distB="0" distL="114300" distR="114300" simplePos="0" relativeHeight="251660800" behindDoc="0" locked="0" layoutInCell="0" allowOverlap="1" wp14:anchorId="4F9BD58D" wp14:editId="407E6DE1">
              <wp:simplePos x="0" y="0"/>
              <wp:positionH relativeFrom="column">
                <wp:posOffset>0</wp:posOffset>
              </wp:positionH>
              <wp:positionV relativeFrom="paragraph">
                <wp:posOffset>-8890</wp:posOffset>
              </wp:positionV>
              <wp:extent cx="5943600" cy="0"/>
              <wp:effectExtent l="28575" t="29210" r="28575" b="3746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1C2E"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3FB"/>
    <w:multiLevelType w:val="hybridMultilevel"/>
    <w:tmpl w:val="27881092"/>
    <w:lvl w:ilvl="0" w:tplc="987A1788">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31FA"/>
    <w:multiLevelType w:val="hybridMultilevel"/>
    <w:tmpl w:val="1F94D76C"/>
    <w:lvl w:ilvl="0" w:tplc="DD7450FA">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42A81"/>
    <w:multiLevelType w:val="hybridMultilevel"/>
    <w:tmpl w:val="ADF4162C"/>
    <w:lvl w:ilvl="0" w:tplc="8624BAE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08708E"/>
    <w:multiLevelType w:val="hybridMultilevel"/>
    <w:tmpl w:val="B0E02B78"/>
    <w:lvl w:ilvl="0" w:tplc="ACA6D2D4">
      <w:start w:val="1"/>
      <w:numFmt w:val="decimal"/>
      <w:lvlText w:val="%1."/>
      <w:lvlJc w:val="left"/>
      <w:pPr>
        <w:ind w:left="1080" w:hanging="360"/>
      </w:pPr>
      <w:rPr>
        <w:rFonts w:hint="default"/>
      </w:rPr>
    </w:lvl>
    <w:lvl w:ilvl="1" w:tplc="987A1788">
      <w:start w:val="1"/>
      <w:numFmt w:val="decimal"/>
      <w:lvlText w:val="%2."/>
      <w:lvlJc w:val="left"/>
      <w:pPr>
        <w:ind w:left="1800" w:hanging="360"/>
      </w:pPr>
      <w:rPr>
        <w:rFonts w:hint="default"/>
        <w:b w:val="0"/>
        <w:i w:val="0"/>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172DE"/>
    <w:multiLevelType w:val="hybridMultilevel"/>
    <w:tmpl w:val="1220DAB0"/>
    <w:lvl w:ilvl="0" w:tplc="3C785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E094A"/>
    <w:multiLevelType w:val="multilevel"/>
    <w:tmpl w:val="1F94D76C"/>
    <w:lvl w:ilvl="0">
      <w:start w:val="4"/>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196816"/>
    <w:multiLevelType w:val="hybridMultilevel"/>
    <w:tmpl w:val="8D9862BA"/>
    <w:lvl w:ilvl="0" w:tplc="D012FB2C">
      <w:start w:val="1"/>
      <w:numFmt w:val="decimal"/>
      <w:lvlText w:val="%1."/>
      <w:lvlJc w:val="left"/>
      <w:pPr>
        <w:ind w:left="1800" w:hanging="360"/>
      </w:pPr>
      <w:rPr>
        <w:rFonts w:hint="default"/>
        <w:color w:val="00B05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3402C0"/>
    <w:multiLevelType w:val="hybridMultilevel"/>
    <w:tmpl w:val="363852D2"/>
    <w:lvl w:ilvl="0" w:tplc="14766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0F3AE1"/>
    <w:multiLevelType w:val="hybridMultilevel"/>
    <w:tmpl w:val="341A3A4C"/>
    <w:lvl w:ilvl="0" w:tplc="6C2069F2">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05355">
    <w:abstractNumId w:val="1"/>
  </w:num>
  <w:num w:numId="2" w16cid:durableId="414472258">
    <w:abstractNumId w:val="8"/>
  </w:num>
  <w:num w:numId="3" w16cid:durableId="2016956973">
    <w:abstractNumId w:val="2"/>
  </w:num>
  <w:num w:numId="4" w16cid:durableId="641234327">
    <w:abstractNumId w:val="5"/>
  </w:num>
  <w:num w:numId="5" w16cid:durableId="1695182306">
    <w:abstractNumId w:val="4"/>
  </w:num>
  <w:num w:numId="6" w16cid:durableId="904805580">
    <w:abstractNumId w:val="7"/>
  </w:num>
  <w:num w:numId="7" w16cid:durableId="836386213">
    <w:abstractNumId w:val="3"/>
  </w:num>
  <w:num w:numId="8" w16cid:durableId="1283146700">
    <w:abstractNumId w:val="0"/>
  </w:num>
  <w:num w:numId="9" w16cid:durableId="1609465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5"/>
    <w:rsid w:val="00001B72"/>
    <w:rsid w:val="00007776"/>
    <w:rsid w:val="00011671"/>
    <w:rsid w:val="00012263"/>
    <w:rsid w:val="00013E64"/>
    <w:rsid w:val="00022629"/>
    <w:rsid w:val="00043605"/>
    <w:rsid w:val="0004488B"/>
    <w:rsid w:val="000528C7"/>
    <w:rsid w:val="00057303"/>
    <w:rsid w:val="00057C76"/>
    <w:rsid w:val="00062E82"/>
    <w:rsid w:val="00091E0B"/>
    <w:rsid w:val="00093299"/>
    <w:rsid w:val="000B6266"/>
    <w:rsid w:val="000F189A"/>
    <w:rsid w:val="000F7345"/>
    <w:rsid w:val="00103788"/>
    <w:rsid w:val="00114FA2"/>
    <w:rsid w:val="001178A2"/>
    <w:rsid w:val="0012215E"/>
    <w:rsid w:val="001261A1"/>
    <w:rsid w:val="0013600C"/>
    <w:rsid w:val="00150C9C"/>
    <w:rsid w:val="00162D76"/>
    <w:rsid w:val="00165840"/>
    <w:rsid w:val="00171005"/>
    <w:rsid w:val="001848D9"/>
    <w:rsid w:val="00191F7F"/>
    <w:rsid w:val="001B6446"/>
    <w:rsid w:val="001C41A8"/>
    <w:rsid w:val="001C5F81"/>
    <w:rsid w:val="001D51CB"/>
    <w:rsid w:val="001E0630"/>
    <w:rsid w:val="002044F6"/>
    <w:rsid w:val="002303EE"/>
    <w:rsid w:val="0023164C"/>
    <w:rsid w:val="002318FA"/>
    <w:rsid w:val="002344BB"/>
    <w:rsid w:val="0023653A"/>
    <w:rsid w:val="00247922"/>
    <w:rsid w:val="002528DA"/>
    <w:rsid w:val="00254D28"/>
    <w:rsid w:val="0026743F"/>
    <w:rsid w:val="00285D76"/>
    <w:rsid w:val="0029753D"/>
    <w:rsid w:val="002B50A9"/>
    <w:rsid w:val="002B60BD"/>
    <w:rsid w:val="002D3D3C"/>
    <w:rsid w:val="002E36F8"/>
    <w:rsid w:val="002E3965"/>
    <w:rsid w:val="00300CA9"/>
    <w:rsid w:val="00305CE7"/>
    <w:rsid w:val="00310353"/>
    <w:rsid w:val="00321961"/>
    <w:rsid w:val="003312B1"/>
    <w:rsid w:val="0034033C"/>
    <w:rsid w:val="00342A8A"/>
    <w:rsid w:val="003748DA"/>
    <w:rsid w:val="00376404"/>
    <w:rsid w:val="00377FA4"/>
    <w:rsid w:val="00384E03"/>
    <w:rsid w:val="00390473"/>
    <w:rsid w:val="003B1EB3"/>
    <w:rsid w:val="003C15B6"/>
    <w:rsid w:val="003C221C"/>
    <w:rsid w:val="003E0B06"/>
    <w:rsid w:val="003E534D"/>
    <w:rsid w:val="003F0782"/>
    <w:rsid w:val="00420D4F"/>
    <w:rsid w:val="004227A0"/>
    <w:rsid w:val="004346E3"/>
    <w:rsid w:val="004439C0"/>
    <w:rsid w:val="00450567"/>
    <w:rsid w:val="00461E11"/>
    <w:rsid w:val="00482C67"/>
    <w:rsid w:val="00483339"/>
    <w:rsid w:val="004870E7"/>
    <w:rsid w:val="004A0BCF"/>
    <w:rsid w:val="004A3F48"/>
    <w:rsid w:val="004B2995"/>
    <w:rsid w:val="004B7853"/>
    <w:rsid w:val="005027D7"/>
    <w:rsid w:val="00507E3F"/>
    <w:rsid w:val="00511EB1"/>
    <w:rsid w:val="0052469E"/>
    <w:rsid w:val="00550882"/>
    <w:rsid w:val="005617DD"/>
    <w:rsid w:val="005618D4"/>
    <w:rsid w:val="00572426"/>
    <w:rsid w:val="00575732"/>
    <w:rsid w:val="00576BD5"/>
    <w:rsid w:val="005904B7"/>
    <w:rsid w:val="00593B05"/>
    <w:rsid w:val="005A3390"/>
    <w:rsid w:val="005B18B9"/>
    <w:rsid w:val="005B194F"/>
    <w:rsid w:val="005C32A2"/>
    <w:rsid w:val="005D4C0D"/>
    <w:rsid w:val="005D554F"/>
    <w:rsid w:val="005E0133"/>
    <w:rsid w:val="005E152B"/>
    <w:rsid w:val="005F54D4"/>
    <w:rsid w:val="00601141"/>
    <w:rsid w:val="00614E15"/>
    <w:rsid w:val="00624FC9"/>
    <w:rsid w:val="00643AB3"/>
    <w:rsid w:val="00644CF9"/>
    <w:rsid w:val="0066491B"/>
    <w:rsid w:val="00670102"/>
    <w:rsid w:val="00683D99"/>
    <w:rsid w:val="00691163"/>
    <w:rsid w:val="006919F7"/>
    <w:rsid w:val="006939A2"/>
    <w:rsid w:val="006A19EE"/>
    <w:rsid w:val="006A3D8B"/>
    <w:rsid w:val="006A5BBD"/>
    <w:rsid w:val="006B1C0C"/>
    <w:rsid w:val="006C2D14"/>
    <w:rsid w:val="006D39C7"/>
    <w:rsid w:val="006D7443"/>
    <w:rsid w:val="006E1419"/>
    <w:rsid w:val="006E5894"/>
    <w:rsid w:val="0070672C"/>
    <w:rsid w:val="007107F3"/>
    <w:rsid w:val="00720E93"/>
    <w:rsid w:val="00725218"/>
    <w:rsid w:val="0075181B"/>
    <w:rsid w:val="00761B3A"/>
    <w:rsid w:val="00780C06"/>
    <w:rsid w:val="00791E91"/>
    <w:rsid w:val="007971D5"/>
    <w:rsid w:val="007A736C"/>
    <w:rsid w:val="007B78D7"/>
    <w:rsid w:val="007C2F04"/>
    <w:rsid w:val="007C7F10"/>
    <w:rsid w:val="007D23BD"/>
    <w:rsid w:val="007D3BC5"/>
    <w:rsid w:val="007E432D"/>
    <w:rsid w:val="008028BD"/>
    <w:rsid w:val="008056B0"/>
    <w:rsid w:val="00822AE9"/>
    <w:rsid w:val="008241A1"/>
    <w:rsid w:val="00844F3A"/>
    <w:rsid w:val="00846293"/>
    <w:rsid w:val="00856AEC"/>
    <w:rsid w:val="00866123"/>
    <w:rsid w:val="008854E5"/>
    <w:rsid w:val="008875BF"/>
    <w:rsid w:val="00897731"/>
    <w:rsid w:val="008A10C8"/>
    <w:rsid w:val="008A4136"/>
    <w:rsid w:val="008A6D9F"/>
    <w:rsid w:val="008B4908"/>
    <w:rsid w:val="008B5405"/>
    <w:rsid w:val="008C5EC3"/>
    <w:rsid w:val="008D11B8"/>
    <w:rsid w:val="008E62D9"/>
    <w:rsid w:val="008F045C"/>
    <w:rsid w:val="00903AFC"/>
    <w:rsid w:val="00925615"/>
    <w:rsid w:val="00933CEA"/>
    <w:rsid w:val="009443AB"/>
    <w:rsid w:val="009637AA"/>
    <w:rsid w:val="009662D5"/>
    <w:rsid w:val="00972DFB"/>
    <w:rsid w:val="009859AA"/>
    <w:rsid w:val="009C6D9D"/>
    <w:rsid w:val="009D7675"/>
    <w:rsid w:val="009E4D5F"/>
    <w:rsid w:val="009F0300"/>
    <w:rsid w:val="009F6FCE"/>
    <w:rsid w:val="00A06DDC"/>
    <w:rsid w:val="00A21DB6"/>
    <w:rsid w:val="00A23509"/>
    <w:rsid w:val="00A2378F"/>
    <w:rsid w:val="00A325E9"/>
    <w:rsid w:val="00A4444B"/>
    <w:rsid w:val="00A44504"/>
    <w:rsid w:val="00A716D6"/>
    <w:rsid w:val="00A96D65"/>
    <w:rsid w:val="00AA1668"/>
    <w:rsid w:val="00AB5EA6"/>
    <w:rsid w:val="00AE6658"/>
    <w:rsid w:val="00AF3106"/>
    <w:rsid w:val="00AF71F5"/>
    <w:rsid w:val="00B43E25"/>
    <w:rsid w:val="00B514B0"/>
    <w:rsid w:val="00B6089F"/>
    <w:rsid w:val="00B75B51"/>
    <w:rsid w:val="00B76D04"/>
    <w:rsid w:val="00B9207C"/>
    <w:rsid w:val="00BA6B96"/>
    <w:rsid w:val="00BB1076"/>
    <w:rsid w:val="00BD2E32"/>
    <w:rsid w:val="00BE353D"/>
    <w:rsid w:val="00C03109"/>
    <w:rsid w:val="00C04370"/>
    <w:rsid w:val="00C1011C"/>
    <w:rsid w:val="00C11F27"/>
    <w:rsid w:val="00C13ABE"/>
    <w:rsid w:val="00C36C14"/>
    <w:rsid w:val="00C451B9"/>
    <w:rsid w:val="00C54839"/>
    <w:rsid w:val="00C710F6"/>
    <w:rsid w:val="00C84B90"/>
    <w:rsid w:val="00C90698"/>
    <w:rsid w:val="00C96BAD"/>
    <w:rsid w:val="00CA6FF7"/>
    <w:rsid w:val="00CB3BC2"/>
    <w:rsid w:val="00CE0E75"/>
    <w:rsid w:val="00CE581D"/>
    <w:rsid w:val="00CF200F"/>
    <w:rsid w:val="00D43477"/>
    <w:rsid w:val="00D44EDC"/>
    <w:rsid w:val="00D51799"/>
    <w:rsid w:val="00D5650E"/>
    <w:rsid w:val="00D62F91"/>
    <w:rsid w:val="00D649A9"/>
    <w:rsid w:val="00D73959"/>
    <w:rsid w:val="00D815B5"/>
    <w:rsid w:val="00DB4D1A"/>
    <w:rsid w:val="00DC15CD"/>
    <w:rsid w:val="00DC30F3"/>
    <w:rsid w:val="00DD6043"/>
    <w:rsid w:val="00DE072F"/>
    <w:rsid w:val="00DE6A15"/>
    <w:rsid w:val="00DF1635"/>
    <w:rsid w:val="00E011BF"/>
    <w:rsid w:val="00E01D62"/>
    <w:rsid w:val="00E12B04"/>
    <w:rsid w:val="00E14F72"/>
    <w:rsid w:val="00E2086F"/>
    <w:rsid w:val="00E23368"/>
    <w:rsid w:val="00E25037"/>
    <w:rsid w:val="00E27CAA"/>
    <w:rsid w:val="00E312D6"/>
    <w:rsid w:val="00E37AC1"/>
    <w:rsid w:val="00E466B0"/>
    <w:rsid w:val="00E57445"/>
    <w:rsid w:val="00E6322A"/>
    <w:rsid w:val="00E863EB"/>
    <w:rsid w:val="00E904CA"/>
    <w:rsid w:val="00EA5B0D"/>
    <w:rsid w:val="00ED3B8A"/>
    <w:rsid w:val="00EE41A8"/>
    <w:rsid w:val="00EF3D57"/>
    <w:rsid w:val="00F20472"/>
    <w:rsid w:val="00F24A9B"/>
    <w:rsid w:val="00F4792F"/>
    <w:rsid w:val="00F56314"/>
    <w:rsid w:val="00F8665F"/>
    <w:rsid w:val="00F95888"/>
    <w:rsid w:val="00FA5A42"/>
    <w:rsid w:val="00FB0E48"/>
    <w:rsid w:val="00FB0FE8"/>
    <w:rsid w:val="00FC1FBF"/>
    <w:rsid w:val="00FC7531"/>
    <w:rsid w:val="00FE1731"/>
    <w:rsid w:val="00FF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C9D957"/>
  <w15:docId w15:val="{4D92B2BF-3600-4897-9613-4EC53AF1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8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71D5"/>
    <w:rPr>
      <w:sz w:val="24"/>
      <w:vertAlign w:val="superscript"/>
    </w:rPr>
  </w:style>
  <w:style w:type="paragraph" w:styleId="FootnoteText">
    <w:name w:val="footnote text"/>
    <w:basedOn w:val="Normal"/>
    <w:semiHidden/>
    <w:rsid w:val="00507E3F"/>
    <w:pPr>
      <w:widowControl w:val="0"/>
    </w:pPr>
    <w:rPr>
      <w:snapToGrid w:val="0"/>
      <w:sz w:val="20"/>
      <w:szCs w:val="20"/>
    </w:rPr>
  </w:style>
  <w:style w:type="paragraph" w:styleId="Header">
    <w:name w:val="header"/>
    <w:basedOn w:val="Normal"/>
    <w:rsid w:val="00507E3F"/>
    <w:pPr>
      <w:widowControl w:val="0"/>
      <w:tabs>
        <w:tab w:val="center" w:pos="4320"/>
        <w:tab w:val="right" w:pos="8640"/>
      </w:tabs>
    </w:pPr>
    <w:rPr>
      <w:snapToGrid w:val="0"/>
      <w:szCs w:val="20"/>
    </w:rPr>
  </w:style>
  <w:style w:type="paragraph" w:styleId="Footer">
    <w:name w:val="footer"/>
    <w:basedOn w:val="Normal"/>
    <w:link w:val="FooterChar"/>
    <w:uiPriority w:val="99"/>
    <w:rsid w:val="00507E3F"/>
    <w:pPr>
      <w:widowControl w:val="0"/>
      <w:tabs>
        <w:tab w:val="center" w:pos="4320"/>
        <w:tab w:val="right" w:pos="8640"/>
      </w:tabs>
    </w:pPr>
    <w:rPr>
      <w:snapToGrid w:val="0"/>
      <w:szCs w:val="20"/>
    </w:rPr>
  </w:style>
  <w:style w:type="character" w:styleId="PageNumber">
    <w:name w:val="page number"/>
    <w:basedOn w:val="DefaultParagraphFont"/>
    <w:rsid w:val="00507E3F"/>
  </w:style>
  <w:style w:type="paragraph" w:styleId="BalloonText">
    <w:name w:val="Balloon Text"/>
    <w:basedOn w:val="Normal"/>
    <w:semiHidden/>
    <w:rsid w:val="006A5BBD"/>
    <w:pPr>
      <w:widowControl w:val="0"/>
    </w:pPr>
    <w:rPr>
      <w:rFonts w:ascii="Tahoma" w:hAnsi="Tahoma" w:cs="Tahoma"/>
      <w:snapToGrid w:val="0"/>
      <w:sz w:val="16"/>
      <w:szCs w:val="16"/>
    </w:rPr>
  </w:style>
  <w:style w:type="character" w:customStyle="1" w:styleId="StyleFootnoteReference12pt">
    <w:name w:val="Style Footnote Reference + 12 pt"/>
    <w:basedOn w:val="FootnoteReference"/>
    <w:rsid w:val="00377FA4"/>
    <w:rPr>
      <w:rFonts w:ascii="Times New Roman" w:hAnsi="Times New Roman"/>
      <w:sz w:val="24"/>
      <w:vertAlign w:val="superscript"/>
    </w:rPr>
  </w:style>
  <w:style w:type="character" w:styleId="CommentReference">
    <w:name w:val="annotation reference"/>
    <w:basedOn w:val="DefaultParagraphFont"/>
    <w:semiHidden/>
    <w:unhideWhenUsed/>
    <w:rsid w:val="005A3390"/>
    <w:rPr>
      <w:sz w:val="16"/>
      <w:szCs w:val="16"/>
    </w:rPr>
  </w:style>
  <w:style w:type="paragraph" w:styleId="CommentText">
    <w:name w:val="annotation text"/>
    <w:basedOn w:val="Normal"/>
    <w:link w:val="CommentTextChar"/>
    <w:semiHidden/>
    <w:unhideWhenUsed/>
    <w:rsid w:val="005A3390"/>
    <w:pPr>
      <w:widowControl w:val="0"/>
    </w:pPr>
    <w:rPr>
      <w:snapToGrid w:val="0"/>
      <w:sz w:val="20"/>
      <w:szCs w:val="20"/>
    </w:rPr>
  </w:style>
  <w:style w:type="character" w:customStyle="1" w:styleId="CommentTextChar">
    <w:name w:val="Comment Text Char"/>
    <w:basedOn w:val="DefaultParagraphFont"/>
    <w:link w:val="CommentText"/>
    <w:semiHidden/>
    <w:rsid w:val="005A3390"/>
    <w:rPr>
      <w:snapToGrid w:val="0"/>
    </w:rPr>
  </w:style>
  <w:style w:type="paragraph" w:styleId="CommentSubject">
    <w:name w:val="annotation subject"/>
    <w:basedOn w:val="CommentText"/>
    <w:next w:val="CommentText"/>
    <w:link w:val="CommentSubjectChar"/>
    <w:semiHidden/>
    <w:unhideWhenUsed/>
    <w:rsid w:val="005A3390"/>
    <w:rPr>
      <w:b/>
      <w:bCs/>
    </w:rPr>
  </w:style>
  <w:style w:type="character" w:customStyle="1" w:styleId="CommentSubjectChar">
    <w:name w:val="Comment Subject Char"/>
    <w:basedOn w:val="CommentTextChar"/>
    <w:link w:val="CommentSubject"/>
    <w:semiHidden/>
    <w:rsid w:val="005A3390"/>
    <w:rPr>
      <w:b/>
      <w:bCs/>
      <w:snapToGrid w:val="0"/>
    </w:rPr>
  </w:style>
  <w:style w:type="paragraph" w:styleId="ListParagraph">
    <w:name w:val="List Paragraph"/>
    <w:basedOn w:val="Normal"/>
    <w:uiPriority w:val="34"/>
    <w:qFormat/>
    <w:rsid w:val="00B76D04"/>
    <w:pPr>
      <w:widowControl w:val="0"/>
      <w:ind w:left="720"/>
      <w:contextualSpacing/>
    </w:pPr>
    <w:rPr>
      <w:snapToGrid w:val="0"/>
      <w:szCs w:val="20"/>
    </w:rPr>
  </w:style>
  <w:style w:type="character" w:customStyle="1" w:styleId="FooterChar">
    <w:name w:val="Footer Char"/>
    <w:link w:val="Footer"/>
    <w:uiPriority w:val="99"/>
    <w:rsid w:val="00150C9C"/>
    <w:rPr>
      <w:snapToGrid w:val="0"/>
      <w:sz w:val="24"/>
    </w:rPr>
  </w:style>
  <w:style w:type="character" w:styleId="Hyperlink">
    <w:name w:val="Hyperlink"/>
    <w:basedOn w:val="DefaultParagraphFont"/>
    <w:uiPriority w:val="99"/>
    <w:semiHidden/>
    <w:unhideWhenUsed/>
    <w:rsid w:val="006A3D8B"/>
    <w:rPr>
      <w:color w:val="0000FF"/>
      <w:u w:val="single"/>
    </w:rPr>
  </w:style>
  <w:style w:type="paragraph" w:styleId="NormalWeb">
    <w:name w:val="Normal (Web)"/>
    <w:basedOn w:val="Normal"/>
    <w:uiPriority w:val="99"/>
    <w:unhideWhenUsed/>
    <w:rsid w:val="006A3D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46736">
      <w:bodyDiv w:val="1"/>
      <w:marLeft w:val="0"/>
      <w:marRight w:val="0"/>
      <w:marTop w:val="0"/>
      <w:marBottom w:val="0"/>
      <w:divBdr>
        <w:top w:val="none" w:sz="0" w:space="0" w:color="auto"/>
        <w:left w:val="none" w:sz="0" w:space="0" w:color="auto"/>
        <w:bottom w:val="none" w:sz="0" w:space="0" w:color="auto"/>
        <w:right w:val="none" w:sz="0" w:space="0" w:color="auto"/>
      </w:divBdr>
    </w:div>
    <w:div w:id="810828794">
      <w:bodyDiv w:val="1"/>
      <w:marLeft w:val="0"/>
      <w:marRight w:val="0"/>
      <w:marTop w:val="0"/>
      <w:marBottom w:val="0"/>
      <w:divBdr>
        <w:top w:val="none" w:sz="0" w:space="0" w:color="auto"/>
        <w:left w:val="none" w:sz="0" w:space="0" w:color="auto"/>
        <w:bottom w:val="none" w:sz="0" w:space="0" w:color="auto"/>
        <w:right w:val="none" w:sz="0" w:space="0" w:color="auto"/>
      </w:divBdr>
    </w:div>
    <w:div w:id="1114136635">
      <w:bodyDiv w:val="1"/>
      <w:marLeft w:val="0"/>
      <w:marRight w:val="0"/>
      <w:marTop w:val="0"/>
      <w:marBottom w:val="0"/>
      <w:divBdr>
        <w:top w:val="none" w:sz="0" w:space="0" w:color="auto"/>
        <w:left w:val="none" w:sz="0" w:space="0" w:color="auto"/>
        <w:bottom w:val="none" w:sz="0" w:space="0" w:color="auto"/>
        <w:right w:val="none" w:sz="0" w:space="0" w:color="auto"/>
      </w:divBdr>
    </w:div>
    <w:div w:id="1365211044">
      <w:bodyDiv w:val="1"/>
      <w:marLeft w:val="0"/>
      <w:marRight w:val="0"/>
      <w:marTop w:val="0"/>
      <w:marBottom w:val="0"/>
      <w:divBdr>
        <w:top w:val="none" w:sz="0" w:space="0" w:color="auto"/>
        <w:left w:val="none" w:sz="0" w:space="0" w:color="auto"/>
        <w:bottom w:val="none" w:sz="0" w:space="0" w:color="auto"/>
        <w:right w:val="none" w:sz="0" w:space="0" w:color="auto"/>
      </w:divBdr>
    </w:div>
    <w:div w:id="1435859135">
      <w:bodyDiv w:val="1"/>
      <w:marLeft w:val="0"/>
      <w:marRight w:val="0"/>
      <w:marTop w:val="0"/>
      <w:marBottom w:val="0"/>
      <w:divBdr>
        <w:top w:val="none" w:sz="0" w:space="0" w:color="auto"/>
        <w:left w:val="none" w:sz="0" w:space="0" w:color="auto"/>
        <w:bottom w:val="none" w:sz="0" w:space="0" w:color="auto"/>
        <w:right w:val="none" w:sz="0" w:space="0" w:color="auto"/>
      </w:divBdr>
    </w:div>
    <w:div w:id="2041203162">
      <w:bodyDiv w:val="1"/>
      <w:marLeft w:val="0"/>
      <w:marRight w:val="0"/>
      <w:marTop w:val="0"/>
      <w:marBottom w:val="0"/>
      <w:divBdr>
        <w:top w:val="none" w:sz="0" w:space="0" w:color="auto"/>
        <w:left w:val="none" w:sz="0" w:space="0" w:color="auto"/>
        <w:bottom w:val="none" w:sz="0" w:space="0" w:color="auto"/>
        <w:right w:val="none" w:sz="0" w:space="0" w:color="auto"/>
      </w:divBdr>
    </w:div>
    <w:div w:id="20687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director.microscribepub.com/?cat=stat&amp;loc=nc&amp;id=115c&amp;spec=27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director.microscribepub.com/?cat=stat&amp;loc=nc&amp;id=115c&amp;spec=29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irector.microscribepub.com/?cat=stat&amp;loc=nc&amp;id=115c&amp;spec=298.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edirector.microscribepub.com/?cat=stat&amp;loc=nc&amp;id=115c&amp;spec=157.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director.microscribepub.com/?cat=pol&amp;loc=nc&amp;id=driv-003&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065D-B597-7C4A-A828-8489DA6D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LICENSURE</vt:lpstr>
    </vt:vector>
  </TitlesOfParts>
  <Company>North Carolina School Boards Association</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LICENSURE</dc:title>
  <dc:creator>molly</dc:creator>
  <cp:lastModifiedBy>Larry Price</cp:lastModifiedBy>
  <cp:revision>5</cp:revision>
  <cp:lastPrinted>2016-09-14T14:29:00Z</cp:lastPrinted>
  <dcterms:created xsi:type="dcterms:W3CDTF">2020-03-04T03:06:00Z</dcterms:created>
  <dcterms:modified xsi:type="dcterms:W3CDTF">2022-07-22T00:47:00Z</dcterms:modified>
</cp:coreProperties>
</file>