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16B8" w14:textId="77777777" w:rsidR="00BC6DD8" w:rsidRPr="004D603C" w:rsidRDefault="00C0168B" w:rsidP="00101360">
      <w:pPr>
        <w:tabs>
          <w:tab w:val="left" w:pos="6840"/>
          <w:tab w:val="right" w:pos="9360"/>
        </w:tabs>
        <w:rPr>
          <w:b/>
          <w:bCs/>
          <w:sz w:val="28"/>
          <w:szCs w:val="28"/>
        </w:rPr>
      </w:pPr>
      <w:r w:rsidRPr="004D603C">
        <w:rPr>
          <w:b/>
          <w:bCs/>
          <w:sz w:val="28"/>
          <w:szCs w:val="28"/>
        </w:rPr>
        <w:t xml:space="preserve">DISCRIMINATION AND </w:t>
      </w:r>
      <w:r w:rsidR="00B33866" w:rsidRPr="004D603C">
        <w:rPr>
          <w:b/>
          <w:bCs/>
          <w:sz w:val="28"/>
          <w:szCs w:val="28"/>
        </w:rPr>
        <w:t xml:space="preserve">HARASSMENT </w:t>
      </w:r>
    </w:p>
    <w:p w14:paraId="6794200D" w14:textId="2DB2AEDD" w:rsidR="00101360" w:rsidRPr="00C0685F" w:rsidRDefault="00B33866" w:rsidP="00101360">
      <w:pPr>
        <w:tabs>
          <w:tab w:val="left" w:pos="6840"/>
          <w:tab w:val="right" w:pos="9360"/>
        </w:tabs>
      </w:pPr>
      <w:r w:rsidRPr="004D603C">
        <w:rPr>
          <w:b/>
          <w:bCs/>
          <w:sz w:val="28"/>
          <w:szCs w:val="28"/>
        </w:rPr>
        <w:t>IN THE WORKPLACE</w:t>
      </w:r>
      <w:r w:rsidR="00BC6DD8">
        <w:rPr>
          <w:b/>
          <w:bCs/>
          <w:szCs w:val="24"/>
        </w:rPr>
        <w:tab/>
      </w:r>
      <w:r w:rsidR="00101360" w:rsidRPr="00C0685F">
        <w:rPr>
          <w:i/>
          <w:sz w:val="20"/>
        </w:rPr>
        <w:t>Policy Code:</w:t>
      </w:r>
      <w:r w:rsidR="00101360" w:rsidRPr="00C0685F">
        <w:rPr>
          <w:sz w:val="28"/>
        </w:rPr>
        <w:t xml:space="preserve"> </w:t>
      </w:r>
      <w:r w:rsidR="00101360" w:rsidRPr="00C0685F">
        <w:rPr>
          <w:sz w:val="28"/>
        </w:rPr>
        <w:tab/>
      </w:r>
      <w:r w:rsidR="00EF0BFC" w:rsidRPr="003037C5">
        <w:rPr>
          <w:b/>
        </w:rPr>
        <w:t>7</w:t>
      </w:r>
      <w:r w:rsidR="003037C5" w:rsidRPr="003037C5">
        <w:rPr>
          <w:b/>
        </w:rPr>
        <w:t>232</w:t>
      </w:r>
    </w:p>
    <w:p w14:paraId="389E8F7B" w14:textId="77777777" w:rsidR="00101360" w:rsidRPr="00C0685F" w:rsidRDefault="00734FDF" w:rsidP="00101360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20902D" wp14:editId="38480CC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0" t="19050" r="19050" b="381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ABA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" o:allowincell="f" strokeweight="4.5pt">
                <v:stroke linestyle="thinThick"/>
              </v:line>
            </w:pict>
          </mc:Fallback>
        </mc:AlternateContent>
      </w:r>
    </w:p>
    <w:p w14:paraId="35F325B8" w14:textId="77777777" w:rsidR="00101360" w:rsidRPr="00C0685F" w:rsidRDefault="00101360" w:rsidP="00101360">
      <w:pPr>
        <w:tabs>
          <w:tab w:val="left" w:pos="-1440"/>
        </w:tabs>
        <w:jc w:val="both"/>
      </w:pPr>
    </w:p>
    <w:p w14:paraId="4BFADAFC" w14:textId="77777777" w:rsidR="00EA2CA1" w:rsidRPr="00C0685F" w:rsidRDefault="00EA2CA1" w:rsidP="00101360">
      <w:pPr>
        <w:tabs>
          <w:tab w:val="left" w:pos="-1440"/>
        </w:tabs>
        <w:jc w:val="both"/>
        <w:sectPr w:rsidR="00EA2CA1" w:rsidRPr="00C0685F" w:rsidSect="00CE76E1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07EB1CA" w14:textId="77777777" w:rsidR="004D603C" w:rsidRDefault="004D603C" w:rsidP="001D2599">
      <w:pPr>
        <w:tabs>
          <w:tab w:val="left" w:pos="-1440"/>
        </w:tabs>
        <w:jc w:val="both"/>
      </w:pPr>
    </w:p>
    <w:p w14:paraId="467EAF3C" w14:textId="1CE3BAE8" w:rsidR="001D2599" w:rsidRDefault="00C0168B" w:rsidP="001D2599">
      <w:pPr>
        <w:tabs>
          <w:tab w:val="left" w:pos="-1440"/>
        </w:tabs>
        <w:jc w:val="both"/>
      </w:pPr>
      <w:r>
        <w:t xml:space="preserve">The board prohibits unlawful discrimination </w:t>
      </w:r>
      <w:r w:rsidR="009A5721">
        <w:t xml:space="preserve">in employment </w:t>
      </w:r>
      <w:r>
        <w:t xml:space="preserve">based on race, color, </w:t>
      </w:r>
      <w:r w:rsidR="009A5721">
        <w:t>religion, national origin, military affiliation, genetic information, sex</w:t>
      </w:r>
      <w:r w:rsidR="007A569B">
        <w:t xml:space="preserve"> </w:t>
      </w:r>
      <w:bookmarkStart w:id="0" w:name="_Hlk65751585"/>
      <w:r w:rsidR="007A569B">
        <w:t>(including pregnancy, childbirth, sexual orientation, and gender identity)</w:t>
      </w:r>
      <w:bookmarkEnd w:id="0"/>
      <w:r w:rsidR="009A5721">
        <w:t xml:space="preserve">, age (40 or older), </w:t>
      </w:r>
      <w:r>
        <w:t>disability</w:t>
      </w:r>
      <w:r w:rsidR="002B7DBD">
        <w:t>, or other unlawful grounds</w:t>
      </w:r>
      <w:r w:rsidR="009A5721">
        <w:t xml:space="preserve">.  </w:t>
      </w:r>
      <w:r w:rsidR="001D2599">
        <w:t>Harassment is a form of unlawful e</w:t>
      </w:r>
      <w:r w:rsidR="00A5154A">
        <w:t>mployment discrimination</w:t>
      </w:r>
      <w:r w:rsidR="001D2599">
        <w:t xml:space="preserve">.  The board recognizes that all forms of harassment of employees or applicants is harmful behavior that negatively impacts the </w:t>
      </w:r>
      <w:r w:rsidR="00D52351">
        <w:t>workplace</w:t>
      </w:r>
      <w:r w:rsidR="001D2599">
        <w:t xml:space="preserve"> environment.  </w:t>
      </w:r>
    </w:p>
    <w:p w14:paraId="546AA20B" w14:textId="77777777" w:rsidR="000411DE" w:rsidRDefault="000411DE" w:rsidP="005B6C8D">
      <w:pPr>
        <w:tabs>
          <w:tab w:val="left" w:pos="-1440"/>
        </w:tabs>
        <w:jc w:val="both"/>
      </w:pPr>
    </w:p>
    <w:p w14:paraId="2E0D04F3" w14:textId="38B551E1" w:rsidR="005B6C8D" w:rsidRDefault="005B6C8D" w:rsidP="005B6C8D">
      <w:pPr>
        <w:tabs>
          <w:tab w:val="left" w:pos="-1440"/>
        </w:tabs>
        <w:jc w:val="both"/>
      </w:pPr>
      <w:r>
        <w:t xml:space="preserve">Any employee who engages in </w:t>
      </w:r>
      <w:r w:rsidR="00316D44">
        <w:t xml:space="preserve">discrimination or </w:t>
      </w:r>
      <w:r>
        <w:t xml:space="preserve">harassment </w:t>
      </w:r>
      <w:r w:rsidR="00D52351">
        <w:t xml:space="preserve">prohibited by this policy </w:t>
      </w:r>
      <w:r>
        <w:t xml:space="preserve">or who contributes to the development of a hostile work environment is subject to discipline, up to and including dismissal. </w:t>
      </w:r>
    </w:p>
    <w:p w14:paraId="2C5350DB" w14:textId="09240DC0" w:rsidR="00A5154A" w:rsidRDefault="00A5154A" w:rsidP="00101360">
      <w:pPr>
        <w:tabs>
          <w:tab w:val="left" w:pos="-1440"/>
        </w:tabs>
        <w:jc w:val="both"/>
      </w:pPr>
    </w:p>
    <w:p w14:paraId="46AAD0D3" w14:textId="4582865F" w:rsidR="00792F85" w:rsidRPr="005574E3" w:rsidRDefault="00792F85" w:rsidP="005574E3">
      <w:pPr>
        <w:pStyle w:val="ListParagraph"/>
        <w:numPr>
          <w:ilvl w:val="0"/>
          <w:numId w:val="30"/>
        </w:numPr>
        <w:tabs>
          <w:tab w:val="left" w:pos="-1440"/>
        </w:tabs>
        <w:ind w:hanging="720"/>
        <w:jc w:val="both"/>
        <w:rPr>
          <w:b/>
          <w:smallCaps/>
        </w:rPr>
      </w:pPr>
      <w:r w:rsidRPr="005574E3">
        <w:rPr>
          <w:b/>
          <w:smallCaps/>
        </w:rPr>
        <w:t>Discrimination Prohibited</w:t>
      </w:r>
    </w:p>
    <w:p w14:paraId="3B69BA16" w14:textId="6214B415" w:rsidR="00792F85" w:rsidRPr="00E57BEA" w:rsidRDefault="00792F85" w:rsidP="00E57BEA">
      <w:pPr>
        <w:pStyle w:val="ListParagraph"/>
        <w:tabs>
          <w:tab w:val="left" w:pos="-1440"/>
        </w:tabs>
        <w:jc w:val="both"/>
        <w:rPr>
          <w:bCs/>
          <w:smallCaps/>
        </w:rPr>
      </w:pPr>
    </w:p>
    <w:p w14:paraId="404FFA32" w14:textId="7C971797" w:rsidR="00DF177D" w:rsidRDefault="00DF177D" w:rsidP="00792F85">
      <w:pPr>
        <w:pStyle w:val="ListParagraph"/>
        <w:tabs>
          <w:tab w:val="left" w:pos="-1440"/>
        </w:tabs>
        <w:jc w:val="both"/>
        <w:rPr>
          <w:bCs/>
        </w:rPr>
      </w:pPr>
      <w:r>
        <w:rPr>
          <w:snapToGrid/>
        </w:rPr>
        <w:t xml:space="preserve">Discrimination is </w:t>
      </w:r>
      <w:r w:rsidRPr="00517ED2">
        <w:rPr>
          <w:snapToGrid/>
        </w:rPr>
        <w:t xml:space="preserve">any act or failure to act, whether intentional or unintentional, </w:t>
      </w:r>
      <w:r>
        <w:rPr>
          <w:snapToGrid/>
        </w:rPr>
        <w:t xml:space="preserve">by an employee or agent of the school system </w:t>
      </w:r>
      <w:r w:rsidRPr="00517ED2">
        <w:rPr>
          <w:snapToGrid/>
        </w:rPr>
        <w:t xml:space="preserve">that unreasonably and unfavorably differentiates treatment </w:t>
      </w:r>
      <w:r w:rsidRPr="00517ED2">
        <w:t xml:space="preserve">of others based solely on their membership </w:t>
      </w:r>
      <w:r>
        <w:t xml:space="preserve">or that of an associate </w:t>
      </w:r>
      <w:r w:rsidRPr="00517ED2">
        <w:t xml:space="preserve">in a </w:t>
      </w:r>
      <w:r>
        <w:t>legally-protected class.</w:t>
      </w:r>
    </w:p>
    <w:p w14:paraId="03AAFEE6" w14:textId="77777777" w:rsidR="00DF177D" w:rsidRDefault="00DF177D" w:rsidP="00792F85">
      <w:pPr>
        <w:pStyle w:val="ListParagraph"/>
        <w:tabs>
          <w:tab w:val="left" w:pos="-1440"/>
        </w:tabs>
        <w:jc w:val="both"/>
        <w:rPr>
          <w:bCs/>
        </w:rPr>
      </w:pPr>
    </w:p>
    <w:p w14:paraId="4F4D7E84" w14:textId="573E14A6" w:rsidR="00792F85" w:rsidRDefault="00792F85" w:rsidP="00792F85">
      <w:pPr>
        <w:pStyle w:val="ListParagraph"/>
        <w:tabs>
          <w:tab w:val="left" w:pos="-1440"/>
        </w:tabs>
        <w:jc w:val="both"/>
        <w:rPr>
          <w:bCs/>
        </w:rPr>
      </w:pPr>
      <w:r>
        <w:rPr>
          <w:bCs/>
        </w:rPr>
        <w:t>Discrimination in employment based on the characteristics listed above is prohibited in all employment-related practices, including hiring, compensation, terms, conditions, and other privileges of employment, except when sex, age, or physical requirements are essential occupational qualifications.</w:t>
      </w:r>
    </w:p>
    <w:p w14:paraId="51567655" w14:textId="77777777" w:rsidR="00792F85" w:rsidRPr="00792F85" w:rsidRDefault="00792F85" w:rsidP="00792F85">
      <w:pPr>
        <w:pStyle w:val="ListParagraph"/>
        <w:tabs>
          <w:tab w:val="left" w:pos="-1440"/>
        </w:tabs>
        <w:jc w:val="both"/>
        <w:rPr>
          <w:bCs/>
        </w:rPr>
      </w:pPr>
    </w:p>
    <w:p w14:paraId="473035D2" w14:textId="66AE4570" w:rsidR="00CD3A16" w:rsidRPr="005574E3" w:rsidRDefault="00CD3A16" w:rsidP="005574E3">
      <w:pPr>
        <w:pStyle w:val="ListParagraph"/>
        <w:numPr>
          <w:ilvl w:val="0"/>
          <w:numId w:val="30"/>
        </w:numPr>
        <w:tabs>
          <w:tab w:val="left" w:pos="-1440"/>
        </w:tabs>
        <w:ind w:hanging="720"/>
        <w:jc w:val="both"/>
        <w:rPr>
          <w:b/>
          <w:smallCaps/>
        </w:rPr>
      </w:pPr>
      <w:r w:rsidRPr="005574E3">
        <w:rPr>
          <w:b/>
          <w:smallCaps/>
        </w:rPr>
        <w:t>Harassment Prohibited</w:t>
      </w:r>
    </w:p>
    <w:p w14:paraId="19287B43" w14:textId="77777777" w:rsidR="00CD3A16" w:rsidRPr="007E304A" w:rsidRDefault="00CD3A16" w:rsidP="00CD3A16">
      <w:pPr>
        <w:tabs>
          <w:tab w:val="left" w:pos="-1440"/>
        </w:tabs>
        <w:ind w:left="720"/>
        <w:jc w:val="both"/>
        <w:rPr>
          <w:bCs/>
          <w:smallCaps/>
        </w:rPr>
      </w:pPr>
    </w:p>
    <w:p w14:paraId="466C4F45" w14:textId="118D078F" w:rsidR="00C0685F" w:rsidRDefault="001D2599" w:rsidP="00CD3A16">
      <w:pPr>
        <w:tabs>
          <w:tab w:val="left" w:pos="-1440"/>
        </w:tabs>
        <w:ind w:left="720"/>
        <w:jc w:val="both"/>
      </w:pPr>
      <w:r>
        <w:t xml:space="preserve">Harassment </w:t>
      </w:r>
      <w:r w:rsidR="00797322">
        <w:t xml:space="preserve">prohibited by this policy </w:t>
      </w:r>
      <w:r>
        <w:t xml:space="preserve">is </w:t>
      </w:r>
      <w:r w:rsidR="006C4EAC">
        <w:t xml:space="preserve">unwelcome </w:t>
      </w:r>
      <w:r w:rsidR="00391749">
        <w:t xml:space="preserve">conduct </w:t>
      </w:r>
      <w:r>
        <w:t xml:space="preserve">based on </w:t>
      </w:r>
      <w:r w:rsidR="00BC6DD8">
        <w:t xml:space="preserve">race, color, religion, national origin, </w:t>
      </w:r>
      <w:r w:rsidR="00D52351">
        <w:t xml:space="preserve">military affiliation, </w:t>
      </w:r>
      <w:r w:rsidR="0072300A">
        <w:t>genetic information, age</w:t>
      </w:r>
      <w:r w:rsidR="007A488F">
        <w:t xml:space="preserve"> (40 or older)</w:t>
      </w:r>
      <w:r w:rsidR="0072300A">
        <w:t xml:space="preserve">, </w:t>
      </w:r>
      <w:r w:rsidR="00BC6DD8">
        <w:t>sex</w:t>
      </w:r>
      <w:r w:rsidR="00B9596A">
        <w:t xml:space="preserve"> </w:t>
      </w:r>
      <w:r w:rsidR="00B9596A" w:rsidRPr="00B9596A">
        <w:t>(including pregnancy, childbirth, sexual orientation, and gender identity)</w:t>
      </w:r>
      <w:r w:rsidR="00BC6DD8">
        <w:t xml:space="preserve">, or disability </w:t>
      </w:r>
      <w:r w:rsidR="00797322">
        <w:t>where</w:t>
      </w:r>
      <w:r>
        <w:t xml:space="preserve">:  </w:t>
      </w:r>
    </w:p>
    <w:p w14:paraId="033565FD" w14:textId="32963C1B" w:rsidR="00B45B54" w:rsidRDefault="00B45B54" w:rsidP="004D603C">
      <w:pPr>
        <w:tabs>
          <w:tab w:val="left" w:pos="-1440"/>
        </w:tabs>
        <w:ind w:left="720"/>
        <w:jc w:val="both"/>
      </w:pPr>
    </w:p>
    <w:p w14:paraId="33CCBC50" w14:textId="79214CC0" w:rsidR="008D7F94" w:rsidRDefault="00391749" w:rsidP="000F5CE6">
      <w:pPr>
        <w:pStyle w:val="ListParagraph"/>
        <w:numPr>
          <w:ilvl w:val="0"/>
          <w:numId w:val="26"/>
        </w:numPr>
        <w:tabs>
          <w:tab w:val="left" w:pos="-1440"/>
        </w:tabs>
        <w:ind w:left="1440" w:hanging="720"/>
        <w:jc w:val="both"/>
      </w:pPr>
      <w:r>
        <w:t xml:space="preserve">enduring the offensive conduct becomes a condition of continued employment; or </w:t>
      </w:r>
    </w:p>
    <w:p w14:paraId="0F333288" w14:textId="77777777" w:rsidR="00391749" w:rsidRDefault="00391749" w:rsidP="000F5CE6">
      <w:pPr>
        <w:pStyle w:val="ListParagraph"/>
        <w:tabs>
          <w:tab w:val="left" w:pos="-1440"/>
        </w:tabs>
        <w:ind w:left="1440" w:hanging="720"/>
        <w:jc w:val="both"/>
      </w:pPr>
    </w:p>
    <w:p w14:paraId="7F741B0E" w14:textId="6786167E" w:rsidR="00B45B54" w:rsidRDefault="008D7F94" w:rsidP="000F5CE6">
      <w:pPr>
        <w:pStyle w:val="ListParagraph"/>
        <w:numPr>
          <w:ilvl w:val="0"/>
          <w:numId w:val="26"/>
        </w:numPr>
        <w:tabs>
          <w:tab w:val="left" w:pos="-1440"/>
        </w:tabs>
        <w:ind w:left="1440" w:hanging="720"/>
        <w:jc w:val="both"/>
      </w:pPr>
      <w:r>
        <w:t>th</w:t>
      </w:r>
      <w:r w:rsidR="00B45B54">
        <w:t xml:space="preserve">e conduct </w:t>
      </w:r>
      <w:r w:rsidR="004D090E">
        <w:t xml:space="preserve">is severe or pervasive enough to create a work environment that a reasonable person would consider intimidating, hostile, or abusive, </w:t>
      </w:r>
      <w:r w:rsidR="00B45B54">
        <w:t>even if the complaining individual is not the intended target.</w:t>
      </w:r>
    </w:p>
    <w:p w14:paraId="661F2692" w14:textId="77777777" w:rsidR="008D7F94" w:rsidRDefault="008D7F94" w:rsidP="008D7F94">
      <w:pPr>
        <w:pStyle w:val="ListParagraph"/>
      </w:pPr>
    </w:p>
    <w:p w14:paraId="0A016B20" w14:textId="47A49636" w:rsidR="00391749" w:rsidRPr="007B031B" w:rsidRDefault="00391749" w:rsidP="00CD3A16">
      <w:pPr>
        <w:tabs>
          <w:tab w:val="left" w:pos="-1440"/>
        </w:tabs>
        <w:ind w:left="720"/>
        <w:jc w:val="both"/>
      </w:pPr>
      <w:r>
        <w:t xml:space="preserve">A single incident of harassment, if physically threatening or humiliating, can create a hostile work environment. </w:t>
      </w:r>
      <w:r w:rsidR="00BC6DD8">
        <w:t xml:space="preserve"> The complaining individual need not be the target of the harassment.</w:t>
      </w:r>
    </w:p>
    <w:p w14:paraId="1BDC18E2" w14:textId="77777777" w:rsidR="008D7F94" w:rsidRDefault="008D7F94" w:rsidP="007E304A">
      <w:pPr>
        <w:tabs>
          <w:tab w:val="left" w:pos="-1440"/>
        </w:tabs>
        <w:ind w:left="720"/>
        <w:jc w:val="both"/>
      </w:pPr>
    </w:p>
    <w:p w14:paraId="77693AC0" w14:textId="500785E2" w:rsidR="00C0168B" w:rsidRDefault="00797322" w:rsidP="000F5CE6">
      <w:pPr>
        <w:ind w:left="720"/>
        <w:jc w:val="both"/>
        <w:rPr>
          <w:szCs w:val="24"/>
        </w:rPr>
      </w:pPr>
      <w:r w:rsidRPr="00D051E5">
        <w:rPr>
          <w:color w:val="1B1B1B"/>
          <w:szCs w:val="24"/>
          <w:shd w:val="clear" w:color="auto" w:fill="FFFFFF"/>
        </w:rPr>
        <w:t xml:space="preserve">Examples of unwelcome </w:t>
      </w:r>
      <w:r w:rsidR="004D090E" w:rsidRPr="00D051E5">
        <w:rPr>
          <w:color w:val="1B1B1B"/>
          <w:szCs w:val="24"/>
          <w:shd w:val="clear" w:color="auto" w:fill="FFFFFF"/>
        </w:rPr>
        <w:t xml:space="preserve">conduct </w:t>
      </w:r>
      <w:r w:rsidRPr="00D051E5">
        <w:rPr>
          <w:color w:val="1B1B1B"/>
          <w:szCs w:val="24"/>
          <w:shd w:val="clear" w:color="auto" w:fill="FFFFFF"/>
        </w:rPr>
        <w:t xml:space="preserve">that may violate this policy </w:t>
      </w:r>
      <w:r w:rsidR="004D090E" w:rsidRPr="00D051E5">
        <w:rPr>
          <w:color w:val="1B1B1B"/>
          <w:szCs w:val="24"/>
          <w:shd w:val="clear" w:color="auto" w:fill="FFFFFF"/>
        </w:rPr>
        <w:t xml:space="preserve">include, but </w:t>
      </w:r>
      <w:r w:rsidRPr="00D051E5">
        <w:rPr>
          <w:color w:val="1B1B1B"/>
          <w:szCs w:val="24"/>
          <w:shd w:val="clear" w:color="auto" w:fill="FFFFFF"/>
        </w:rPr>
        <w:t>are</w:t>
      </w:r>
      <w:r w:rsidR="004D090E" w:rsidRPr="00D051E5">
        <w:rPr>
          <w:color w:val="1B1B1B"/>
          <w:szCs w:val="24"/>
          <w:shd w:val="clear" w:color="auto" w:fill="FFFFFF"/>
        </w:rPr>
        <w:t xml:space="preserve"> not limited to, offensive jokes, slurs, epithets or name calling, physical assaults or threats, intimidation, </w:t>
      </w:r>
      <w:r w:rsidR="004D090E" w:rsidRPr="00D051E5">
        <w:rPr>
          <w:color w:val="1B1B1B"/>
          <w:szCs w:val="24"/>
          <w:shd w:val="clear" w:color="auto" w:fill="FFFFFF"/>
        </w:rPr>
        <w:lastRenderedPageBreak/>
        <w:t>ridicule or mockery, insults or put-downs, offensive objects or pictures, and interference with work performance.</w:t>
      </w:r>
      <w:r w:rsidR="004D090E" w:rsidRPr="006B2D43">
        <w:rPr>
          <w:szCs w:val="24"/>
        </w:rPr>
        <w:t xml:space="preserve">  </w:t>
      </w:r>
    </w:p>
    <w:p w14:paraId="4BA80724" w14:textId="0826DA55" w:rsidR="000F5CE6" w:rsidRDefault="000F5CE6" w:rsidP="000F5CE6">
      <w:pPr>
        <w:ind w:left="720"/>
        <w:jc w:val="both"/>
        <w:rPr>
          <w:szCs w:val="24"/>
        </w:rPr>
      </w:pPr>
    </w:p>
    <w:p w14:paraId="72ED2B70" w14:textId="211A28E5" w:rsidR="000F5CE6" w:rsidRDefault="000F5CE6" w:rsidP="000F5CE6">
      <w:pPr>
        <w:tabs>
          <w:tab w:val="left" w:pos="-1440"/>
        </w:tabs>
        <w:ind w:left="720"/>
        <w:jc w:val="both"/>
      </w:pPr>
      <w:r>
        <w:t xml:space="preserve">Petty slights, annoyances, simple teasing, offhand comments, or isolated incidents (unless extremely serious) are not harassment under this policy, nor </w:t>
      </w:r>
      <w:r w:rsidR="00BB4447">
        <w:t xml:space="preserve">are reasonable performance management actions taken to direct and control how work is performed or to monitor and give feedback on work performance.  The exercise of legitimate authority administered in a professional and constructive manner is not harassment under this policy. </w:t>
      </w:r>
    </w:p>
    <w:p w14:paraId="559291B8" w14:textId="77777777" w:rsidR="000F5CE6" w:rsidRPr="006B2D43" w:rsidRDefault="000F5CE6" w:rsidP="000F5CE6">
      <w:pPr>
        <w:ind w:left="720"/>
        <w:jc w:val="both"/>
        <w:rPr>
          <w:szCs w:val="24"/>
        </w:rPr>
      </w:pPr>
    </w:p>
    <w:p w14:paraId="2E05C6AB" w14:textId="4A94E69C" w:rsidR="00CD3A16" w:rsidRPr="005574E3" w:rsidRDefault="00CD3A16" w:rsidP="005574E3">
      <w:pPr>
        <w:pStyle w:val="ListParagraph"/>
        <w:numPr>
          <w:ilvl w:val="0"/>
          <w:numId w:val="30"/>
        </w:numPr>
        <w:tabs>
          <w:tab w:val="left" w:pos="-1440"/>
        </w:tabs>
        <w:ind w:hanging="720"/>
        <w:jc w:val="both"/>
        <w:rPr>
          <w:b/>
          <w:smallCaps/>
        </w:rPr>
      </w:pPr>
      <w:r w:rsidRPr="005574E3">
        <w:rPr>
          <w:b/>
          <w:smallCaps/>
        </w:rPr>
        <w:t>Sexual Harassment Prohibited</w:t>
      </w:r>
    </w:p>
    <w:p w14:paraId="5DC33662" w14:textId="77777777" w:rsidR="00CD3A16" w:rsidRPr="007E304A" w:rsidRDefault="00CD3A16" w:rsidP="007E304A">
      <w:pPr>
        <w:tabs>
          <w:tab w:val="left" w:pos="-1440"/>
        </w:tabs>
        <w:ind w:left="720"/>
        <w:jc w:val="both"/>
        <w:rPr>
          <w:bCs/>
          <w:smallCaps/>
        </w:rPr>
      </w:pPr>
    </w:p>
    <w:p w14:paraId="7367B918" w14:textId="1E19D32A" w:rsidR="009E2C36" w:rsidRDefault="008D7F94" w:rsidP="00CD3A16">
      <w:pPr>
        <w:tabs>
          <w:tab w:val="left" w:pos="-1440"/>
        </w:tabs>
        <w:ind w:left="720"/>
        <w:jc w:val="both"/>
      </w:pPr>
      <w:r>
        <w:t xml:space="preserve">Sexual harassment </w:t>
      </w:r>
      <w:r w:rsidR="00C0168B">
        <w:t>is a particular type of workplace harassment</w:t>
      </w:r>
      <w:r w:rsidR="00391749">
        <w:t xml:space="preserve">.  </w:t>
      </w:r>
      <w:r w:rsidR="009E2C36">
        <w:t>Sexual harassment prohibited by this policy may also violate policy 1725/4035/7236, Title IX Sexual Harassment – Prohibited Conduct and Reporting Process, and in such cases school officials must proceed in accordance with the requirements of that policy.</w:t>
      </w:r>
    </w:p>
    <w:p w14:paraId="1E92FF7C" w14:textId="77777777" w:rsidR="009E2C36" w:rsidRDefault="009E2C36" w:rsidP="00CD3A16">
      <w:pPr>
        <w:tabs>
          <w:tab w:val="left" w:pos="-1440"/>
        </w:tabs>
        <w:ind w:left="720"/>
        <w:jc w:val="both"/>
      </w:pPr>
    </w:p>
    <w:p w14:paraId="0B6B82CC" w14:textId="18A19516" w:rsidR="00391749" w:rsidRDefault="00BC6DD8" w:rsidP="00CD3A16">
      <w:pPr>
        <w:tabs>
          <w:tab w:val="left" w:pos="-1440"/>
        </w:tabs>
        <w:ind w:left="720"/>
        <w:jc w:val="both"/>
      </w:pPr>
      <w:r>
        <w:t>Prohibited s</w:t>
      </w:r>
      <w:r w:rsidR="00391749">
        <w:t>exual harassment is unwelcome conduct which is either of a sexual nature, or is directed at a person because of the person’s sex</w:t>
      </w:r>
      <w:r w:rsidR="00B9596A">
        <w:t xml:space="preserve"> </w:t>
      </w:r>
      <w:r w:rsidR="00B9596A" w:rsidRPr="00B9596A">
        <w:t>(including pregnancy, childbirth, sexual orientation, and gender identity)</w:t>
      </w:r>
      <w:r w:rsidR="00391749">
        <w:t>, when</w:t>
      </w:r>
      <w:r w:rsidR="00CD3A16">
        <w:t>:</w:t>
      </w:r>
    </w:p>
    <w:p w14:paraId="36859324" w14:textId="77777777" w:rsidR="00391749" w:rsidRDefault="00391749" w:rsidP="0068630E">
      <w:pPr>
        <w:tabs>
          <w:tab w:val="left" w:pos="-1440"/>
        </w:tabs>
        <w:ind w:left="720"/>
        <w:jc w:val="both"/>
      </w:pPr>
    </w:p>
    <w:p w14:paraId="3D6AAD69" w14:textId="77777777" w:rsidR="00391749" w:rsidRDefault="00391749" w:rsidP="000F5CE6">
      <w:pPr>
        <w:pStyle w:val="ListParagraph"/>
        <w:numPr>
          <w:ilvl w:val="0"/>
          <w:numId w:val="27"/>
        </w:numPr>
        <w:tabs>
          <w:tab w:val="left" w:pos="-1440"/>
        </w:tabs>
        <w:ind w:left="1440" w:hanging="720"/>
        <w:jc w:val="both"/>
      </w:pPr>
      <w:r>
        <w:t>submission to the conduct is made either explicitly or implicitly a term or condition of a person’s employment;</w:t>
      </w:r>
    </w:p>
    <w:p w14:paraId="408B6D1C" w14:textId="77777777" w:rsidR="00391749" w:rsidRDefault="00391749" w:rsidP="000F5CE6">
      <w:pPr>
        <w:pStyle w:val="ListParagraph"/>
        <w:tabs>
          <w:tab w:val="left" w:pos="-1440"/>
        </w:tabs>
        <w:ind w:left="1440"/>
        <w:jc w:val="both"/>
      </w:pPr>
    </w:p>
    <w:p w14:paraId="3FE5AE74" w14:textId="77777777" w:rsidR="00391749" w:rsidRDefault="00391749" w:rsidP="000F5CE6">
      <w:pPr>
        <w:pStyle w:val="ListParagraph"/>
        <w:numPr>
          <w:ilvl w:val="0"/>
          <w:numId w:val="27"/>
        </w:numPr>
        <w:tabs>
          <w:tab w:val="left" w:pos="-1440"/>
        </w:tabs>
        <w:ind w:left="1440" w:hanging="720"/>
        <w:jc w:val="both"/>
      </w:pPr>
      <w:r>
        <w:t>submission to or rejection of such conduct is made the basis for decisions affecting a person’s employment; or</w:t>
      </w:r>
    </w:p>
    <w:p w14:paraId="69626577" w14:textId="77777777" w:rsidR="00391749" w:rsidRDefault="00391749" w:rsidP="000F5CE6">
      <w:pPr>
        <w:pStyle w:val="ListParagraph"/>
        <w:tabs>
          <w:tab w:val="left" w:pos="-1440"/>
        </w:tabs>
        <w:ind w:left="1440"/>
        <w:jc w:val="both"/>
      </w:pPr>
    </w:p>
    <w:p w14:paraId="476A25B6" w14:textId="5FC6C19B" w:rsidR="00391749" w:rsidRDefault="00391749" w:rsidP="000F5CE6">
      <w:pPr>
        <w:pStyle w:val="ListParagraph"/>
        <w:numPr>
          <w:ilvl w:val="0"/>
          <w:numId w:val="27"/>
        </w:numPr>
        <w:tabs>
          <w:tab w:val="left" w:pos="-1440"/>
        </w:tabs>
        <w:ind w:left="1440" w:hanging="720"/>
        <w:jc w:val="both"/>
        <w:rPr>
          <w:rFonts w:ascii="Verdana" w:hAnsi="Verdana"/>
          <w:color w:val="373739"/>
          <w:sz w:val="18"/>
          <w:szCs w:val="18"/>
          <w:shd w:val="clear" w:color="auto" w:fill="FFFFFF"/>
        </w:rPr>
      </w:pPr>
      <w:r>
        <w:t>the conduct has the purpose or effect of unreasonably interfering with an employee’s work performance or creating an intimidating, hostile, or offensive work environment.</w:t>
      </w:r>
      <w:r w:rsidRPr="000D11C1">
        <w:rPr>
          <w:rFonts w:ascii="Verdana" w:hAnsi="Verdana"/>
          <w:color w:val="373739"/>
          <w:sz w:val="18"/>
          <w:szCs w:val="18"/>
          <w:shd w:val="clear" w:color="auto" w:fill="FFFFFF"/>
        </w:rPr>
        <w:t xml:space="preserve"> </w:t>
      </w:r>
    </w:p>
    <w:p w14:paraId="756BF6AD" w14:textId="77777777" w:rsidR="00391749" w:rsidRDefault="00391749" w:rsidP="00EA72F8">
      <w:pPr>
        <w:tabs>
          <w:tab w:val="left" w:pos="-1440"/>
        </w:tabs>
        <w:ind w:left="720"/>
        <w:jc w:val="both"/>
        <w:rPr>
          <w:rFonts w:ascii="Verdana" w:hAnsi="Verdana"/>
          <w:color w:val="373739"/>
          <w:sz w:val="18"/>
          <w:szCs w:val="18"/>
          <w:shd w:val="clear" w:color="auto" w:fill="FFFFFF"/>
        </w:rPr>
      </w:pPr>
    </w:p>
    <w:p w14:paraId="77CF897D" w14:textId="52A46233" w:rsidR="00BB4447" w:rsidRDefault="00391749" w:rsidP="00BB4447">
      <w:pPr>
        <w:tabs>
          <w:tab w:val="left" w:pos="-1440"/>
        </w:tabs>
        <w:ind w:left="720"/>
        <w:jc w:val="both"/>
      </w:pPr>
      <w:r>
        <w:t>Sexual harassment can include unwelcome sexual advances, requests for sexual favors, and other verbal, nonverbal, or physical conduct of a sexual nature, or verbal, nonverbal</w:t>
      </w:r>
      <w:r w:rsidR="00CD3A16">
        <w:t>,</w:t>
      </w:r>
      <w:r>
        <w:t xml:space="preserve"> or physical aggression, intimidation</w:t>
      </w:r>
      <w:r w:rsidR="00CD3A16">
        <w:t>,</w:t>
      </w:r>
      <w:r>
        <w:t xml:space="preserve"> or hostility that is based on actual or perceived gender and sexual stereotypes, sexual orientation, or gender identity. </w:t>
      </w:r>
      <w:r w:rsidR="00BB4447">
        <w:t xml:space="preserve"> Consensual conduct between adults that is not directed at a third party is not sexual harassment.   </w:t>
      </w:r>
    </w:p>
    <w:p w14:paraId="1CCC85D1" w14:textId="33825736" w:rsidR="008D7F94" w:rsidRDefault="008D7F94" w:rsidP="00EA72F8">
      <w:pPr>
        <w:tabs>
          <w:tab w:val="left" w:pos="-1440"/>
        </w:tabs>
        <w:ind w:left="720"/>
        <w:jc w:val="both"/>
      </w:pPr>
    </w:p>
    <w:p w14:paraId="2A587BF9" w14:textId="2AF6D412" w:rsidR="00CD3A16" w:rsidRPr="005574E3" w:rsidRDefault="00CD3A16" w:rsidP="005574E3">
      <w:pPr>
        <w:pStyle w:val="ListParagraph"/>
        <w:numPr>
          <w:ilvl w:val="0"/>
          <w:numId w:val="30"/>
        </w:numPr>
        <w:tabs>
          <w:tab w:val="left" w:pos="-1440"/>
        </w:tabs>
        <w:ind w:hanging="720"/>
        <w:jc w:val="both"/>
        <w:rPr>
          <w:b/>
          <w:smallCaps/>
        </w:rPr>
      </w:pPr>
      <w:r w:rsidRPr="005574E3">
        <w:rPr>
          <w:b/>
          <w:smallCaps/>
        </w:rPr>
        <w:t xml:space="preserve">Reporting </w:t>
      </w:r>
      <w:r w:rsidR="000F5CE6" w:rsidRPr="005574E3">
        <w:rPr>
          <w:b/>
          <w:smallCaps/>
        </w:rPr>
        <w:t xml:space="preserve">Discrimination and </w:t>
      </w:r>
      <w:r w:rsidRPr="005574E3">
        <w:rPr>
          <w:b/>
          <w:smallCaps/>
        </w:rPr>
        <w:t>Harassment</w:t>
      </w:r>
    </w:p>
    <w:p w14:paraId="130DBB89" w14:textId="77777777" w:rsidR="00CD3A16" w:rsidRPr="00EA72F8" w:rsidRDefault="00CD3A16" w:rsidP="00EA72F8">
      <w:pPr>
        <w:tabs>
          <w:tab w:val="left" w:pos="-1440"/>
        </w:tabs>
        <w:ind w:left="720"/>
        <w:jc w:val="both"/>
        <w:rPr>
          <w:bCs/>
          <w:smallCaps/>
        </w:rPr>
      </w:pPr>
    </w:p>
    <w:p w14:paraId="59C871A4" w14:textId="67065FEA" w:rsidR="008D7F94" w:rsidRDefault="00D86045" w:rsidP="00CD3A16">
      <w:pPr>
        <w:ind w:left="720"/>
        <w:jc w:val="both"/>
      </w:pPr>
      <w:bookmarkStart w:id="1" w:name="_Hlk45715114"/>
      <w:r>
        <w:t xml:space="preserve">Applicants and employees should promptly report orally or in writing any instance of alleged or potential discrimination, including harassment, to the principal or </w:t>
      </w:r>
      <w:r w:rsidR="00171223">
        <w:t>executive director</w:t>
      </w:r>
      <w:r>
        <w:t xml:space="preserve">.  Upon receiving a written complaint, </w:t>
      </w:r>
      <w:r w:rsidR="00171223">
        <w:t>principal or executive director</w:t>
      </w:r>
      <w:r>
        <w:t xml:space="preserve"> official shall promptly investigate the written complaint and cause or recommend appropriate corrective action if the written complaint is substantiated.</w:t>
      </w:r>
      <w:bookmarkEnd w:id="1"/>
      <w:r>
        <w:t xml:space="preserve">  Oral reports of violations may be investigated at the discretion of the school officials designated above.  All reports and complaints of harassment under this policy will be investigated in a manner that protects the employee or applicant and maintains confidentiality to the greatest extent possible as </w:t>
      </w:r>
      <w:r>
        <w:lastRenderedPageBreak/>
        <w:t>permitted by law.</w:t>
      </w:r>
      <w:r w:rsidR="000411DE">
        <w:t xml:space="preserve">  </w:t>
      </w:r>
    </w:p>
    <w:p w14:paraId="0A32A7FB" w14:textId="77777777" w:rsidR="008E22EF" w:rsidRDefault="008E22EF" w:rsidP="000F5CE6">
      <w:pPr>
        <w:ind w:left="720"/>
        <w:jc w:val="both"/>
      </w:pPr>
    </w:p>
    <w:p w14:paraId="4DA8B871" w14:textId="7667358C" w:rsidR="008D7F94" w:rsidRPr="005574E3" w:rsidRDefault="008E22EF" w:rsidP="005574E3">
      <w:pPr>
        <w:pStyle w:val="ListParagraph"/>
        <w:numPr>
          <w:ilvl w:val="0"/>
          <w:numId w:val="30"/>
        </w:numPr>
        <w:tabs>
          <w:tab w:val="left" w:pos="-1440"/>
        </w:tabs>
        <w:ind w:hanging="720"/>
        <w:jc w:val="both"/>
        <w:rPr>
          <w:b/>
          <w:smallCaps/>
        </w:rPr>
      </w:pPr>
      <w:r w:rsidRPr="005574E3">
        <w:rPr>
          <w:b/>
          <w:smallCaps/>
        </w:rPr>
        <w:t>Retaliation Prohibited</w:t>
      </w:r>
    </w:p>
    <w:p w14:paraId="671A4C1C" w14:textId="77777777" w:rsidR="008E22EF" w:rsidRPr="007279CB" w:rsidRDefault="008E22EF" w:rsidP="007279CB">
      <w:pPr>
        <w:tabs>
          <w:tab w:val="left" w:pos="-1440"/>
        </w:tabs>
        <w:ind w:left="720"/>
        <w:jc w:val="both"/>
        <w:rPr>
          <w:bCs/>
          <w:smallCaps/>
        </w:rPr>
      </w:pPr>
    </w:p>
    <w:p w14:paraId="39C1FD1D" w14:textId="35B268A4" w:rsidR="00391749" w:rsidRDefault="00BE7B57" w:rsidP="000F5CE6">
      <w:pPr>
        <w:ind w:left="720"/>
        <w:jc w:val="both"/>
      </w:pPr>
      <w:r>
        <w:t xml:space="preserve">The board prohibits retaliation against any person for making a report or complaint of a violation of this policy, supporting someone for reporting or intending to report a violation of this policy, or participating in the investigation of a reported violation of this policy.  </w:t>
      </w:r>
      <w:r w:rsidR="00663EFB">
        <w:t xml:space="preserve">No reprisals will be taken by the board against a complaining party or other individual </w:t>
      </w:r>
      <w:r w:rsidR="00A93E9D">
        <w:t>who makes a good faith report of discrimination or harassment</w:t>
      </w:r>
      <w:r w:rsidR="00663EFB" w:rsidRPr="00804BB3">
        <w:t>.</w:t>
      </w:r>
      <w:r w:rsidR="00663EFB">
        <w:t xml:space="preserve">  </w:t>
      </w:r>
      <w:r>
        <w:t>Any person who is found to have engaged in retaliation will be subject to discipline</w:t>
      </w:r>
      <w:r w:rsidR="0091286B">
        <w:t>,</w:t>
      </w:r>
      <w:r>
        <w:t xml:space="preserve"> up to and including dismissal</w:t>
      </w:r>
      <w:r w:rsidR="0091286B">
        <w:t>.</w:t>
      </w:r>
      <w:r>
        <w:t xml:space="preserve"> </w:t>
      </w:r>
      <w:r w:rsidR="002A0157">
        <w:t xml:space="preserve"> Acts of retaliation may also be subject to policy 1760/7280, Prohibition Against Retaliation.</w:t>
      </w:r>
    </w:p>
    <w:p w14:paraId="4E8949F5" w14:textId="77777777" w:rsidR="00391749" w:rsidRDefault="00391749" w:rsidP="005B6C8D">
      <w:pPr>
        <w:tabs>
          <w:tab w:val="left" w:pos="-1440"/>
        </w:tabs>
        <w:jc w:val="both"/>
      </w:pPr>
    </w:p>
    <w:p w14:paraId="1E194A29" w14:textId="0F99ADED" w:rsidR="00101360" w:rsidRPr="00CF7A51" w:rsidRDefault="00101360" w:rsidP="005B6C8D">
      <w:pPr>
        <w:tabs>
          <w:tab w:val="left" w:pos="-1440"/>
        </w:tabs>
        <w:jc w:val="both"/>
      </w:pPr>
      <w:r w:rsidRPr="006D24DB">
        <w:t xml:space="preserve">Legal References:  </w:t>
      </w:r>
      <w:r w:rsidR="0072300A" w:rsidRPr="00804BB3">
        <w:t xml:space="preserve">Age Discrimination in Employment Act of 1967, 29 U.S.C. 621 </w:t>
      </w:r>
      <w:r w:rsidR="0072300A" w:rsidRPr="00804BB3">
        <w:rPr>
          <w:i/>
        </w:rPr>
        <w:t>et seq</w:t>
      </w:r>
      <w:r w:rsidR="0072300A" w:rsidRPr="00553A61">
        <w:rPr>
          <w:i/>
          <w:iCs/>
        </w:rPr>
        <w:t>.</w:t>
      </w:r>
      <w:r w:rsidR="0072300A" w:rsidRPr="00804BB3">
        <w:t xml:space="preserve">, 34 C.F.R. pt. 110; Americans with Disabilities Act, 42 U.S.C. 12101 </w:t>
      </w:r>
      <w:r w:rsidR="0072300A" w:rsidRPr="00804BB3">
        <w:rPr>
          <w:i/>
        </w:rPr>
        <w:t>et seq</w:t>
      </w:r>
      <w:r w:rsidR="0072300A" w:rsidRPr="00553A61">
        <w:rPr>
          <w:i/>
          <w:iCs/>
        </w:rPr>
        <w:t>.</w:t>
      </w:r>
      <w:r w:rsidR="0072300A" w:rsidRPr="00804BB3">
        <w:t xml:space="preserve">, 28 C.F.R. pt. 35; Rehabilitation Act of 1973, 29 U.S.C. 705(20), 794, 34 C.F.R. pt. 104; </w:t>
      </w:r>
      <w:r w:rsidR="0072300A" w:rsidRPr="0072300A">
        <w:t>Title II of the Genetic Information Nondiscrimination Act of 2008</w:t>
      </w:r>
      <w:r w:rsidR="0072300A">
        <w:t>;</w:t>
      </w:r>
      <w:r w:rsidR="00E57BEA">
        <w:t xml:space="preserve"> </w:t>
      </w:r>
      <w:r w:rsidR="005B6C8D">
        <w:t>Title VII of the Civil Rights Act of 1964</w:t>
      </w:r>
      <w:r w:rsidR="0072300A" w:rsidRPr="00804BB3">
        <w:t xml:space="preserve">, 42 U.S.C. 2000e </w:t>
      </w:r>
      <w:r w:rsidR="0072300A" w:rsidRPr="00804BB3">
        <w:rPr>
          <w:i/>
        </w:rPr>
        <w:t>et seq</w:t>
      </w:r>
      <w:r w:rsidR="0072300A" w:rsidRPr="00553A61">
        <w:rPr>
          <w:i/>
          <w:iCs/>
        </w:rPr>
        <w:t>.</w:t>
      </w:r>
      <w:r w:rsidR="0072300A" w:rsidRPr="00804BB3">
        <w:t>, 29 C.F.R. pt. 1604;</w:t>
      </w:r>
      <w:r w:rsidR="005B6C8D">
        <w:t xml:space="preserve"> </w:t>
      </w:r>
      <w:r w:rsidR="00D52351">
        <w:t xml:space="preserve">Uniformed Services Employment and Reemployment Rights Act of 1994, 38 U.S.C. 4301 </w:t>
      </w:r>
      <w:r w:rsidR="00D52351" w:rsidRPr="004D603C">
        <w:rPr>
          <w:i/>
          <w:iCs/>
        </w:rPr>
        <w:t>et seq</w:t>
      </w:r>
      <w:r w:rsidR="00D52351" w:rsidRPr="00553A61">
        <w:rPr>
          <w:i/>
          <w:iCs/>
        </w:rPr>
        <w:t>.</w:t>
      </w:r>
      <w:r w:rsidR="00D52351">
        <w:t xml:space="preserve">; </w:t>
      </w:r>
      <w:r w:rsidR="00FC7086">
        <w:rPr>
          <w:i/>
          <w:iCs/>
        </w:rPr>
        <w:t xml:space="preserve">Bostock v. Clayton County, </w:t>
      </w:r>
      <w:r w:rsidR="00FC7086">
        <w:t>590 U.S. __</w:t>
      </w:r>
      <w:r w:rsidR="009C7060">
        <w:t>, 140 S. Ct. 1731</w:t>
      </w:r>
      <w:r w:rsidR="00FC7086">
        <w:t xml:space="preserve"> (2020); </w:t>
      </w:r>
      <w:r w:rsidR="005B6C8D">
        <w:t>G.S. 143-422.</w:t>
      </w:r>
      <w:r w:rsidR="0072300A">
        <w:t>2</w:t>
      </w:r>
    </w:p>
    <w:p w14:paraId="317DC216" w14:textId="77777777" w:rsidR="0072300A" w:rsidRDefault="0072300A" w:rsidP="00101360">
      <w:pPr>
        <w:tabs>
          <w:tab w:val="left" w:pos="-1440"/>
        </w:tabs>
        <w:jc w:val="both"/>
      </w:pPr>
    </w:p>
    <w:p w14:paraId="432FA146" w14:textId="42BBEEFD" w:rsidR="00101360" w:rsidRPr="006D24DB" w:rsidRDefault="00101360" w:rsidP="00101360">
      <w:pPr>
        <w:tabs>
          <w:tab w:val="left" w:pos="-1440"/>
        </w:tabs>
        <w:jc w:val="both"/>
      </w:pPr>
      <w:r w:rsidRPr="0039695C">
        <w:t xml:space="preserve">Cross References:  </w:t>
      </w:r>
      <w:r w:rsidR="0039695C">
        <w:t>Discrimination and Harassment Prohibited by Federal Law (policy 1710/4020/7230)</w:t>
      </w:r>
      <w:r w:rsidR="004D603C">
        <w:t>,</w:t>
      </w:r>
      <w:r w:rsidR="0039695C">
        <w:t xml:space="preserve"> Title IX Nondiscrimination on the Basis of Sex (policy 1720/4030/7235)</w:t>
      </w:r>
      <w:r w:rsidR="004D603C">
        <w:t>,</w:t>
      </w:r>
      <w:r w:rsidR="0039695C">
        <w:t xml:space="preserve"> </w:t>
      </w:r>
      <w:r w:rsidR="0091286B" w:rsidRPr="0039695C">
        <w:t xml:space="preserve">Title IX Sexual Harassment – Prohibited Conduct and Reporting Process (policy </w:t>
      </w:r>
      <w:r w:rsidR="0039695C" w:rsidRPr="0039695C">
        <w:t>1725/4035/7236</w:t>
      </w:r>
      <w:r w:rsidR="0091286B" w:rsidRPr="0039695C">
        <w:t>)</w:t>
      </w:r>
      <w:r w:rsidR="004D603C">
        <w:t>,</w:t>
      </w:r>
      <w:r w:rsidR="002109C2" w:rsidRPr="0039695C">
        <w:t xml:space="preserve"> Title IX Sexual Harassment Grievance Process (policy </w:t>
      </w:r>
      <w:r w:rsidR="0039695C" w:rsidRPr="0039695C">
        <w:t>1726/4036/7237</w:t>
      </w:r>
      <w:r w:rsidR="002109C2" w:rsidRPr="0039695C">
        <w:t>)</w:t>
      </w:r>
      <w:r w:rsidR="004D603C">
        <w:t>,</w:t>
      </w:r>
      <w:r w:rsidR="00706659" w:rsidRPr="0039695C">
        <w:t xml:space="preserve"> Prohibition Against Retaliation (policy 1760/7280)</w:t>
      </w:r>
      <w:r w:rsidR="004D603C">
        <w:t>,</w:t>
      </w:r>
      <w:r w:rsidR="007A488F" w:rsidRPr="0039695C">
        <w:t xml:space="preserve"> Recruitment and Selection of Personnel (policy 7100)</w:t>
      </w:r>
    </w:p>
    <w:p w14:paraId="154AE056" w14:textId="77777777" w:rsidR="00101360" w:rsidRPr="006D24DB" w:rsidRDefault="00101360" w:rsidP="00101360">
      <w:pPr>
        <w:tabs>
          <w:tab w:val="left" w:pos="-1440"/>
        </w:tabs>
        <w:jc w:val="both"/>
      </w:pPr>
    </w:p>
    <w:p w14:paraId="11400BA4" w14:textId="3E7B435C" w:rsidR="00553A61" w:rsidRDefault="009C0BB8" w:rsidP="009C0BB8">
      <w:r>
        <w:t>Adopt</w:t>
      </w:r>
      <w:r w:rsidR="003D45C4">
        <w:t>ed:</w:t>
      </w:r>
      <w:r w:rsidR="004D603C">
        <w:t xml:space="preserve">  </w:t>
      </w:r>
      <w:r w:rsidR="00807152">
        <w:t>July 20, 2022</w:t>
      </w:r>
    </w:p>
    <w:p w14:paraId="5F0FC072" w14:textId="77777777" w:rsidR="003D45C4" w:rsidRDefault="003D45C4" w:rsidP="00101360"/>
    <w:p w14:paraId="7A56B9BD" w14:textId="27F1C2C5" w:rsidR="003D45C4" w:rsidRPr="006D24DB" w:rsidRDefault="004C151D" w:rsidP="00101360">
      <w:r>
        <w:t xml:space="preserve">  </w:t>
      </w:r>
    </w:p>
    <w:sectPr w:rsidR="003D45C4" w:rsidRPr="006D24DB" w:rsidSect="00CE76E1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A820" w14:textId="77777777" w:rsidR="006D1872" w:rsidRDefault="006D1872">
      <w:r>
        <w:separator/>
      </w:r>
    </w:p>
  </w:endnote>
  <w:endnote w:type="continuationSeparator" w:id="0">
    <w:p w14:paraId="3932C767" w14:textId="77777777" w:rsidR="006D1872" w:rsidRDefault="006D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9D8" w14:textId="7E8ABB09" w:rsidR="007C6FD6" w:rsidRDefault="007C6FD6" w:rsidP="004D6AAE">
    <w:pPr>
      <w:spacing w:line="240" w:lineRule="exact"/>
      <w:ind w:right="-360"/>
    </w:pPr>
  </w:p>
  <w:p w14:paraId="66303523" w14:textId="7F09D5ED" w:rsidR="007C6FD6" w:rsidRDefault="007C6FD6" w:rsidP="004D6AAE">
    <w:pPr>
      <w:spacing w:line="109" w:lineRule="exact"/>
    </w:pPr>
  </w:p>
  <w:p w14:paraId="3218F578" w14:textId="77777777" w:rsidR="00171223" w:rsidRPr="00150C9C" w:rsidRDefault="00171223" w:rsidP="00171223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right" w:pos="9360"/>
      </w:tabs>
    </w:pPr>
    <w:r>
      <w:rPr>
        <w:b/>
      </w:rPr>
      <w:t>NE REGIONAL SCHOOL BOARD OF DIRECTORS POLICY MANUAL</w:t>
    </w:r>
    <w:r w:rsidRPr="001A2647">
      <w:rPr>
        <w:rFonts w:eastAsiaTheme="majorEastAsia"/>
      </w:rPr>
      <w:tab/>
    </w:r>
    <w:r w:rsidRPr="001A2647">
      <w:t xml:space="preserve">Page </w:t>
    </w:r>
    <w:r w:rsidRPr="001A2647">
      <w:fldChar w:fldCharType="begin"/>
    </w:r>
    <w:r w:rsidRPr="001A2647">
      <w:instrText xml:space="preserve"> PAGE   \* MERGEFORMAT </w:instrText>
    </w:r>
    <w:r w:rsidRPr="001A2647">
      <w:fldChar w:fldCharType="separate"/>
    </w:r>
    <w:r>
      <w:t>4</w:t>
    </w:r>
    <w:r w:rsidRPr="001A2647"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2737F77" w14:textId="2AC71262" w:rsidR="007C6FD6" w:rsidRDefault="007C6FD6" w:rsidP="00171223">
    <w:pPr>
      <w:tabs>
        <w:tab w:val="right" w:pos="9360"/>
      </w:tabs>
      <w:autoSpaceDE w:val="0"/>
      <w:autoSpaceDN w:val="0"/>
      <w:adjustRightInd w:val="0"/>
      <w:jc w:val="both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5B73" w14:textId="77777777" w:rsidR="006D1872" w:rsidRDefault="006D1872">
      <w:r>
        <w:separator/>
      </w:r>
    </w:p>
  </w:footnote>
  <w:footnote w:type="continuationSeparator" w:id="0">
    <w:p w14:paraId="25F87B0D" w14:textId="77777777" w:rsidR="006D1872" w:rsidRDefault="006D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FC56" w14:textId="6D8FAC1B" w:rsidR="007C6FD6" w:rsidRDefault="007C6FD6" w:rsidP="004D6AAE">
    <w:pPr>
      <w:pStyle w:val="FootnoteText"/>
      <w:rPr>
        <w:i/>
      </w:rPr>
    </w:pPr>
  </w:p>
  <w:p w14:paraId="014550CE" w14:textId="77777777" w:rsidR="007C6FD6" w:rsidRDefault="007C6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000A" w14:textId="266704AF" w:rsidR="007C6FD6" w:rsidRDefault="007C6FD6" w:rsidP="00D60232">
    <w:pPr>
      <w:tabs>
        <w:tab w:val="left" w:pos="6749"/>
        <w:tab w:val="left" w:pos="6840"/>
        <w:tab w:val="right" w:pos="9360"/>
      </w:tabs>
      <w:rPr>
        <w:i/>
      </w:rPr>
    </w:pPr>
    <w:r>
      <w:rPr>
        <w:i/>
        <w:sz w:val="20"/>
      </w:rPr>
      <w:tab/>
    </w:r>
    <w:r w:rsidR="00D60232">
      <w:rPr>
        <w:i/>
        <w:sz w:val="20"/>
      </w:rPr>
      <w:tab/>
    </w:r>
    <w:r>
      <w:rPr>
        <w:i/>
        <w:sz w:val="20"/>
      </w:rPr>
      <w:t>Policy Code:</w:t>
    </w:r>
    <w:r>
      <w:rPr>
        <w:sz w:val="20"/>
      </w:rPr>
      <w:tab/>
    </w:r>
    <w:r w:rsidR="00EF0BFC" w:rsidRPr="003037C5">
      <w:rPr>
        <w:b/>
      </w:rPr>
      <w:t>7</w:t>
    </w:r>
    <w:r w:rsidR="003037C5" w:rsidRPr="003037C5">
      <w:rPr>
        <w:b/>
      </w:rPr>
      <w:t>232</w:t>
    </w:r>
  </w:p>
  <w:p w14:paraId="5D4571F9" w14:textId="77777777" w:rsidR="007C6FD6" w:rsidRDefault="007C6FD6" w:rsidP="00EC75BC">
    <w:pPr>
      <w:tabs>
        <w:tab w:val="left" w:pos="6840"/>
        <w:tab w:val="right" w:pos="9360"/>
      </w:tabs>
      <w:spacing w:line="109" w:lineRule="exact"/>
    </w:pPr>
  </w:p>
  <w:p w14:paraId="4C323E57" w14:textId="77777777" w:rsidR="007C6FD6" w:rsidRDefault="00020A01" w:rsidP="00EC75BC">
    <w:pPr>
      <w:tabs>
        <w:tab w:val="left" w:pos="-1440"/>
        <w:tab w:val="left" w:pos="0"/>
      </w:tabs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3E0F4A" wp14:editId="4BDD5765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943600" cy="0"/>
              <wp:effectExtent l="28575" t="29210" r="28575" b="3746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BCFF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E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3E16BE"/>
    <w:multiLevelType w:val="hybridMultilevel"/>
    <w:tmpl w:val="C1E038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0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B77694"/>
    <w:multiLevelType w:val="hybridMultilevel"/>
    <w:tmpl w:val="C26A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53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A936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2C5AF7"/>
    <w:multiLevelType w:val="hybridMultilevel"/>
    <w:tmpl w:val="E7EE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2D5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1A41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AA6996"/>
    <w:multiLevelType w:val="hybridMultilevel"/>
    <w:tmpl w:val="9BEE7A3C"/>
    <w:lvl w:ilvl="0" w:tplc="3460B59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279B6"/>
    <w:multiLevelType w:val="hybridMultilevel"/>
    <w:tmpl w:val="40CE85E4"/>
    <w:lvl w:ilvl="0" w:tplc="DC3C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86B24"/>
    <w:multiLevelType w:val="hybridMultilevel"/>
    <w:tmpl w:val="17FC78A2"/>
    <w:lvl w:ilvl="0" w:tplc="913073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C4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8365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4973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9A42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916B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BA36A6"/>
    <w:multiLevelType w:val="hybridMultilevel"/>
    <w:tmpl w:val="C26A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822392">
    <w:abstractNumId w:val="7"/>
  </w:num>
  <w:num w:numId="2" w16cid:durableId="255481767">
    <w:abstractNumId w:val="8"/>
  </w:num>
  <w:num w:numId="3" w16cid:durableId="492767561">
    <w:abstractNumId w:val="28"/>
  </w:num>
  <w:num w:numId="4" w16cid:durableId="972054732">
    <w:abstractNumId w:val="25"/>
  </w:num>
  <w:num w:numId="5" w16cid:durableId="1398435147">
    <w:abstractNumId w:val="23"/>
  </w:num>
  <w:num w:numId="6" w16cid:durableId="1502427686">
    <w:abstractNumId w:val="14"/>
  </w:num>
  <w:num w:numId="7" w16cid:durableId="859272976">
    <w:abstractNumId w:val="12"/>
  </w:num>
  <w:num w:numId="8" w16cid:durableId="1841772116">
    <w:abstractNumId w:val="6"/>
  </w:num>
  <w:num w:numId="9" w16cid:durableId="1286889187">
    <w:abstractNumId w:val="11"/>
  </w:num>
  <w:num w:numId="10" w16cid:durableId="1835143091">
    <w:abstractNumId w:val="0"/>
  </w:num>
  <w:num w:numId="11" w16cid:durableId="1128402152">
    <w:abstractNumId w:val="27"/>
  </w:num>
  <w:num w:numId="12" w16cid:durableId="592905544">
    <w:abstractNumId w:val="20"/>
  </w:num>
  <w:num w:numId="13" w16cid:durableId="264311903">
    <w:abstractNumId w:val="26"/>
  </w:num>
  <w:num w:numId="14" w16cid:durableId="1987389767">
    <w:abstractNumId w:val="1"/>
  </w:num>
  <w:num w:numId="15" w16cid:durableId="1563246473">
    <w:abstractNumId w:val="21"/>
  </w:num>
  <w:num w:numId="16" w16cid:durableId="1520850781">
    <w:abstractNumId w:val="22"/>
  </w:num>
  <w:num w:numId="17" w16cid:durableId="1038630331">
    <w:abstractNumId w:val="19"/>
  </w:num>
  <w:num w:numId="18" w16cid:durableId="1343819769">
    <w:abstractNumId w:val="3"/>
  </w:num>
  <w:num w:numId="19" w16cid:durableId="1941910938">
    <w:abstractNumId w:val="24"/>
  </w:num>
  <w:num w:numId="20" w16cid:durableId="1309821613">
    <w:abstractNumId w:val="13"/>
  </w:num>
  <w:num w:numId="21" w16cid:durableId="604927406">
    <w:abstractNumId w:val="15"/>
  </w:num>
  <w:num w:numId="22" w16cid:durableId="1213614049">
    <w:abstractNumId w:val="5"/>
  </w:num>
  <w:num w:numId="23" w16cid:durableId="1612397269">
    <w:abstractNumId w:val="9"/>
  </w:num>
  <w:num w:numId="24" w16cid:durableId="1294020323">
    <w:abstractNumId w:val="18"/>
  </w:num>
  <w:num w:numId="25" w16cid:durableId="1216430798">
    <w:abstractNumId w:val="17"/>
  </w:num>
  <w:num w:numId="26" w16cid:durableId="459230908">
    <w:abstractNumId w:val="29"/>
  </w:num>
  <w:num w:numId="27" w16cid:durableId="886912342">
    <w:abstractNumId w:val="4"/>
  </w:num>
  <w:num w:numId="28" w16cid:durableId="1578126059">
    <w:abstractNumId w:val="16"/>
  </w:num>
  <w:num w:numId="29" w16cid:durableId="401680243">
    <w:abstractNumId w:val="10"/>
  </w:num>
  <w:num w:numId="30" w16cid:durableId="56375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20A01"/>
    <w:rsid w:val="000365B2"/>
    <w:rsid w:val="000411DE"/>
    <w:rsid w:val="00044224"/>
    <w:rsid w:val="00071930"/>
    <w:rsid w:val="000738AC"/>
    <w:rsid w:val="00076675"/>
    <w:rsid w:val="00082820"/>
    <w:rsid w:val="0008314D"/>
    <w:rsid w:val="000913F3"/>
    <w:rsid w:val="000C19D2"/>
    <w:rsid w:val="000C61E0"/>
    <w:rsid w:val="000D11C1"/>
    <w:rsid w:val="000F5CE6"/>
    <w:rsid w:val="00101360"/>
    <w:rsid w:val="0010564F"/>
    <w:rsid w:val="0012417B"/>
    <w:rsid w:val="00160CDE"/>
    <w:rsid w:val="001679E5"/>
    <w:rsid w:val="00171223"/>
    <w:rsid w:val="001A3F4E"/>
    <w:rsid w:val="001B22B7"/>
    <w:rsid w:val="001D2599"/>
    <w:rsid w:val="001D3311"/>
    <w:rsid w:val="001E652F"/>
    <w:rsid w:val="001F0D84"/>
    <w:rsid w:val="002109C2"/>
    <w:rsid w:val="00214023"/>
    <w:rsid w:val="00220B8F"/>
    <w:rsid w:val="00282313"/>
    <w:rsid w:val="002A009D"/>
    <w:rsid w:val="002A0157"/>
    <w:rsid w:val="002A7713"/>
    <w:rsid w:val="002B2385"/>
    <w:rsid w:val="002B4A58"/>
    <w:rsid w:val="002B7DBD"/>
    <w:rsid w:val="002F110F"/>
    <w:rsid w:val="003037C5"/>
    <w:rsid w:val="00316D44"/>
    <w:rsid w:val="00345E80"/>
    <w:rsid w:val="00372DF7"/>
    <w:rsid w:val="00391749"/>
    <w:rsid w:val="0039695C"/>
    <w:rsid w:val="003A3A4D"/>
    <w:rsid w:val="003C698E"/>
    <w:rsid w:val="003D1329"/>
    <w:rsid w:val="003D45C4"/>
    <w:rsid w:val="003D4641"/>
    <w:rsid w:val="003D68A2"/>
    <w:rsid w:val="0040000C"/>
    <w:rsid w:val="004031E5"/>
    <w:rsid w:val="00427CD3"/>
    <w:rsid w:val="004659D3"/>
    <w:rsid w:val="00473781"/>
    <w:rsid w:val="004A4226"/>
    <w:rsid w:val="004C151D"/>
    <w:rsid w:val="004D090E"/>
    <w:rsid w:val="004D1B70"/>
    <w:rsid w:val="004D2706"/>
    <w:rsid w:val="004D34D0"/>
    <w:rsid w:val="004D603C"/>
    <w:rsid w:val="004D6AAE"/>
    <w:rsid w:val="00516AB2"/>
    <w:rsid w:val="00517DF3"/>
    <w:rsid w:val="00553A61"/>
    <w:rsid w:val="005574E3"/>
    <w:rsid w:val="005B6C8D"/>
    <w:rsid w:val="005C368A"/>
    <w:rsid w:val="005C4DAD"/>
    <w:rsid w:val="005D3963"/>
    <w:rsid w:val="005F6643"/>
    <w:rsid w:val="006159E8"/>
    <w:rsid w:val="00622B3D"/>
    <w:rsid w:val="00633299"/>
    <w:rsid w:val="00663EFB"/>
    <w:rsid w:val="00681C0B"/>
    <w:rsid w:val="0068630E"/>
    <w:rsid w:val="006B2D43"/>
    <w:rsid w:val="006B788F"/>
    <w:rsid w:val="006C4EAC"/>
    <w:rsid w:val="006D1872"/>
    <w:rsid w:val="006D24DB"/>
    <w:rsid w:val="006F1700"/>
    <w:rsid w:val="006F439B"/>
    <w:rsid w:val="007006E7"/>
    <w:rsid w:val="00706659"/>
    <w:rsid w:val="00714D77"/>
    <w:rsid w:val="0072300A"/>
    <w:rsid w:val="007279CB"/>
    <w:rsid w:val="00734FDF"/>
    <w:rsid w:val="00745157"/>
    <w:rsid w:val="0075014F"/>
    <w:rsid w:val="007737B4"/>
    <w:rsid w:val="00792F85"/>
    <w:rsid w:val="00793406"/>
    <w:rsid w:val="00797322"/>
    <w:rsid w:val="007A488F"/>
    <w:rsid w:val="007A569B"/>
    <w:rsid w:val="007C6FD6"/>
    <w:rsid w:val="007E304A"/>
    <w:rsid w:val="007E574C"/>
    <w:rsid w:val="007F3E84"/>
    <w:rsid w:val="00801F16"/>
    <w:rsid w:val="00807152"/>
    <w:rsid w:val="008305D6"/>
    <w:rsid w:val="00851333"/>
    <w:rsid w:val="00861F7B"/>
    <w:rsid w:val="008B6FC8"/>
    <w:rsid w:val="008D7F94"/>
    <w:rsid w:val="008E22EF"/>
    <w:rsid w:val="008E420E"/>
    <w:rsid w:val="008E56D9"/>
    <w:rsid w:val="008F5B5C"/>
    <w:rsid w:val="00901B6D"/>
    <w:rsid w:val="0091286B"/>
    <w:rsid w:val="00951C53"/>
    <w:rsid w:val="0098121E"/>
    <w:rsid w:val="00987673"/>
    <w:rsid w:val="009908BC"/>
    <w:rsid w:val="00995440"/>
    <w:rsid w:val="009A5721"/>
    <w:rsid w:val="009B6A6A"/>
    <w:rsid w:val="009C0BB8"/>
    <w:rsid w:val="009C7060"/>
    <w:rsid w:val="009D4276"/>
    <w:rsid w:val="009E2C36"/>
    <w:rsid w:val="00A04A92"/>
    <w:rsid w:val="00A1468C"/>
    <w:rsid w:val="00A16E32"/>
    <w:rsid w:val="00A33B0B"/>
    <w:rsid w:val="00A50D6F"/>
    <w:rsid w:val="00A512DE"/>
    <w:rsid w:val="00A5154A"/>
    <w:rsid w:val="00A6444A"/>
    <w:rsid w:val="00A831EF"/>
    <w:rsid w:val="00A84E4B"/>
    <w:rsid w:val="00A863EC"/>
    <w:rsid w:val="00A93E9D"/>
    <w:rsid w:val="00AA093B"/>
    <w:rsid w:val="00AC2601"/>
    <w:rsid w:val="00AE27D2"/>
    <w:rsid w:val="00AF28DF"/>
    <w:rsid w:val="00B020EF"/>
    <w:rsid w:val="00B068BF"/>
    <w:rsid w:val="00B12FAA"/>
    <w:rsid w:val="00B15D46"/>
    <w:rsid w:val="00B309C3"/>
    <w:rsid w:val="00B33866"/>
    <w:rsid w:val="00B42A61"/>
    <w:rsid w:val="00B45B54"/>
    <w:rsid w:val="00B8445E"/>
    <w:rsid w:val="00B9596A"/>
    <w:rsid w:val="00BA0338"/>
    <w:rsid w:val="00BB4447"/>
    <w:rsid w:val="00BC6DD8"/>
    <w:rsid w:val="00BE7B57"/>
    <w:rsid w:val="00C0168B"/>
    <w:rsid w:val="00C0685F"/>
    <w:rsid w:val="00C20739"/>
    <w:rsid w:val="00C238D3"/>
    <w:rsid w:val="00C25525"/>
    <w:rsid w:val="00C35A51"/>
    <w:rsid w:val="00C4681F"/>
    <w:rsid w:val="00C8745A"/>
    <w:rsid w:val="00CA1AB8"/>
    <w:rsid w:val="00CB0ACF"/>
    <w:rsid w:val="00CB394B"/>
    <w:rsid w:val="00CC7931"/>
    <w:rsid w:val="00CD3A16"/>
    <w:rsid w:val="00CE76E1"/>
    <w:rsid w:val="00CF7A51"/>
    <w:rsid w:val="00D051E5"/>
    <w:rsid w:val="00D079E9"/>
    <w:rsid w:val="00D425A6"/>
    <w:rsid w:val="00D52351"/>
    <w:rsid w:val="00D60232"/>
    <w:rsid w:val="00D72028"/>
    <w:rsid w:val="00D86045"/>
    <w:rsid w:val="00DA306A"/>
    <w:rsid w:val="00DD031C"/>
    <w:rsid w:val="00DF177D"/>
    <w:rsid w:val="00DF5153"/>
    <w:rsid w:val="00E131EB"/>
    <w:rsid w:val="00E3304E"/>
    <w:rsid w:val="00E41E60"/>
    <w:rsid w:val="00E520DB"/>
    <w:rsid w:val="00E57529"/>
    <w:rsid w:val="00E57BEA"/>
    <w:rsid w:val="00E64CA6"/>
    <w:rsid w:val="00E70AE7"/>
    <w:rsid w:val="00E749C5"/>
    <w:rsid w:val="00EA2CA1"/>
    <w:rsid w:val="00EA72F8"/>
    <w:rsid w:val="00EB3FFB"/>
    <w:rsid w:val="00EC5071"/>
    <w:rsid w:val="00EC6183"/>
    <w:rsid w:val="00EC75BC"/>
    <w:rsid w:val="00ED4D9B"/>
    <w:rsid w:val="00ED7879"/>
    <w:rsid w:val="00EE6564"/>
    <w:rsid w:val="00EF0BFC"/>
    <w:rsid w:val="00F22DCD"/>
    <w:rsid w:val="00F36AE1"/>
    <w:rsid w:val="00F44F88"/>
    <w:rsid w:val="00F75AED"/>
    <w:rsid w:val="00F8786D"/>
    <w:rsid w:val="00FC7086"/>
    <w:rsid w:val="00FD09EF"/>
    <w:rsid w:val="00FF4FB0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EFC8D"/>
  <w15:docId w15:val="{9FFEB994-EEEA-48AE-AE00-74F2931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7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tyle"/>
    <w:semiHidden/>
    <w:rsid w:val="00CE76E1"/>
    <w:rPr>
      <w:rFonts w:ascii="Times New Roman" w:hAnsi="Times New Roman"/>
      <w:sz w:val="24"/>
      <w:szCs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basedOn w:val="FootnoteReference"/>
    <w:rsid w:val="00CE76E1"/>
    <w:rPr>
      <w:rFonts w:ascii="Times New Roman" w:hAnsi="Times New Roman"/>
      <w:sz w:val="24"/>
      <w:szCs w:val="24"/>
      <w:vertAlign w:val="superscript"/>
    </w:rPr>
  </w:style>
  <w:style w:type="character" w:styleId="Hyperlink">
    <w:name w:val="Hyperlink"/>
    <w:basedOn w:val="DefaultParagraphFont"/>
    <w:rsid w:val="004D27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2706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685F"/>
    <w:rPr>
      <w:snapToGrid w:val="0"/>
    </w:rPr>
  </w:style>
  <w:style w:type="paragraph" w:styleId="ListParagraph">
    <w:name w:val="List Paragraph"/>
    <w:basedOn w:val="Normal"/>
    <w:uiPriority w:val="34"/>
    <w:qFormat/>
    <w:rsid w:val="00A6444A"/>
    <w:pPr>
      <w:ind w:left="720"/>
    </w:pPr>
  </w:style>
  <w:style w:type="character" w:styleId="CommentReference">
    <w:name w:val="annotation reference"/>
    <w:basedOn w:val="DefaultParagraphFont"/>
    <w:rsid w:val="00A644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44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444A"/>
    <w:rPr>
      <w:snapToGrid w:val="0"/>
    </w:rPr>
  </w:style>
  <w:style w:type="paragraph" w:styleId="NormalWeb">
    <w:name w:val="Normal (Web)"/>
    <w:basedOn w:val="Normal"/>
    <w:uiPriority w:val="99"/>
    <w:semiHidden/>
    <w:unhideWhenUsed/>
    <w:rsid w:val="00BE7B57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basedOn w:val="DefaultParagraphFont"/>
    <w:uiPriority w:val="20"/>
    <w:qFormat/>
    <w:rsid w:val="006C4E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2A61"/>
    <w:rPr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semiHidden/>
    <w:rsid w:val="009C7060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17122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6BE4-EAF0-4EFD-9605-A1C0CA27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3</cp:revision>
  <cp:lastPrinted>2020-09-21T15:31:00Z</cp:lastPrinted>
  <dcterms:created xsi:type="dcterms:W3CDTF">2022-05-06T12:54:00Z</dcterms:created>
  <dcterms:modified xsi:type="dcterms:W3CDTF">2022-07-22T00:49:00Z</dcterms:modified>
</cp:coreProperties>
</file>