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206B" w14:textId="77777777" w:rsidR="004B05ED" w:rsidRPr="0026585E" w:rsidRDefault="004B05ED" w:rsidP="004B05ED">
      <w:pPr>
        <w:pStyle w:val="Heading3"/>
      </w:pPr>
      <w:r w:rsidRPr="0026585E">
        <w:t xml:space="preserve">DRUG AND ALCOHOL TESTING OF </w:t>
      </w:r>
    </w:p>
    <w:p w14:paraId="37DD95F8" w14:textId="77777777" w:rsidR="004B05ED" w:rsidRPr="0026585E" w:rsidRDefault="004B05ED" w:rsidP="00C7795E">
      <w:pPr>
        <w:pStyle w:val="Heading3"/>
      </w:pPr>
      <w:r w:rsidRPr="0026585E">
        <w:t>COMMERCIAL MOTOR VEHICLE OPERATORS</w:t>
      </w:r>
      <w:r w:rsidR="00A55CAA" w:rsidRPr="0026585E">
        <w:rPr>
          <w:b w:val="0"/>
        </w:rPr>
        <w:tab/>
      </w:r>
      <w:r w:rsidRPr="0026585E">
        <w:rPr>
          <w:b w:val="0"/>
          <w:i/>
          <w:sz w:val="20"/>
        </w:rPr>
        <w:t>Policy Code:</w:t>
      </w:r>
      <w:r w:rsidRPr="0026585E">
        <w:tab/>
      </w:r>
      <w:r w:rsidRPr="0026585E">
        <w:rPr>
          <w:sz w:val="24"/>
          <w:szCs w:val="24"/>
        </w:rPr>
        <w:t>7241</w:t>
      </w:r>
    </w:p>
    <w:p w14:paraId="4ACF108D" w14:textId="77777777" w:rsidR="004B05ED" w:rsidRPr="0026585E" w:rsidRDefault="0026585E" w:rsidP="004B05ED">
      <w:pPr>
        <w:widowControl/>
        <w:tabs>
          <w:tab w:val="left" w:pos="6840"/>
          <w:tab w:val="right" w:pos="9360"/>
        </w:tabs>
        <w:spacing w:line="109" w:lineRule="exact"/>
      </w:pPr>
      <w:r>
        <w:rPr>
          <w:noProof/>
          <w:snapToGrid/>
        </w:rPr>
        <mc:AlternateContent>
          <mc:Choice Requires="wps">
            <w:drawing>
              <wp:anchor distT="0" distB="0" distL="114300" distR="114300" simplePos="0" relativeHeight="251659776" behindDoc="0" locked="0" layoutInCell="0" allowOverlap="1" wp14:anchorId="1AC86F2C" wp14:editId="165DBB3C">
                <wp:simplePos x="0" y="0"/>
                <wp:positionH relativeFrom="column">
                  <wp:posOffset>0</wp:posOffset>
                </wp:positionH>
                <wp:positionV relativeFrom="paragraph">
                  <wp:posOffset>53340</wp:posOffset>
                </wp:positionV>
                <wp:extent cx="5943600" cy="0"/>
                <wp:effectExtent l="0" t="19050" r="19050" b="3810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46D44"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" o:allowincell="f" strokeweight="4.5pt">
                <v:stroke linestyle="thinThick"/>
              </v:line>
            </w:pict>
          </mc:Fallback>
        </mc:AlternateContent>
      </w:r>
    </w:p>
    <w:p w14:paraId="04BAD9AD" w14:textId="77777777" w:rsidR="004B05ED" w:rsidRPr="0026585E" w:rsidRDefault="004B05ED" w:rsidP="004B05ED">
      <w:pPr>
        <w:widowControl/>
        <w:tabs>
          <w:tab w:val="left" w:pos="-1440"/>
        </w:tabs>
        <w:jc w:val="both"/>
      </w:pPr>
    </w:p>
    <w:p w14:paraId="0F3D7D45" w14:textId="77777777" w:rsidR="00A55CAA" w:rsidRPr="0026585E" w:rsidRDefault="00A55CAA" w:rsidP="004B05ED">
      <w:pPr>
        <w:widowControl/>
        <w:tabs>
          <w:tab w:val="left" w:pos="-1440"/>
        </w:tabs>
        <w:jc w:val="both"/>
        <w:sectPr w:rsidR="00A55CAA" w:rsidRPr="0026585E" w:rsidSect="00E571BE">
          <w:headerReference w:type="default" r:id="rId8"/>
          <w:footerReference w:type="default" r:id="rId9"/>
          <w:pgSz w:w="12240" w:h="15840" w:code="1"/>
          <w:pgMar w:top="1440" w:right="1440" w:bottom="1440" w:left="1440" w:header="720" w:footer="720" w:gutter="0"/>
          <w:cols w:space="720"/>
          <w:docGrid w:linePitch="360"/>
        </w:sectPr>
      </w:pPr>
    </w:p>
    <w:p w14:paraId="44FB751E" w14:textId="77777777" w:rsidR="004B05ED" w:rsidRPr="00FD4562" w:rsidRDefault="004B05ED" w:rsidP="004B05ED">
      <w:pPr>
        <w:widowControl/>
        <w:tabs>
          <w:tab w:val="left" w:pos="-1440"/>
        </w:tabs>
        <w:jc w:val="both"/>
        <w:rPr>
          <w:color w:val="000000" w:themeColor="text1"/>
        </w:rPr>
      </w:pPr>
    </w:p>
    <w:p w14:paraId="7DC8CA73" w14:textId="77777777" w:rsidR="004B05ED" w:rsidRPr="00FD4562" w:rsidRDefault="004B05ED" w:rsidP="004B05ED">
      <w:pPr>
        <w:pStyle w:val="BodyText"/>
        <w:widowControl/>
        <w:rPr>
          <w:rFonts w:ascii="Times New Roman" w:hAnsi="Times New Roman"/>
          <w:color w:val="000000" w:themeColor="text1"/>
        </w:rPr>
      </w:pPr>
      <w:r w:rsidRPr="00FD4562">
        <w:rPr>
          <w:rFonts w:ascii="Times New Roman" w:hAnsi="Times New Roman"/>
          <w:color w:val="000000" w:themeColor="text1"/>
        </w:rPr>
        <w:t>The purpose</w:t>
      </w:r>
      <w:r w:rsidR="00067B71" w:rsidRPr="00FD4562">
        <w:rPr>
          <w:rFonts w:ascii="Times New Roman" w:hAnsi="Times New Roman"/>
          <w:color w:val="000000" w:themeColor="text1"/>
        </w:rPr>
        <w:t>s</w:t>
      </w:r>
      <w:r w:rsidRPr="00FD4562">
        <w:rPr>
          <w:rFonts w:ascii="Times New Roman" w:hAnsi="Times New Roman"/>
          <w:color w:val="000000" w:themeColor="text1"/>
        </w:rPr>
        <w:t xml:space="preserve"> of this policy </w:t>
      </w:r>
      <w:r w:rsidR="00067B71" w:rsidRPr="00FD4562">
        <w:rPr>
          <w:rFonts w:ascii="Times New Roman" w:hAnsi="Times New Roman"/>
          <w:color w:val="000000" w:themeColor="text1"/>
        </w:rPr>
        <w:t>are</w:t>
      </w:r>
      <w:r w:rsidRPr="00FD4562">
        <w:rPr>
          <w:rFonts w:ascii="Times New Roman" w:hAnsi="Times New Roman"/>
          <w:color w:val="000000" w:themeColor="text1"/>
        </w:rPr>
        <w:t xml:space="preserve"> to help ensure </w:t>
      </w:r>
      <w:r w:rsidR="00067B71" w:rsidRPr="00FD4562">
        <w:rPr>
          <w:rFonts w:ascii="Times New Roman" w:hAnsi="Times New Roman"/>
          <w:color w:val="000000" w:themeColor="text1"/>
        </w:rPr>
        <w:t xml:space="preserve">the </w:t>
      </w:r>
      <w:r w:rsidRPr="00FD4562">
        <w:rPr>
          <w:rFonts w:ascii="Times New Roman" w:hAnsi="Times New Roman"/>
          <w:color w:val="000000" w:themeColor="text1"/>
        </w:rPr>
        <w:t xml:space="preserve">safe operation of school vehicles and to comply with federal law and regulations by establishing a comprehensive program </w:t>
      </w:r>
      <w:r w:rsidR="00067B71" w:rsidRPr="00FD4562">
        <w:rPr>
          <w:rFonts w:ascii="Times New Roman" w:hAnsi="Times New Roman"/>
          <w:color w:val="000000" w:themeColor="text1"/>
        </w:rPr>
        <w:t>for</w:t>
      </w:r>
      <w:r w:rsidRPr="00FD4562">
        <w:rPr>
          <w:rFonts w:ascii="Times New Roman" w:hAnsi="Times New Roman"/>
          <w:color w:val="000000" w:themeColor="text1"/>
        </w:rPr>
        <w:t xml:space="preserve"> </w:t>
      </w:r>
      <w:r w:rsidR="00067B71" w:rsidRPr="00FD4562">
        <w:rPr>
          <w:rFonts w:ascii="Times New Roman" w:hAnsi="Times New Roman"/>
          <w:color w:val="000000" w:themeColor="text1"/>
        </w:rPr>
        <w:t xml:space="preserve">the </w:t>
      </w:r>
      <w:r w:rsidRPr="00FD4562">
        <w:rPr>
          <w:rFonts w:ascii="Times New Roman" w:hAnsi="Times New Roman"/>
          <w:color w:val="000000" w:themeColor="text1"/>
        </w:rPr>
        <w:t xml:space="preserve">drug and alcohol testing </w:t>
      </w:r>
      <w:r w:rsidR="00067B71" w:rsidRPr="00FD4562">
        <w:rPr>
          <w:rFonts w:ascii="Times New Roman" w:hAnsi="Times New Roman"/>
          <w:color w:val="000000" w:themeColor="text1"/>
        </w:rPr>
        <w:t>of</w:t>
      </w:r>
      <w:r w:rsidRPr="00FD4562">
        <w:rPr>
          <w:rFonts w:ascii="Times New Roman" w:hAnsi="Times New Roman"/>
          <w:color w:val="000000" w:themeColor="text1"/>
        </w:rPr>
        <w:t xml:space="preserve"> school bus drivers and all other commercial motor vehicle operators employed by the board of </w:t>
      </w:r>
      <w:r w:rsidR="00351055" w:rsidRPr="00FD4562">
        <w:rPr>
          <w:rFonts w:ascii="Times New Roman" w:hAnsi="Times New Roman"/>
          <w:color w:val="000000" w:themeColor="text1"/>
        </w:rPr>
        <w:t>directors</w:t>
      </w:r>
      <w:r w:rsidRPr="00FD4562">
        <w:rPr>
          <w:rFonts w:ascii="Times New Roman" w:hAnsi="Times New Roman"/>
          <w:color w:val="000000" w:themeColor="text1"/>
        </w:rPr>
        <w:t>.</w:t>
      </w:r>
    </w:p>
    <w:p w14:paraId="1B0B93B8" w14:textId="77777777" w:rsidR="004B05ED" w:rsidRPr="00FD4562" w:rsidRDefault="004B05ED" w:rsidP="004B05ED">
      <w:pPr>
        <w:widowControl/>
        <w:tabs>
          <w:tab w:val="left" w:pos="-1440"/>
        </w:tabs>
        <w:jc w:val="both"/>
        <w:rPr>
          <w:color w:val="000000" w:themeColor="text1"/>
        </w:rPr>
      </w:pPr>
    </w:p>
    <w:p w14:paraId="262EA9BA" w14:textId="77777777" w:rsidR="004B05ED" w:rsidRPr="00FD4562" w:rsidRDefault="004B05ED" w:rsidP="00750B0A">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Applicability</w:t>
      </w:r>
    </w:p>
    <w:p w14:paraId="6731FAAB" w14:textId="77777777" w:rsidR="004B05ED" w:rsidRPr="00FD4562" w:rsidRDefault="004B05ED" w:rsidP="004B05ED">
      <w:pPr>
        <w:widowControl/>
        <w:tabs>
          <w:tab w:val="left" w:pos="-1440"/>
        </w:tabs>
        <w:jc w:val="both"/>
        <w:rPr>
          <w:color w:val="000000" w:themeColor="text1"/>
        </w:rPr>
      </w:pPr>
    </w:p>
    <w:p w14:paraId="036A5182" w14:textId="77777777" w:rsidR="004B05ED" w:rsidRPr="00FD4562" w:rsidRDefault="00D87719" w:rsidP="004B05ED">
      <w:pPr>
        <w:widowControl/>
        <w:tabs>
          <w:tab w:val="left" w:pos="-1440"/>
        </w:tabs>
        <w:ind w:left="720"/>
        <w:jc w:val="both"/>
        <w:rPr>
          <w:color w:val="000000" w:themeColor="text1"/>
        </w:rPr>
      </w:pPr>
      <w:r w:rsidRPr="00FD4562">
        <w:rPr>
          <w:color w:val="000000" w:themeColor="text1"/>
        </w:rPr>
        <w:t>This policy applies to any driver</w:t>
      </w:r>
      <w:r w:rsidR="00CA77C2" w:rsidRPr="00FD4562">
        <w:rPr>
          <w:color w:val="000000" w:themeColor="text1"/>
        </w:rPr>
        <w:t xml:space="preserve"> </w:t>
      </w:r>
      <w:r w:rsidRPr="00FD4562">
        <w:rPr>
          <w:color w:val="000000" w:themeColor="text1"/>
        </w:rPr>
        <w:t>which, for purposes of this policy,</w:t>
      </w:r>
      <w:r w:rsidR="004B05ED" w:rsidRPr="00FD4562">
        <w:rPr>
          <w:color w:val="000000" w:themeColor="text1"/>
        </w:rPr>
        <w:t xml:space="preserve"> </w:t>
      </w:r>
      <w:r w:rsidR="00604C6F" w:rsidRPr="00FD4562">
        <w:rPr>
          <w:color w:val="000000" w:themeColor="text1"/>
        </w:rPr>
        <w:t>is defined as</w:t>
      </w:r>
      <w:r w:rsidR="001F22C2" w:rsidRPr="00FD4562">
        <w:rPr>
          <w:color w:val="000000" w:themeColor="text1"/>
        </w:rPr>
        <w:t xml:space="preserve"> </w:t>
      </w:r>
      <w:r w:rsidR="004B05ED" w:rsidRPr="00FD4562">
        <w:rPr>
          <w:color w:val="000000" w:themeColor="text1"/>
        </w:rPr>
        <w:t>any employee, volunteer</w:t>
      </w:r>
      <w:r w:rsidR="002A3DE7" w:rsidRPr="00FD4562">
        <w:rPr>
          <w:color w:val="000000" w:themeColor="text1"/>
        </w:rPr>
        <w:t>,</w:t>
      </w:r>
      <w:r w:rsidR="004B05ED" w:rsidRPr="00FD4562">
        <w:rPr>
          <w:color w:val="000000" w:themeColor="text1"/>
        </w:rPr>
        <w:t xml:space="preserve"> or independent contractor who operates a commercial motor vehicle in the course of </w:t>
      </w:r>
      <w:r w:rsidR="00067B71" w:rsidRPr="00FD4562">
        <w:rPr>
          <w:color w:val="000000" w:themeColor="text1"/>
        </w:rPr>
        <w:t xml:space="preserve">his or her </w:t>
      </w:r>
      <w:r w:rsidR="004B05ED" w:rsidRPr="00FD4562">
        <w:rPr>
          <w:color w:val="000000" w:themeColor="text1"/>
        </w:rPr>
        <w:t xml:space="preserve">duties for the board of </w:t>
      </w:r>
      <w:r w:rsidR="006D46A9" w:rsidRPr="00FD4562">
        <w:rPr>
          <w:color w:val="000000" w:themeColor="text1"/>
        </w:rPr>
        <w:t>directors</w:t>
      </w:r>
      <w:r w:rsidR="004B05ED" w:rsidRPr="00FD4562">
        <w:rPr>
          <w:color w:val="000000" w:themeColor="text1"/>
        </w:rPr>
        <w:t xml:space="preserve">, including anyone who regularly or intermittently drives a school bus, </w:t>
      </w:r>
      <w:r w:rsidR="00851CC3" w:rsidRPr="00FD4562">
        <w:rPr>
          <w:color w:val="000000" w:themeColor="text1"/>
        </w:rPr>
        <w:t xml:space="preserve">an </w:t>
      </w:r>
      <w:r w:rsidR="004B05ED" w:rsidRPr="00FD4562">
        <w:rPr>
          <w:color w:val="000000" w:themeColor="text1"/>
        </w:rPr>
        <w:t>activity bus</w:t>
      </w:r>
      <w:r w:rsidR="002A3DE7" w:rsidRPr="00FD4562">
        <w:rPr>
          <w:color w:val="000000" w:themeColor="text1"/>
        </w:rPr>
        <w:t>,</w:t>
      </w:r>
      <w:r w:rsidR="004B05ED" w:rsidRPr="00FD4562">
        <w:rPr>
          <w:color w:val="000000" w:themeColor="text1"/>
        </w:rPr>
        <w:t xml:space="preserve"> </w:t>
      </w:r>
      <w:r w:rsidR="00851CC3" w:rsidRPr="00FD4562">
        <w:rPr>
          <w:color w:val="000000" w:themeColor="text1"/>
        </w:rPr>
        <w:t>a</w:t>
      </w:r>
      <w:r w:rsidR="004B05ED" w:rsidRPr="00FD4562">
        <w:rPr>
          <w:color w:val="000000" w:themeColor="text1"/>
        </w:rPr>
        <w:t xml:space="preserve"> vehicle designed to transport </w:t>
      </w:r>
      <w:r w:rsidR="007C175F" w:rsidRPr="00FD4562">
        <w:rPr>
          <w:color w:val="000000" w:themeColor="text1"/>
        </w:rPr>
        <w:t>16</w:t>
      </w:r>
      <w:r w:rsidR="004B05ED" w:rsidRPr="00FD4562">
        <w:rPr>
          <w:color w:val="000000" w:themeColor="text1"/>
        </w:rPr>
        <w:t xml:space="preserve"> or more people </w:t>
      </w:r>
      <w:r w:rsidR="00851CC3" w:rsidRPr="00FD4562">
        <w:rPr>
          <w:color w:val="000000" w:themeColor="text1"/>
        </w:rPr>
        <w:t>(</w:t>
      </w:r>
      <w:r w:rsidR="004B05ED" w:rsidRPr="00FD4562">
        <w:rPr>
          <w:color w:val="000000" w:themeColor="text1"/>
        </w:rPr>
        <w:t>including the driver</w:t>
      </w:r>
      <w:r w:rsidR="00851CC3" w:rsidRPr="00FD4562">
        <w:rPr>
          <w:color w:val="000000" w:themeColor="text1"/>
        </w:rPr>
        <w:t>)</w:t>
      </w:r>
      <w:r w:rsidR="00FE0713" w:rsidRPr="00FD4562">
        <w:rPr>
          <w:color w:val="000000" w:themeColor="text1"/>
        </w:rPr>
        <w:t>, or any other vehicle that meets the definition of commercial motor vehicle under federal law or regulation</w:t>
      </w:r>
      <w:r w:rsidR="005C2E96" w:rsidRPr="00FD4562">
        <w:rPr>
          <w:color w:val="000000" w:themeColor="text1"/>
        </w:rPr>
        <w:t xml:space="preserve">. </w:t>
      </w:r>
      <w:r w:rsidR="00851CC3" w:rsidRPr="00FD4562">
        <w:rPr>
          <w:color w:val="000000" w:themeColor="text1"/>
        </w:rPr>
        <w:t xml:space="preserve"> </w:t>
      </w:r>
      <w:r w:rsidR="005C2E96" w:rsidRPr="00FD4562">
        <w:rPr>
          <w:color w:val="000000" w:themeColor="text1"/>
        </w:rPr>
        <w:t xml:space="preserve">Employees who operate vehicles for inspection, service, or maintenance purposes are </w:t>
      </w:r>
      <w:r w:rsidR="00954551" w:rsidRPr="00FD4562">
        <w:rPr>
          <w:color w:val="000000" w:themeColor="text1"/>
        </w:rPr>
        <w:t>included in this defin</w:t>
      </w:r>
      <w:r w:rsidR="00966A64" w:rsidRPr="00FD4562">
        <w:rPr>
          <w:color w:val="000000" w:themeColor="text1"/>
        </w:rPr>
        <w:t>i</w:t>
      </w:r>
      <w:r w:rsidR="00954551" w:rsidRPr="00FD4562">
        <w:rPr>
          <w:color w:val="000000" w:themeColor="text1"/>
        </w:rPr>
        <w:t>tion</w:t>
      </w:r>
      <w:r w:rsidR="004B05ED" w:rsidRPr="00FD4562">
        <w:rPr>
          <w:color w:val="000000" w:themeColor="text1"/>
        </w:rPr>
        <w:t>.</w:t>
      </w:r>
    </w:p>
    <w:p w14:paraId="20C5A479" w14:textId="77777777" w:rsidR="004B05ED" w:rsidRPr="00FD4562" w:rsidRDefault="004B05ED" w:rsidP="004B05ED">
      <w:pPr>
        <w:widowControl/>
        <w:tabs>
          <w:tab w:val="left" w:pos="-1440"/>
        </w:tabs>
        <w:jc w:val="both"/>
        <w:rPr>
          <w:color w:val="000000" w:themeColor="text1"/>
        </w:rPr>
      </w:pPr>
    </w:p>
    <w:p w14:paraId="59436AEE" w14:textId="77777777" w:rsidR="004B05ED" w:rsidRPr="00FD4562" w:rsidRDefault="004B05ED" w:rsidP="00750B0A">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Prohibited Acts</w:t>
      </w:r>
    </w:p>
    <w:p w14:paraId="0A6A166A" w14:textId="77777777" w:rsidR="004B05ED" w:rsidRPr="00FD4562" w:rsidRDefault="004B05ED" w:rsidP="004B05ED">
      <w:pPr>
        <w:widowControl/>
        <w:tabs>
          <w:tab w:val="left" w:pos="-1440"/>
        </w:tabs>
        <w:jc w:val="both"/>
        <w:rPr>
          <w:color w:val="000000" w:themeColor="text1"/>
        </w:rPr>
      </w:pPr>
    </w:p>
    <w:p w14:paraId="22EA8DD7" w14:textId="77777777" w:rsidR="006D76AE" w:rsidRPr="00FD4562" w:rsidRDefault="004255C4" w:rsidP="001F22C2">
      <w:pPr>
        <w:widowControl/>
        <w:tabs>
          <w:tab w:val="left" w:pos="-1440"/>
        </w:tabs>
        <w:ind w:left="720"/>
        <w:jc w:val="both"/>
        <w:rPr>
          <w:color w:val="000000" w:themeColor="text1"/>
        </w:rPr>
      </w:pPr>
      <w:r w:rsidRPr="00FD4562">
        <w:rPr>
          <w:color w:val="000000" w:themeColor="text1"/>
        </w:rPr>
        <w:t>No driver may</w:t>
      </w:r>
      <w:r w:rsidR="006D76AE" w:rsidRPr="00FD4562">
        <w:rPr>
          <w:color w:val="000000" w:themeColor="text1"/>
        </w:rPr>
        <w:t>:</w:t>
      </w:r>
    </w:p>
    <w:p w14:paraId="1B5046D3" w14:textId="77777777" w:rsidR="006D76AE" w:rsidRPr="00FD4562" w:rsidRDefault="006D76AE" w:rsidP="001F22C2">
      <w:pPr>
        <w:widowControl/>
        <w:tabs>
          <w:tab w:val="left" w:pos="-1440"/>
        </w:tabs>
        <w:ind w:left="720"/>
        <w:jc w:val="both"/>
        <w:rPr>
          <w:color w:val="000000" w:themeColor="text1"/>
        </w:rPr>
      </w:pPr>
    </w:p>
    <w:p w14:paraId="71B9DEB2" w14:textId="77777777" w:rsidR="006D76AE" w:rsidRPr="00FD4562" w:rsidRDefault="004255C4" w:rsidP="001F22C2">
      <w:pPr>
        <w:widowControl/>
        <w:numPr>
          <w:ilvl w:val="0"/>
          <w:numId w:val="13"/>
        </w:numPr>
        <w:tabs>
          <w:tab w:val="left" w:pos="-1440"/>
        </w:tabs>
        <w:ind w:left="1440" w:hanging="720"/>
        <w:jc w:val="both"/>
        <w:rPr>
          <w:color w:val="000000" w:themeColor="text1"/>
        </w:rPr>
      </w:pPr>
      <w:r w:rsidRPr="00FD4562">
        <w:rPr>
          <w:color w:val="000000" w:themeColor="text1"/>
        </w:rPr>
        <w:t>operate any school bus or school activity bus while consuming alcohol or while alcohol remains in the driver’s body</w:t>
      </w:r>
      <w:r w:rsidR="00F2378A" w:rsidRPr="00FD4562">
        <w:rPr>
          <w:color w:val="000000" w:themeColor="text1"/>
        </w:rPr>
        <w:t>,</w:t>
      </w:r>
      <w:r w:rsidRPr="00FD4562">
        <w:rPr>
          <w:color w:val="000000" w:themeColor="text1"/>
        </w:rPr>
        <w:t xml:space="preserve"> in violation of G.S. 20-138.</w:t>
      </w:r>
      <w:proofErr w:type="gramStart"/>
      <w:r w:rsidRPr="00FD4562">
        <w:rPr>
          <w:color w:val="000000" w:themeColor="text1"/>
        </w:rPr>
        <w:t>2B</w:t>
      </w:r>
      <w:r w:rsidR="006D76AE" w:rsidRPr="00FD4562">
        <w:rPr>
          <w:color w:val="000000" w:themeColor="text1"/>
        </w:rPr>
        <w:t>;</w:t>
      </w:r>
      <w:proofErr w:type="gramEnd"/>
      <w:r w:rsidRPr="00FD4562">
        <w:rPr>
          <w:color w:val="000000" w:themeColor="text1"/>
        </w:rPr>
        <w:t xml:space="preserve">  </w:t>
      </w:r>
    </w:p>
    <w:p w14:paraId="02A14EE6" w14:textId="77777777" w:rsidR="006D76AE" w:rsidRPr="00FD4562" w:rsidRDefault="006D76AE" w:rsidP="001F22C2">
      <w:pPr>
        <w:widowControl/>
        <w:tabs>
          <w:tab w:val="left" w:pos="-1440"/>
        </w:tabs>
        <w:ind w:left="1440"/>
        <w:jc w:val="both"/>
        <w:rPr>
          <w:color w:val="000000" w:themeColor="text1"/>
        </w:rPr>
      </w:pPr>
    </w:p>
    <w:p w14:paraId="015C8754" w14:textId="77777777" w:rsidR="006D76AE" w:rsidRPr="00FD4562" w:rsidRDefault="006D76AE" w:rsidP="001F22C2">
      <w:pPr>
        <w:widowControl/>
        <w:numPr>
          <w:ilvl w:val="0"/>
          <w:numId w:val="13"/>
        </w:numPr>
        <w:tabs>
          <w:tab w:val="left" w:pos="-1440"/>
        </w:tabs>
        <w:ind w:left="1440" w:hanging="720"/>
        <w:jc w:val="both"/>
        <w:rPr>
          <w:color w:val="000000" w:themeColor="text1"/>
        </w:rPr>
      </w:pPr>
      <w:r w:rsidRPr="00FD4562">
        <w:rPr>
          <w:color w:val="000000" w:themeColor="text1"/>
        </w:rPr>
        <w:t xml:space="preserve">use alcohol while performing safety-sensitive </w:t>
      </w:r>
      <w:proofErr w:type="gramStart"/>
      <w:r w:rsidRPr="00FD4562">
        <w:rPr>
          <w:color w:val="000000" w:themeColor="text1"/>
        </w:rPr>
        <w:t>functions;</w:t>
      </w:r>
      <w:proofErr w:type="gramEnd"/>
    </w:p>
    <w:p w14:paraId="55C056B7" w14:textId="77777777" w:rsidR="006D76AE" w:rsidRPr="00FD4562" w:rsidRDefault="006D76AE" w:rsidP="001F22C2">
      <w:pPr>
        <w:pStyle w:val="ListParagraph"/>
        <w:jc w:val="both"/>
        <w:rPr>
          <w:color w:val="000000" w:themeColor="text1"/>
        </w:rPr>
      </w:pPr>
    </w:p>
    <w:p w14:paraId="4ECB99F8" w14:textId="65AE3B2E" w:rsidR="006D76AE" w:rsidRPr="00FD4562" w:rsidRDefault="006D76AE" w:rsidP="001F22C2">
      <w:pPr>
        <w:widowControl/>
        <w:numPr>
          <w:ilvl w:val="0"/>
          <w:numId w:val="13"/>
        </w:numPr>
        <w:tabs>
          <w:tab w:val="left" w:pos="-1440"/>
        </w:tabs>
        <w:ind w:left="1440" w:hanging="720"/>
        <w:jc w:val="both"/>
        <w:rPr>
          <w:color w:val="000000" w:themeColor="text1"/>
        </w:rPr>
      </w:pPr>
      <w:r w:rsidRPr="00FD4562">
        <w:rPr>
          <w:color w:val="000000" w:themeColor="text1"/>
        </w:rPr>
        <w:t xml:space="preserve">perform safety-sensitive functions within four hours after using </w:t>
      </w:r>
      <w:proofErr w:type="gramStart"/>
      <w:r w:rsidRPr="00FD4562">
        <w:rPr>
          <w:color w:val="000000" w:themeColor="text1"/>
        </w:rPr>
        <w:t>alcohol;</w:t>
      </w:r>
      <w:proofErr w:type="gramEnd"/>
    </w:p>
    <w:p w14:paraId="60BCD3C4" w14:textId="77777777" w:rsidR="006C74CD" w:rsidRPr="00FD4562" w:rsidRDefault="006C74CD" w:rsidP="006C74CD">
      <w:pPr>
        <w:pStyle w:val="ListParagraph"/>
        <w:rPr>
          <w:color w:val="000000" w:themeColor="text1"/>
        </w:rPr>
      </w:pPr>
    </w:p>
    <w:p w14:paraId="3DCA9599" w14:textId="7E15E575" w:rsidR="006C74CD" w:rsidRPr="00FD4562" w:rsidRDefault="006C74CD" w:rsidP="006C74CD">
      <w:pPr>
        <w:widowControl/>
        <w:numPr>
          <w:ilvl w:val="0"/>
          <w:numId w:val="13"/>
        </w:numPr>
        <w:tabs>
          <w:tab w:val="left" w:pos="-1440"/>
        </w:tabs>
        <w:ind w:left="1440" w:hanging="720"/>
        <w:jc w:val="both"/>
        <w:rPr>
          <w:color w:val="000000" w:themeColor="text1"/>
        </w:rPr>
      </w:pPr>
      <w:r w:rsidRPr="00FD4562">
        <w:rPr>
          <w:color w:val="000000" w:themeColor="text1"/>
        </w:rPr>
        <w:t xml:space="preserve">use alcohol within eight hours following an accident while operating a commercial motor vehicle or until undergoing a post-accident alcohol test, whichever occurs </w:t>
      </w:r>
      <w:proofErr w:type="gramStart"/>
      <w:r w:rsidRPr="00FD4562">
        <w:rPr>
          <w:color w:val="000000" w:themeColor="text1"/>
        </w:rPr>
        <w:t>first;</w:t>
      </w:r>
      <w:proofErr w:type="gramEnd"/>
    </w:p>
    <w:p w14:paraId="002A3818" w14:textId="77777777" w:rsidR="006C74CD" w:rsidRPr="00FD4562" w:rsidRDefault="006C74CD" w:rsidP="006C74CD">
      <w:pPr>
        <w:pStyle w:val="ListParagraph"/>
        <w:rPr>
          <w:color w:val="000000" w:themeColor="text1"/>
        </w:rPr>
      </w:pPr>
    </w:p>
    <w:p w14:paraId="552EA5BC" w14:textId="77777777" w:rsidR="006C74CD" w:rsidRPr="00FD4562" w:rsidRDefault="006D76AE" w:rsidP="006C74CD">
      <w:pPr>
        <w:widowControl/>
        <w:numPr>
          <w:ilvl w:val="0"/>
          <w:numId w:val="13"/>
        </w:numPr>
        <w:tabs>
          <w:tab w:val="left" w:pos="-1440"/>
        </w:tabs>
        <w:ind w:left="1440" w:hanging="720"/>
        <w:jc w:val="both"/>
        <w:rPr>
          <w:color w:val="000000" w:themeColor="text1"/>
        </w:rPr>
      </w:pPr>
      <w:r w:rsidRPr="00FD4562">
        <w:rPr>
          <w:color w:val="000000" w:themeColor="text1"/>
        </w:rPr>
        <w:t xml:space="preserve">report for or remain on duty requiring the performance of safety-sensitive functions when the driver </w:t>
      </w:r>
      <w:r w:rsidR="00E36CFF" w:rsidRPr="00FD4562">
        <w:rPr>
          <w:color w:val="000000" w:themeColor="text1"/>
        </w:rPr>
        <w:t>uses</w:t>
      </w:r>
      <w:r w:rsidRPr="00FD4562">
        <w:rPr>
          <w:color w:val="000000" w:themeColor="text1"/>
        </w:rPr>
        <w:t xml:space="preserve"> any Schedule I drug or </w:t>
      </w:r>
      <w:proofErr w:type="gramStart"/>
      <w:r w:rsidRPr="00FD4562">
        <w:rPr>
          <w:color w:val="000000" w:themeColor="text1"/>
        </w:rPr>
        <w:t>substance;</w:t>
      </w:r>
      <w:proofErr w:type="gramEnd"/>
      <w:r w:rsidR="002771A6" w:rsidRPr="00FD4562">
        <w:rPr>
          <w:color w:val="000000" w:themeColor="text1"/>
        </w:rPr>
        <w:t xml:space="preserve"> or</w:t>
      </w:r>
    </w:p>
    <w:p w14:paraId="7998FC9A" w14:textId="77777777" w:rsidR="006C74CD" w:rsidRPr="00FD4562" w:rsidRDefault="006C74CD" w:rsidP="006C74CD">
      <w:pPr>
        <w:pStyle w:val="ListParagraph"/>
        <w:rPr>
          <w:color w:val="000000" w:themeColor="text1"/>
        </w:rPr>
      </w:pPr>
    </w:p>
    <w:p w14:paraId="53EA09A1" w14:textId="42731D0F" w:rsidR="002C6656" w:rsidRPr="00FD4562" w:rsidRDefault="006D76AE" w:rsidP="006C74CD">
      <w:pPr>
        <w:widowControl/>
        <w:numPr>
          <w:ilvl w:val="0"/>
          <w:numId w:val="13"/>
        </w:numPr>
        <w:tabs>
          <w:tab w:val="left" w:pos="-1440"/>
        </w:tabs>
        <w:ind w:left="1440" w:hanging="720"/>
        <w:jc w:val="both"/>
        <w:rPr>
          <w:color w:val="000000" w:themeColor="text1"/>
        </w:rPr>
      </w:pPr>
      <w:r w:rsidRPr="00FD4562">
        <w:rPr>
          <w:color w:val="000000" w:themeColor="text1"/>
        </w:rPr>
        <w:t>report for or remain on duty requiring the performance of safety-sensitive functions when the driver use</w:t>
      </w:r>
      <w:r w:rsidR="009437A1" w:rsidRPr="00FD4562">
        <w:rPr>
          <w:color w:val="000000" w:themeColor="text1"/>
        </w:rPr>
        <w:t>s</w:t>
      </w:r>
      <w:r w:rsidRPr="00FD4562">
        <w:rPr>
          <w:color w:val="000000" w:themeColor="text1"/>
        </w:rPr>
        <w:t xml:space="preserve"> any non-Schedule I drug or substance</w:t>
      </w:r>
      <w:r w:rsidR="002C6656" w:rsidRPr="00FD4562">
        <w:rPr>
          <w:color w:val="000000" w:themeColor="text1"/>
        </w:rPr>
        <w:t>, unless such use is pursuant to the instruction</w:t>
      </w:r>
      <w:r w:rsidR="00851CC3" w:rsidRPr="00FD4562">
        <w:rPr>
          <w:color w:val="000000" w:themeColor="text1"/>
        </w:rPr>
        <w:t>s</w:t>
      </w:r>
      <w:r w:rsidR="002C6656" w:rsidRPr="00FD4562">
        <w:rPr>
          <w:color w:val="000000" w:themeColor="text1"/>
        </w:rPr>
        <w:t xml:space="preserve"> of a licensed medical practitioner who is familiar with the driver’s medical history and has advised the driver that use of the substance will not adversely affect the driver’s ability to safely operate a commercial motor vehicle.</w:t>
      </w:r>
    </w:p>
    <w:p w14:paraId="54805AC0" w14:textId="77777777" w:rsidR="002C6656" w:rsidRPr="00FD4562" w:rsidRDefault="002C6656" w:rsidP="001F22C2">
      <w:pPr>
        <w:pStyle w:val="ListParagraph"/>
        <w:jc w:val="both"/>
        <w:rPr>
          <w:color w:val="000000" w:themeColor="text1"/>
        </w:rPr>
      </w:pPr>
    </w:p>
    <w:p w14:paraId="5B265BDA" w14:textId="77777777" w:rsidR="002C6656" w:rsidRPr="00FD4562" w:rsidRDefault="002C6656" w:rsidP="001F22C2">
      <w:pPr>
        <w:widowControl/>
        <w:tabs>
          <w:tab w:val="left" w:pos="-1440"/>
        </w:tabs>
        <w:ind w:left="720"/>
        <w:jc w:val="both"/>
        <w:rPr>
          <w:color w:val="000000" w:themeColor="text1"/>
        </w:rPr>
      </w:pPr>
      <w:r w:rsidRPr="00FD4562">
        <w:rPr>
          <w:color w:val="000000" w:themeColor="text1"/>
        </w:rPr>
        <w:t>Safety-sensitive functions include</w:t>
      </w:r>
      <w:r w:rsidR="00851CC3" w:rsidRPr="00FD4562">
        <w:rPr>
          <w:color w:val="000000" w:themeColor="text1"/>
        </w:rPr>
        <w:t>,</w:t>
      </w:r>
      <w:r w:rsidRPr="00FD4562">
        <w:rPr>
          <w:color w:val="000000" w:themeColor="text1"/>
        </w:rPr>
        <w:t xml:space="preserve"> but are not limited to</w:t>
      </w:r>
      <w:r w:rsidR="00851CC3" w:rsidRPr="00FD4562">
        <w:rPr>
          <w:color w:val="000000" w:themeColor="text1"/>
        </w:rPr>
        <w:t>,</w:t>
      </w:r>
      <w:r w:rsidRPr="00FD4562">
        <w:rPr>
          <w:color w:val="000000" w:themeColor="text1"/>
        </w:rPr>
        <w:t xml:space="preserve"> inspecting, servicing, or conditioning any commercial motor vehicle; operating any commercial motor vehicle; </w:t>
      </w:r>
      <w:r w:rsidRPr="00FD4562">
        <w:rPr>
          <w:color w:val="000000" w:themeColor="text1"/>
        </w:rPr>
        <w:lastRenderedPageBreak/>
        <w:t xml:space="preserve">participating in or supervising the loading </w:t>
      </w:r>
      <w:r w:rsidR="00851CC3" w:rsidRPr="00FD4562">
        <w:rPr>
          <w:color w:val="000000" w:themeColor="text1"/>
        </w:rPr>
        <w:t>or</w:t>
      </w:r>
      <w:r w:rsidRPr="00FD4562">
        <w:rPr>
          <w:color w:val="000000" w:themeColor="text1"/>
        </w:rPr>
        <w:t xml:space="preserve"> unloading of a commercial motor vehicle; </w:t>
      </w:r>
      <w:r w:rsidR="00851CC3" w:rsidRPr="00FD4562">
        <w:rPr>
          <w:color w:val="000000" w:themeColor="text1"/>
        </w:rPr>
        <w:t>and</w:t>
      </w:r>
      <w:r w:rsidRPr="00FD4562">
        <w:rPr>
          <w:color w:val="000000" w:themeColor="text1"/>
        </w:rPr>
        <w:t xml:space="preserve"> repairing, obtaining assistan</w:t>
      </w:r>
      <w:r w:rsidR="00A13D5F" w:rsidRPr="00FD4562">
        <w:rPr>
          <w:color w:val="000000" w:themeColor="text1"/>
        </w:rPr>
        <w:t>ce</w:t>
      </w:r>
      <w:r w:rsidR="00851CC3" w:rsidRPr="00FD4562">
        <w:rPr>
          <w:color w:val="000000" w:themeColor="text1"/>
        </w:rPr>
        <w:t xml:space="preserve"> for</w:t>
      </w:r>
      <w:r w:rsidRPr="00FD4562">
        <w:rPr>
          <w:color w:val="000000" w:themeColor="text1"/>
        </w:rPr>
        <w:t>, or remaining in attendance upon a disabled vehicle.</w:t>
      </w:r>
    </w:p>
    <w:p w14:paraId="699EADCF" w14:textId="77777777" w:rsidR="004255C4" w:rsidRPr="00FD4562" w:rsidRDefault="004255C4" w:rsidP="001F22C2">
      <w:pPr>
        <w:widowControl/>
        <w:tabs>
          <w:tab w:val="left" w:pos="-1440"/>
        </w:tabs>
        <w:ind w:left="720"/>
        <w:jc w:val="both"/>
        <w:rPr>
          <w:color w:val="000000" w:themeColor="text1"/>
        </w:rPr>
      </w:pPr>
    </w:p>
    <w:p w14:paraId="077EC275" w14:textId="77777777" w:rsidR="004B05ED" w:rsidRPr="00FD4562" w:rsidRDefault="004B05ED" w:rsidP="001F22C2">
      <w:pPr>
        <w:widowControl/>
        <w:tabs>
          <w:tab w:val="left" w:pos="-1440"/>
        </w:tabs>
        <w:ind w:left="720"/>
        <w:jc w:val="both"/>
        <w:rPr>
          <w:color w:val="000000" w:themeColor="text1"/>
        </w:rPr>
      </w:pPr>
      <w:r w:rsidRPr="00FD4562">
        <w:rPr>
          <w:color w:val="000000" w:themeColor="text1"/>
        </w:rPr>
        <w:t xml:space="preserve">In addition, </w:t>
      </w:r>
      <w:r w:rsidR="00B86E71" w:rsidRPr="00FD4562">
        <w:rPr>
          <w:color w:val="000000" w:themeColor="text1"/>
        </w:rPr>
        <w:t>drivers</w:t>
      </w:r>
      <w:r w:rsidRPr="00FD4562">
        <w:rPr>
          <w:color w:val="000000" w:themeColor="text1"/>
        </w:rPr>
        <w:t xml:space="preserve"> and anyone who supervises </w:t>
      </w:r>
      <w:r w:rsidR="00B86E71" w:rsidRPr="00FD4562">
        <w:rPr>
          <w:color w:val="000000" w:themeColor="text1"/>
        </w:rPr>
        <w:t>drivers</w:t>
      </w:r>
      <w:r w:rsidRPr="00FD4562">
        <w:rPr>
          <w:color w:val="000000" w:themeColor="text1"/>
        </w:rPr>
        <w:t xml:space="preserve"> </w:t>
      </w:r>
      <w:r w:rsidR="00553B77" w:rsidRPr="00FD4562">
        <w:rPr>
          <w:color w:val="000000" w:themeColor="text1"/>
        </w:rPr>
        <w:t xml:space="preserve">must </w:t>
      </w:r>
      <w:r w:rsidRPr="00FD4562">
        <w:rPr>
          <w:color w:val="000000" w:themeColor="text1"/>
        </w:rPr>
        <w:t>not commit any act prohibited by federal law, including “Controlled Substance</w:t>
      </w:r>
      <w:r w:rsidR="00DB2E8C" w:rsidRPr="00FD4562">
        <w:rPr>
          <w:color w:val="000000" w:themeColor="text1"/>
        </w:rPr>
        <w:t>s</w:t>
      </w:r>
      <w:r w:rsidRPr="00FD4562">
        <w:rPr>
          <w:color w:val="000000" w:themeColor="text1"/>
        </w:rPr>
        <w:t xml:space="preserve"> and Alcohol Us</w:t>
      </w:r>
      <w:r w:rsidR="007C175F" w:rsidRPr="00FD4562">
        <w:rPr>
          <w:color w:val="000000" w:themeColor="text1"/>
        </w:rPr>
        <w:t xml:space="preserve">e </w:t>
      </w:r>
      <w:r w:rsidR="00DB2E8C" w:rsidRPr="00FD4562">
        <w:rPr>
          <w:color w:val="000000" w:themeColor="text1"/>
        </w:rPr>
        <w:t xml:space="preserve">and </w:t>
      </w:r>
      <w:r w:rsidR="007C175F" w:rsidRPr="00FD4562">
        <w:rPr>
          <w:color w:val="000000" w:themeColor="text1"/>
        </w:rPr>
        <w:t xml:space="preserve">Testing” (49 C.F.R. pt. 382, </w:t>
      </w:r>
      <w:r w:rsidRPr="00FD4562">
        <w:rPr>
          <w:color w:val="000000" w:themeColor="text1"/>
        </w:rPr>
        <w:t>hereinafter referred to as Part 382), or by policy 7240</w:t>
      </w:r>
      <w:r w:rsidR="00E92AD8" w:rsidRPr="00FD4562">
        <w:rPr>
          <w:color w:val="000000" w:themeColor="text1"/>
        </w:rPr>
        <w:t>, Drug-Free and Alcohol-Free Workplace</w:t>
      </w:r>
      <w:r w:rsidRPr="00FD4562">
        <w:rPr>
          <w:color w:val="000000" w:themeColor="text1"/>
        </w:rPr>
        <w:t>.</w:t>
      </w:r>
      <w:r w:rsidR="00FA787E" w:rsidRPr="00FD4562">
        <w:rPr>
          <w:color w:val="000000" w:themeColor="text1"/>
        </w:rPr>
        <w:t xml:space="preserve">  </w:t>
      </w:r>
    </w:p>
    <w:p w14:paraId="24F6B755" w14:textId="77777777" w:rsidR="004B05ED" w:rsidRPr="00FD4562" w:rsidRDefault="004B05ED" w:rsidP="001F22C2">
      <w:pPr>
        <w:widowControl/>
        <w:tabs>
          <w:tab w:val="left" w:pos="-1440"/>
        </w:tabs>
        <w:jc w:val="both"/>
        <w:rPr>
          <w:color w:val="000000" w:themeColor="text1"/>
        </w:rPr>
      </w:pPr>
    </w:p>
    <w:p w14:paraId="27E3ED88"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Testing</w:t>
      </w:r>
    </w:p>
    <w:p w14:paraId="6E1C2FFA" w14:textId="77777777" w:rsidR="004B05ED" w:rsidRPr="00FD4562" w:rsidRDefault="004B05ED" w:rsidP="001F22C2">
      <w:pPr>
        <w:widowControl/>
        <w:tabs>
          <w:tab w:val="left" w:pos="-1440"/>
        </w:tabs>
        <w:jc w:val="both"/>
        <w:rPr>
          <w:color w:val="000000" w:themeColor="text1"/>
        </w:rPr>
      </w:pPr>
    </w:p>
    <w:p w14:paraId="4A698527" w14:textId="77777777" w:rsidR="004B05ED" w:rsidRPr="00FD4562" w:rsidRDefault="004B05ED" w:rsidP="001F22C2">
      <w:pPr>
        <w:widowControl/>
        <w:tabs>
          <w:tab w:val="left" w:pos="-1440"/>
        </w:tabs>
        <w:ind w:left="720"/>
        <w:jc w:val="both"/>
        <w:rPr>
          <w:color w:val="000000" w:themeColor="text1"/>
        </w:rPr>
      </w:pPr>
      <w:r w:rsidRPr="00FD4562">
        <w:rPr>
          <w:color w:val="000000" w:themeColor="text1"/>
        </w:rPr>
        <w:t xml:space="preserve">The </w:t>
      </w:r>
      <w:r w:rsidR="003E1079" w:rsidRPr="00FD4562">
        <w:rPr>
          <w:color w:val="000000" w:themeColor="text1"/>
        </w:rPr>
        <w:t>principal</w:t>
      </w:r>
      <w:r w:rsidRPr="00FD4562">
        <w:rPr>
          <w:color w:val="000000" w:themeColor="text1"/>
        </w:rPr>
        <w:t xml:space="preserve"> </w:t>
      </w:r>
      <w:r w:rsidR="00A13D5F" w:rsidRPr="00FD4562">
        <w:rPr>
          <w:color w:val="000000" w:themeColor="text1"/>
        </w:rPr>
        <w:t>will</w:t>
      </w:r>
      <w:r w:rsidR="00837063" w:rsidRPr="00FD4562">
        <w:rPr>
          <w:color w:val="000000" w:themeColor="text1"/>
        </w:rPr>
        <w:t xml:space="preserve"> </w:t>
      </w:r>
      <w:r w:rsidRPr="00FD4562">
        <w:rPr>
          <w:color w:val="000000" w:themeColor="text1"/>
        </w:rPr>
        <w:t>carry out pre-employment</w:t>
      </w:r>
      <w:r w:rsidR="00837063" w:rsidRPr="00FD4562">
        <w:rPr>
          <w:color w:val="000000" w:themeColor="text1"/>
        </w:rPr>
        <w:t>,</w:t>
      </w:r>
      <w:r w:rsidRPr="00FD4562">
        <w:rPr>
          <w:color w:val="000000" w:themeColor="text1"/>
        </w:rPr>
        <w:t xml:space="preserve"> post-accident, random, reasonable suspicion, return-to-duty</w:t>
      </w:r>
      <w:r w:rsidR="00604C6F" w:rsidRPr="00FD4562">
        <w:rPr>
          <w:color w:val="000000" w:themeColor="text1"/>
        </w:rPr>
        <w:t>,</w:t>
      </w:r>
      <w:r w:rsidRPr="00FD4562">
        <w:rPr>
          <w:color w:val="000000" w:themeColor="text1"/>
        </w:rPr>
        <w:t xml:space="preserve"> and follow-up testing for drugs and alcohol as required by Part 382.  </w:t>
      </w:r>
    </w:p>
    <w:p w14:paraId="4D260268" w14:textId="77777777" w:rsidR="00107DD9" w:rsidRPr="00FD4562" w:rsidRDefault="00107DD9" w:rsidP="001F22C2">
      <w:pPr>
        <w:widowControl/>
        <w:tabs>
          <w:tab w:val="left" w:pos="-1440"/>
        </w:tabs>
        <w:jc w:val="both"/>
        <w:rPr>
          <w:color w:val="000000" w:themeColor="text1"/>
        </w:rPr>
      </w:pPr>
    </w:p>
    <w:p w14:paraId="4637366F" w14:textId="77777777" w:rsidR="004B05ED" w:rsidRPr="00FD4562" w:rsidRDefault="00FE0713" w:rsidP="001F22C2">
      <w:pPr>
        <w:widowControl/>
        <w:tabs>
          <w:tab w:val="left" w:pos="-1440"/>
        </w:tabs>
        <w:ind w:left="720"/>
        <w:jc w:val="both"/>
        <w:rPr>
          <w:color w:val="000000" w:themeColor="text1"/>
        </w:rPr>
      </w:pPr>
      <w:r w:rsidRPr="00FD4562">
        <w:rPr>
          <w:color w:val="000000" w:themeColor="text1"/>
        </w:rPr>
        <w:t xml:space="preserve">Federal regulations prohibit a driver who is tested under the provisions of this section and </w:t>
      </w:r>
      <w:r w:rsidR="000B6A5C" w:rsidRPr="00FD4562">
        <w:rPr>
          <w:color w:val="000000" w:themeColor="text1"/>
        </w:rPr>
        <w:t xml:space="preserve">found to have an alcohol concentration of at least .02 </w:t>
      </w:r>
      <w:r w:rsidRPr="00FD4562">
        <w:rPr>
          <w:color w:val="000000" w:themeColor="text1"/>
        </w:rPr>
        <w:t>from performing safety-sensitive functions for at least 24 hours following administration of the test.</w:t>
      </w:r>
      <w:r w:rsidR="00604C6F" w:rsidRPr="00FD4562">
        <w:rPr>
          <w:color w:val="000000" w:themeColor="text1"/>
        </w:rPr>
        <w:t xml:space="preserve"> </w:t>
      </w:r>
      <w:r w:rsidRPr="00FD4562">
        <w:rPr>
          <w:color w:val="000000" w:themeColor="text1"/>
        </w:rPr>
        <w:t xml:space="preserve"> Drivers who are tested under the provisions of this section and found to have any alcohol in their system are subject to additional discipline under this policy, including dismissal.</w:t>
      </w:r>
    </w:p>
    <w:p w14:paraId="4F301451" w14:textId="77777777" w:rsidR="004B05ED" w:rsidRPr="00FD4562" w:rsidRDefault="004B05ED" w:rsidP="001F22C2">
      <w:pPr>
        <w:widowControl/>
        <w:tabs>
          <w:tab w:val="left" w:pos="-1440"/>
        </w:tabs>
        <w:ind w:left="720"/>
        <w:jc w:val="both"/>
        <w:rPr>
          <w:color w:val="000000" w:themeColor="text1"/>
        </w:rPr>
      </w:pPr>
    </w:p>
    <w:p w14:paraId="02885905"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Pre-Employment Inquiry</w:t>
      </w:r>
    </w:p>
    <w:p w14:paraId="43CBD661" w14:textId="77777777" w:rsidR="004B05ED" w:rsidRPr="00FD4562" w:rsidRDefault="004B05ED" w:rsidP="001F22C2">
      <w:pPr>
        <w:widowControl/>
        <w:tabs>
          <w:tab w:val="left" w:pos="-1440"/>
        </w:tabs>
        <w:jc w:val="both"/>
        <w:rPr>
          <w:color w:val="000000" w:themeColor="text1"/>
        </w:rPr>
      </w:pPr>
    </w:p>
    <w:p w14:paraId="16B77F3A" w14:textId="77777777" w:rsidR="006C74CD" w:rsidRPr="00FD4562" w:rsidRDefault="006C74CD" w:rsidP="006C74CD">
      <w:pPr>
        <w:widowControl/>
        <w:tabs>
          <w:tab w:val="left" w:pos="-1440"/>
        </w:tabs>
        <w:ind w:left="720"/>
        <w:jc w:val="both"/>
        <w:rPr>
          <w:color w:val="000000" w:themeColor="text1"/>
        </w:rPr>
      </w:pPr>
      <w:r w:rsidRPr="00FD4562">
        <w:rPr>
          <w:color w:val="000000" w:themeColor="text1"/>
        </w:rPr>
        <w:t xml:space="preserve">All employees subject to this policy, all employees who would become subject to this policy by virtue of a change or expansion of duties, and all applicants who would be subject to this policy if employed by the board must consent in writing to the release of any information gathered pursuant to </w:t>
      </w:r>
      <w:hyperlink r:id="rId10" w:tgtFrame="_blank" w:history="1">
        <w:r w:rsidRPr="00FD4562">
          <w:rPr>
            <w:rStyle w:val="Hyperlink"/>
            <w:color w:val="000000" w:themeColor="text1"/>
          </w:rPr>
          <w:t>Part 382</w:t>
        </w:r>
      </w:hyperlink>
      <w:r w:rsidRPr="00FD4562">
        <w:rPr>
          <w:color w:val="000000" w:themeColor="text1"/>
        </w:rPr>
        <w:t xml:space="preserve"> by any previous employers and must give written or electronic consent to any query by school officials of the federal Commercial Driver’s License Drug and Alcohol Clearinghouse11 (“Clearinghouse”).</w:t>
      </w:r>
    </w:p>
    <w:p w14:paraId="092D6B32" w14:textId="77777777" w:rsidR="006C74CD" w:rsidRPr="00FD4562" w:rsidRDefault="006C74CD" w:rsidP="006C74CD">
      <w:pPr>
        <w:widowControl/>
        <w:tabs>
          <w:tab w:val="left" w:pos="-1440"/>
        </w:tabs>
        <w:ind w:left="720"/>
        <w:jc w:val="both"/>
        <w:rPr>
          <w:color w:val="000000" w:themeColor="text1"/>
        </w:rPr>
      </w:pPr>
    </w:p>
    <w:p w14:paraId="18988753" w14:textId="2E761AAE" w:rsidR="006C74CD" w:rsidRPr="00FD4562" w:rsidRDefault="006C74CD" w:rsidP="006C74CD">
      <w:pPr>
        <w:widowControl/>
        <w:tabs>
          <w:tab w:val="left" w:pos="-1440"/>
        </w:tabs>
        <w:ind w:left="720"/>
        <w:jc w:val="both"/>
        <w:rPr>
          <w:color w:val="000000" w:themeColor="text1"/>
        </w:rPr>
      </w:pPr>
      <w:r w:rsidRPr="00FD4562">
        <w:rPr>
          <w:color w:val="000000" w:themeColor="text1"/>
        </w:rPr>
        <w:t xml:space="preserve">1. </w:t>
      </w:r>
      <w:r w:rsidRPr="00FD4562">
        <w:rPr>
          <w:color w:val="000000" w:themeColor="text1"/>
        </w:rPr>
        <w:tab/>
        <w:t>Pre-Employment Inquiry</w:t>
      </w:r>
    </w:p>
    <w:p w14:paraId="40F2CBC0" w14:textId="77777777" w:rsidR="006C74CD" w:rsidRPr="00FD4562" w:rsidRDefault="006C74CD" w:rsidP="006C74CD">
      <w:pPr>
        <w:widowControl/>
        <w:tabs>
          <w:tab w:val="left" w:pos="-1440"/>
        </w:tabs>
        <w:ind w:left="1440"/>
        <w:jc w:val="both"/>
        <w:rPr>
          <w:color w:val="000000" w:themeColor="text1"/>
        </w:rPr>
      </w:pPr>
    </w:p>
    <w:p w14:paraId="2E8C37EC" w14:textId="68A299CA" w:rsidR="006C74CD" w:rsidRPr="00FD4562" w:rsidRDefault="006C74CD" w:rsidP="006C74CD">
      <w:pPr>
        <w:widowControl/>
        <w:tabs>
          <w:tab w:val="left" w:pos="-1440"/>
        </w:tabs>
        <w:ind w:left="1440"/>
        <w:jc w:val="both"/>
        <w:rPr>
          <w:color w:val="000000" w:themeColor="text1"/>
        </w:rPr>
      </w:pPr>
      <w:r w:rsidRPr="00FD4562">
        <w:rPr>
          <w:color w:val="000000" w:themeColor="text1"/>
        </w:rPr>
        <w:t xml:space="preserve">Before employing any applicant subject to this policy, school officials shall obtain, pursuant to the applicant’s written consent, all records maintained by the applicant’s previous employer12 regarding violations of </w:t>
      </w:r>
      <w:hyperlink r:id="rId11" w:tgtFrame="_blank" w:history="1">
        <w:r w:rsidRPr="00FD4562">
          <w:rPr>
            <w:rStyle w:val="Hyperlink"/>
            <w:color w:val="000000" w:themeColor="text1"/>
          </w:rPr>
          <w:t>Part 382</w:t>
        </w:r>
      </w:hyperlink>
      <w:r w:rsidRPr="00FD4562">
        <w:rPr>
          <w:color w:val="000000" w:themeColor="text1"/>
        </w:rPr>
        <w:t xml:space="preserve"> in the three years prior to the inquiry date.13  School officials shall also conduct a query of the Clearinghouse, pursuant to the applicant’s electronic consent submitted through the Clearinghouse, to obtain any information regarding the applicant’s violations of </w:t>
      </w:r>
      <w:hyperlink r:id="rId12" w:tgtFrame="_blank" w:history="1">
        <w:r w:rsidRPr="00FD4562">
          <w:rPr>
            <w:rStyle w:val="Hyperlink"/>
            <w:color w:val="000000" w:themeColor="text1"/>
          </w:rPr>
          <w:t>Part 382</w:t>
        </w:r>
      </w:hyperlink>
      <w:r w:rsidRPr="00FD4562">
        <w:rPr>
          <w:color w:val="000000" w:themeColor="text1"/>
        </w:rPr>
        <w:t>.</w:t>
      </w:r>
    </w:p>
    <w:p w14:paraId="226E70DF" w14:textId="77777777" w:rsidR="006C74CD" w:rsidRPr="00FD4562" w:rsidRDefault="006C74CD" w:rsidP="006C74CD">
      <w:pPr>
        <w:widowControl/>
        <w:tabs>
          <w:tab w:val="left" w:pos="-1440"/>
        </w:tabs>
        <w:ind w:left="1440"/>
        <w:jc w:val="both"/>
        <w:rPr>
          <w:color w:val="000000" w:themeColor="text1"/>
        </w:rPr>
      </w:pPr>
      <w:r w:rsidRPr="00FD4562">
        <w:rPr>
          <w:color w:val="000000" w:themeColor="text1"/>
        </w:rPr>
        <w:t xml:space="preserve">If school officials obtain information from the applicant’s previous employer or from the Clearinghouse that the applicant committed a violation of </w:t>
      </w:r>
      <w:hyperlink r:id="rId13" w:tgtFrame="_blank" w:history="1">
        <w:r w:rsidRPr="00FD4562">
          <w:rPr>
            <w:rStyle w:val="Hyperlink"/>
            <w:color w:val="000000" w:themeColor="text1"/>
          </w:rPr>
          <w:t>Part 382</w:t>
        </w:r>
      </w:hyperlink>
      <w:r w:rsidRPr="00FD4562">
        <w:rPr>
          <w:color w:val="000000" w:themeColor="text1"/>
        </w:rPr>
        <w:t xml:space="preserve"> and has not subsequently completed the return-to-duty process required under federal law,15 the applicant may be disqualified from employment.</w:t>
      </w:r>
    </w:p>
    <w:p w14:paraId="398C50BA" w14:textId="7BBBA47F" w:rsidR="006C74CD" w:rsidRPr="00FD4562" w:rsidRDefault="006C74CD" w:rsidP="006C74CD">
      <w:pPr>
        <w:widowControl/>
        <w:tabs>
          <w:tab w:val="left" w:pos="-1440"/>
        </w:tabs>
        <w:ind w:left="1440" w:hanging="720"/>
        <w:jc w:val="both"/>
        <w:rPr>
          <w:color w:val="000000" w:themeColor="text1"/>
        </w:rPr>
      </w:pPr>
      <w:r w:rsidRPr="00FD4562">
        <w:rPr>
          <w:color w:val="000000" w:themeColor="text1"/>
        </w:rPr>
        <w:t>2.</w:t>
      </w:r>
      <w:r w:rsidRPr="00FD4562">
        <w:rPr>
          <w:color w:val="000000" w:themeColor="text1"/>
        </w:rPr>
        <w:tab/>
        <w:t>Annual Query</w:t>
      </w:r>
    </w:p>
    <w:p w14:paraId="5957044B" w14:textId="77777777" w:rsidR="006C74CD" w:rsidRPr="00FD4562" w:rsidRDefault="006C74CD" w:rsidP="006C74CD">
      <w:pPr>
        <w:widowControl/>
        <w:tabs>
          <w:tab w:val="left" w:pos="-1440"/>
        </w:tabs>
        <w:ind w:left="720"/>
        <w:jc w:val="both"/>
        <w:rPr>
          <w:color w:val="000000" w:themeColor="text1"/>
        </w:rPr>
      </w:pPr>
    </w:p>
    <w:p w14:paraId="01ABDAF9" w14:textId="7F92BA78" w:rsidR="006C74CD" w:rsidRPr="00FD4562" w:rsidRDefault="006C74CD" w:rsidP="006C74CD">
      <w:pPr>
        <w:widowControl/>
        <w:tabs>
          <w:tab w:val="left" w:pos="-1440"/>
        </w:tabs>
        <w:ind w:left="1440"/>
        <w:jc w:val="both"/>
        <w:rPr>
          <w:color w:val="000000" w:themeColor="text1"/>
        </w:rPr>
      </w:pPr>
      <w:r w:rsidRPr="00FD4562">
        <w:rPr>
          <w:color w:val="000000" w:themeColor="text1"/>
        </w:rPr>
        <w:t xml:space="preserve">School officials shall conduct a limited query of the Clearinghouse at least once per year for each employee subject to this policy, pursuant to the employee’s written or electronic consent, to determine whether information exists about the employee </w:t>
      </w:r>
      <w:r w:rsidRPr="00FD4562">
        <w:rPr>
          <w:color w:val="000000" w:themeColor="text1"/>
        </w:rPr>
        <w:lastRenderedPageBreak/>
        <w:t xml:space="preserve">regarding violations of </w:t>
      </w:r>
      <w:hyperlink r:id="rId14" w:tgtFrame="_blank" w:history="1">
        <w:r w:rsidRPr="00FD4562">
          <w:rPr>
            <w:rStyle w:val="Hyperlink"/>
            <w:color w:val="000000" w:themeColor="text1"/>
          </w:rPr>
          <w:t>Part 382</w:t>
        </w:r>
      </w:hyperlink>
      <w:r w:rsidRPr="00FD4562">
        <w:rPr>
          <w:color w:val="000000" w:themeColor="text1"/>
        </w:rPr>
        <w:t>.  If information exists about the employee, school officials shall obtain the information in the Clearinghouse within 24 hours of conducting the limited query, subject to the employee’s electronic consent submitted through the Clearinghouse.</w:t>
      </w:r>
    </w:p>
    <w:p w14:paraId="4AB826BC" w14:textId="77777777" w:rsidR="004B05ED" w:rsidRPr="00FD4562" w:rsidRDefault="004B05ED" w:rsidP="001F22C2">
      <w:pPr>
        <w:widowControl/>
        <w:tabs>
          <w:tab w:val="left" w:pos="-1440"/>
        </w:tabs>
        <w:jc w:val="both"/>
        <w:rPr>
          <w:color w:val="000000" w:themeColor="text1"/>
        </w:rPr>
      </w:pPr>
    </w:p>
    <w:p w14:paraId="15B2C71A"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Training and Education</w:t>
      </w:r>
    </w:p>
    <w:p w14:paraId="068CEAE5" w14:textId="77777777" w:rsidR="004B05ED" w:rsidRPr="00FD4562" w:rsidRDefault="004B05ED" w:rsidP="001F22C2">
      <w:pPr>
        <w:widowControl/>
        <w:tabs>
          <w:tab w:val="left" w:pos="-1440"/>
        </w:tabs>
        <w:jc w:val="both"/>
        <w:rPr>
          <w:color w:val="000000" w:themeColor="text1"/>
        </w:rPr>
      </w:pPr>
    </w:p>
    <w:p w14:paraId="671BFA60" w14:textId="77777777" w:rsidR="004B05ED" w:rsidRPr="00FD4562" w:rsidRDefault="004B05ED" w:rsidP="001F22C2">
      <w:pPr>
        <w:widowControl/>
        <w:tabs>
          <w:tab w:val="left" w:pos="-1440"/>
        </w:tabs>
        <w:ind w:left="720"/>
        <w:jc w:val="both"/>
        <w:rPr>
          <w:color w:val="000000" w:themeColor="text1"/>
        </w:rPr>
      </w:pPr>
      <w:r w:rsidRPr="00FD4562">
        <w:rPr>
          <w:color w:val="000000" w:themeColor="text1"/>
        </w:rPr>
        <w:t xml:space="preserve">Each </w:t>
      </w:r>
      <w:r w:rsidR="000B6A5C" w:rsidRPr="00FD4562">
        <w:rPr>
          <w:color w:val="000000" w:themeColor="text1"/>
        </w:rPr>
        <w:t>driver</w:t>
      </w:r>
      <w:r w:rsidRPr="00FD4562">
        <w:rPr>
          <w:color w:val="000000" w:themeColor="text1"/>
        </w:rPr>
        <w:t xml:space="preserve"> </w:t>
      </w:r>
      <w:r w:rsidR="00861F1A" w:rsidRPr="00FD4562">
        <w:rPr>
          <w:color w:val="000000" w:themeColor="text1"/>
        </w:rPr>
        <w:t xml:space="preserve">must </w:t>
      </w:r>
      <w:r w:rsidRPr="00FD4562">
        <w:rPr>
          <w:color w:val="000000" w:themeColor="text1"/>
        </w:rPr>
        <w:t>be provided with educational materials that inform the employees of drug testing procedures, prohibited acts, consequences</w:t>
      </w:r>
      <w:r w:rsidR="00604C6F" w:rsidRPr="00FD4562">
        <w:rPr>
          <w:color w:val="000000" w:themeColor="text1"/>
        </w:rPr>
        <w:t>,</w:t>
      </w:r>
      <w:r w:rsidRPr="00FD4562">
        <w:rPr>
          <w:color w:val="000000" w:themeColor="text1"/>
        </w:rPr>
        <w:t xml:space="preserve"> and other aspects of Part 382, this policy</w:t>
      </w:r>
      <w:r w:rsidR="00604C6F" w:rsidRPr="00FD4562">
        <w:rPr>
          <w:color w:val="000000" w:themeColor="text1"/>
        </w:rPr>
        <w:t>,</w:t>
      </w:r>
      <w:r w:rsidRPr="00FD4562">
        <w:rPr>
          <w:color w:val="000000" w:themeColor="text1"/>
        </w:rPr>
        <w:t xml:space="preserve"> and any </w:t>
      </w:r>
      <w:r w:rsidR="00834835" w:rsidRPr="00FD4562">
        <w:rPr>
          <w:color w:val="000000" w:themeColor="text1"/>
        </w:rPr>
        <w:t xml:space="preserve">accompanying </w:t>
      </w:r>
      <w:r w:rsidRPr="00FD4562">
        <w:rPr>
          <w:color w:val="000000" w:themeColor="text1"/>
        </w:rPr>
        <w:t xml:space="preserve">administrative procedures.  The information also will identify a </w:t>
      </w:r>
      <w:r w:rsidR="003E1079" w:rsidRPr="00FD4562">
        <w:rPr>
          <w:color w:val="000000" w:themeColor="text1"/>
        </w:rPr>
        <w:t>NERSBA</w:t>
      </w:r>
      <w:r w:rsidRPr="00FD4562">
        <w:rPr>
          <w:color w:val="000000" w:themeColor="text1"/>
        </w:rPr>
        <w:t xml:space="preserve"> employee who </w:t>
      </w:r>
      <w:r w:rsidR="00861F1A" w:rsidRPr="00FD4562">
        <w:rPr>
          <w:color w:val="000000" w:themeColor="text1"/>
        </w:rPr>
        <w:t>is</w:t>
      </w:r>
      <w:r w:rsidRPr="00FD4562">
        <w:rPr>
          <w:color w:val="000000" w:themeColor="text1"/>
        </w:rPr>
        <w:t xml:space="preserve"> responsible for providing information on substance abuse.  Each employee </w:t>
      </w:r>
      <w:r w:rsidR="00861F1A" w:rsidRPr="00FD4562">
        <w:rPr>
          <w:color w:val="000000" w:themeColor="text1"/>
        </w:rPr>
        <w:t>must</w:t>
      </w:r>
      <w:r w:rsidR="00B16820" w:rsidRPr="00FD4562">
        <w:rPr>
          <w:color w:val="000000" w:themeColor="text1"/>
        </w:rPr>
        <w:t xml:space="preserve"> </w:t>
      </w:r>
      <w:r w:rsidRPr="00FD4562">
        <w:rPr>
          <w:color w:val="000000" w:themeColor="text1"/>
        </w:rPr>
        <w:t xml:space="preserve">sign a statement certifying </w:t>
      </w:r>
      <w:r w:rsidR="00503728" w:rsidRPr="00FD4562">
        <w:rPr>
          <w:color w:val="000000" w:themeColor="text1"/>
        </w:rPr>
        <w:t xml:space="preserve">his or her </w:t>
      </w:r>
      <w:r w:rsidRPr="00FD4562">
        <w:rPr>
          <w:color w:val="000000" w:themeColor="text1"/>
        </w:rPr>
        <w:t>receipt of these materials.</w:t>
      </w:r>
    </w:p>
    <w:p w14:paraId="37613501" w14:textId="77777777" w:rsidR="004B05ED" w:rsidRPr="00FD4562" w:rsidRDefault="004B05ED" w:rsidP="001F22C2">
      <w:pPr>
        <w:widowControl/>
        <w:tabs>
          <w:tab w:val="left" w:pos="-1440"/>
        </w:tabs>
        <w:jc w:val="both"/>
        <w:rPr>
          <w:color w:val="000000" w:themeColor="text1"/>
        </w:rPr>
      </w:pPr>
    </w:p>
    <w:p w14:paraId="273B3212" w14:textId="77777777" w:rsidR="004B05ED" w:rsidRPr="00FD4562" w:rsidRDefault="004B05ED" w:rsidP="001F22C2">
      <w:pPr>
        <w:widowControl/>
        <w:tabs>
          <w:tab w:val="left" w:pos="-1440"/>
        </w:tabs>
        <w:ind w:left="720"/>
        <w:jc w:val="both"/>
        <w:rPr>
          <w:color w:val="000000" w:themeColor="text1"/>
        </w:rPr>
      </w:pPr>
      <w:r w:rsidRPr="00FD4562">
        <w:rPr>
          <w:color w:val="000000" w:themeColor="text1"/>
        </w:rPr>
        <w:t xml:space="preserve">Each supervisor </w:t>
      </w:r>
      <w:r w:rsidR="00503728" w:rsidRPr="00FD4562">
        <w:rPr>
          <w:color w:val="000000" w:themeColor="text1"/>
        </w:rPr>
        <w:t xml:space="preserve">who is </w:t>
      </w:r>
      <w:r w:rsidRPr="00FD4562">
        <w:rPr>
          <w:color w:val="000000" w:themeColor="text1"/>
        </w:rPr>
        <w:t xml:space="preserve">responsible for overseeing the performance of </w:t>
      </w:r>
      <w:r w:rsidR="000B6A5C" w:rsidRPr="00FD4562">
        <w:rPr>
          <w:color w:val="000000" w:themeColor="text1"/>
        </w:rPr>
        <w:t>drivers</w:t>
      </w:r>
      <w:r w:rsidR="003E1079" w:rsidRPr="00FD4562">
        <w:rPr>
          <w:color w:val="000000" w:themeColor="text1"/>
        </w:rPr>
        <w:t xml:space="preserve"> </w:t>
      </w:r>
      <w:r w:rsidR="007D03AB" w:rsidRPr="00FD4562">
        <w:rPr>
          <w:color w:val="000000" w:themeColor="text1"/>
        </w:rPr>
        <w:t>must</w:t>
      </w:r>
      <w:r w:rsidR="00B16820" w:rsidRPr="00FD4562">
        <w:rPr>
          <w:color w:val="000000" w:themeColor="text1"/>
        </w:rPr>
        <w:t xml:space="preserve"> </w:t>
      </w:r>
      <w:r w:rsidRPr="00FD4562">
        <w:rPr>
          <w:color w:val="000000" w:themeColor="text1"/>
        </w:rPr>
        <w:t xml:space="preserve">undergo at least one hour of training concerning alcohol misuse and </w:t>
      </w:r>
      <w:r w:rsidR="00503728" w:rsidRPr="00FD4562">
        <w:rPr>
          <w:color w:val="000000" w:themeColor="text1"/>
        </w:rPr>
        <w:t>one</w:t>
      </w:r>
      <w:r w:rsidRPr="00FD4562">
        <w:rPr>
          <w:color w:val="000000" w:themeColor="text1"/>
        </w:rPr>
        <w:t xml:space="preserve"> additional hour of training concerning drug abuse.</w:t>
      </w:r>
    </w:p>
    <w:p w14:paraId="24FC93B0" w14:textId="77777777" w:rsidR="004B05ED" w:rsidRPr="00FD4562" w:rsidRDefault="004B05ED" w:rsidP="001F22C2">
      <w:pPr>
        <w:widowControl/>
        <w:tabs>
          <w:tab w:val="left" w:pos="-1440"/>
        </w:tabs>
        <w:jc w:val="both"/>
        <w:rPr>
          <w:color w:val="000000" w:themeColor="text1"/>
        </w:rPr>
      </w:pPr>
    </w:p>
    <w:p w14:paraId="08BA94CB"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Referrals</w:t>
      </w:r>
    </w:p>
    <w:p w14:paraId="78EAD8A7" w14:textId="77777777" w:rsidR="004B05ED" w:rsidRPr="00FD4562" w:rsidRDefault="004B05ED" w:rsidP="001F22C2">
      <w:pPr>
        <w:widowControl/>
        <w:tabs>
          <w:tab w:val="left" w:pos="-1440"/>
        </w:tabs>
        <w:jc w:val="both"/>
        <w:rPr>
          <w:color w:val="000000" w:themeColor="text1"/>
        </w:rPr>
      </w:pPr>
    </w:p>
    <w:p w14:paraId="6486859D" w14:textId="77777777" w:rsidR="004B05ED" w:rsidRPr="00FD4562" w:rsidRDefault="004B05ED" w:rsidP="001F22C2">
      <w:pPr>
        <w:widowControl/>
        <w:tabs>
          <w:tab w:val="left" w:pos="-1440"/>
        </w:tabs>
        <w:ind w:left="720"/>
        <w:jc w:val="both"/>
        <w:rPr>
          <w:color w:val="000000" w:themeColor="text1"/>
        </w:rPr>
      </w:pPr>
      <w:r w:rsidRPr="00FD4562">
        <w:rPr>
          <w:color w:val="000000" w:themeColor="text1"/>
        </w:rPr>
        <w:t xml:space="preserve">Each </w:t>
      </w:r>
      <w:r w:rsidR="000B6A5C" w:rsidRPr="00FD4562">
        <w:rPr>
          <w:color w:val="000000" w:themeColor="text1"/>
        </w:rPr>
        <w:t>driver</w:t>
      </w:r>
      <w:r w:rsidRPr="00FD4562">
        <w:rPr>
          <w:color w:val="000000" w:themeColor="text1"/>
        </w:rPr>
        <w:t xml:space="preserve"> who </w:t>
      </w:r>
      <w:r w:rsidR="00861F1A" w:rsidRPr="00FD4562">
        <w:rPr>
          <w:color w:val="000000" w:themeColor="text1"/>
        </w:rPr>
        <w:t xml:space="preserve">commits </w:t>
      </w:r>
      <w:r w:rsidRPr="00FD4562">
        <w:rPr>
          <w:color w:val="000000" w:themeColor="text1"/>
        </w:rPr>
        <w:t xml:space="preserve">acts prohibited by Part 382 or G.S. 20-138.2B, other than provisions governing pre-employment testing, will be provided with information concerning resources available for evaluating and resolving drug or alcohol misuse.  This information will include </w:t>
      </w:r>
      <w:r w:rsidR="00503728" w:rsidRPr="00FD4562">
        <w:rPr>
          <w:color w:val="000000" w:themeColor="text1"/>
        </w:rPr>
        <w:t xml:space="preserve">the </w:t>
      </w:r>
      <w:r w:rsidRPr="00FD4562">
        <w:rPr>
          <w:color w:val="000000" w:themeColor="text1"/>
        </w:rPr>
        <w:t>names, addresses</w:t>
      </w:r>
      <w:r w:rsidR="00604C6F" w:rsidRPr="00FD4562">
        <w:rPr>
          <w:color w:val="000000" w:themeColor="text1"/>
        </w:rPr>
        <w:t>,</w:t>
      </w:r>
      <w:r w:rsidRPr="00FD4562">
        <w:rPr>
          <w:color w:val="000000" w:themeColor="text1"/>
        </w:rPr>
        <w:t xml:space="preserve"> and telephone numbers of substance abuse professionals and counseling and treatment programs.  Before any</w:t>
      </w:r>
      <w:r w:rsidR="00503728" w:rsidRPr="00FD4562">
        <w:rPr>
          <w:color w:val="000000" w:themeColor="text1"/>
        </w:rPr>
        <w:t xml:space="preserve"> </w:t>
      </w:r>
      <w:r w:rsidR="003F4342" w:rsidRPr="00FD4562">
        <w:rPr>
          <w:color w:val="000000" w:themeColor="text1"/>
        </w:rPr>
        <w:t>driver</w:t>
      </w:r>
      <w:r w:rsidRPr="00FD4562">
        <w:rPr>
          <w:color w:val="000000" w:themeColor="text1"/>
        </w:rPr>
        <w:t xml:space="preserve"> who has committed a prohibited act under Part 382 or G.S. 20-138.2B will be allowed to drive again, </w:t>
      </w:r>
      <w:r w:rsidR="00503728" w:rsidRPr="00FD4562">
        <w:rPr>
          <w:color w:val="000000" w:themeColor="text1"/>
        </w:rPr>
        <w:t>he or she</w:t>
      </w:r>
      <w:r w:rsidRPr="00FD4562">
        <w:rPr>
          <w:color w:val="000000" w:themeColor="text1"/>
        </w:rPr>
        <w:t xml:space="preserve"> must be evaluated by a substance abuse professional and must satisfactorily complete any appropriate treatment </w:t>
      </w:r>
      <w:r w:rsidR="00503728" w:rsidRPr="00FD4562">
        <w:rPr>
          <w:color w:val="000000" w:themeColor="text1"/>
        </w:rPr>
        <w:t xml:space="preserve">that the substance abuse professional </w:t>
      </w:r>
      <w:r w:rsidRPr="00FD4562">
        <w:rPr>
          <w:color w:val="000000" w:themeColor="text1"/>
        </w:rPr>
        <w:t>designate</w:t>
      </w:r>
      <w:r w:rsidR="00503728" w:rsidRPr="00FD4562">
        <w:rPr>
          <w:color w:val="000000" w:themeColor="text1"/>
        </w:rPr>
        <w:t>s</w:t>
      </w:r>
      <w:r w:rsidRPr="00FD4562">
        <w:rPr>
          <w:color w:val="000000" w:themeColor="text1"/>
        </w:rPr>
        <w:t>.</w:t>
      </w:r>
    </w:p>
    <w:p w14:paraId="17C0B71F" w14:textId="77777777" w:rsidR="004B05ED" w:rsidRPr="00FD4562" w:rsidRDefault="004B05ED" w:rsidP="001F22C2">
      <w:pPr>
        <w:widowControl/>
        <w:tabs>
          <w:tab w:val="left" w:pos="-1440"/>
        </w:tabs>
        <w:ind w:left="720" w:hanging="720"/>
        <w:jc w:val="both"/>
        <w:rPr>
          <w:smallCaps/>
          <w:color w:val="000000" w:themeColor="text1"/>
        </w:rPr>
      </w:pPr>
    </w:p>
    <w:p w14:paraId="573DE6FE"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Penalties</w:t>
      </w:r>
    </w:p>
    <w:p w14:paraId="7CD38A18" w14:textId="77777777" w:rsidR="004B05ED" w:rsidRPr="00FD4562" w:rsidRDefault="004B05ED" w:rsidP="001F22C2">
      <w:pPr>
        <w:widowControl/>
        <w:tabs>
          <w:tab w:val="left" w:pos="-1440"/>
        </w:tabs>
        <w:jc w:val="both"/>
        <w:rPr>
          <w:color w:val="000000" w:themeColor="text1"/>
        </w:rPr>
      </w:pPr>
    </w:p>
    <w:p w14:paraId="5A65A32B" w14:textId="70BEBC39" w:rsidR="004B05ED" w:rsidRPr="00FD4562" w:rsidRDefault="004B05ED" w:rsidP="001F22C2">
      <w:pPr>
        <w:widowControl/>
        <w:tabs>
          <w:tab w:val="left" w:pos="-1440"/>
        </w:tabs>
        <w:ind w:left="720"/>
        <w:jc w:val="both"/>
        <w:rPr>
          <w:color w:val="000000" w:themeColor="text1"/>
        </w:rPr>
      </w:pPr>
      <w:r w:rsidRPr="00FD4562">
        <w:rPr>
          <w:color w:val="000000" w:themeColor="text1"/>
        </w:rPr>
        <w:t>Employees who have committed a prohibited act</w:t>
      </w:r>
      <w:r w:rsidR="007D03AB" w:rsidRPr="00FD4562">
        <w:rPr>
          <w:color w:val="000000" w:themeColor="text1"/>
        </w:rPr>
        <w:t>;</w:t>
      </w:r>
      <w:r w:rsidRPr="00FD4562">
        <w:rPr>
          <w:color w:val="000000" w:themeColor="text1"/>
        </w:rPr>
        <w:t xml:space="preserve"> refused any test required by this policy</w:t>
      </w:r>
      <w:r w:rsidR="007D03AB" w:rsidRPr="00FD4562">
        <w:rPr>
          <w:color w:val="000000" w:themeColor="text1"/>
        </w:rPr>
        <w:t>;</w:t>
      </w:r>
      <w:r w:rsidRPr="00FD4562">
        <w:rPr>
          <w:color w:val="000000" w:themeColor="text1"/>
        </w:rPr>
        <w:t xml:space="preserve"> or otherwise violated this policy, G.S. 20-138.2B</w:t>
      </w:r>
      <w:r w:rsidR="00604C6F" w:rsidRPr="00FD4562">
        <w:rPr>
          <w:color w:val="000000" w:themeColor="text1"/>
        </w:rPr>
        <w:t>,</w:t>
      </w:r>
      <w:r w:rsidRPr="00FD4562">
        <w:rPr>
          <w:color w:val="000000" w:themeColor="text1"/>
        </w:rPr>
        <w:t xml:space="preserve"> or Part 382 will be subject to disciplinary action</w:t>
      </w:r>
      <w:r w:rsidR="00503728" w:rsidRPr="00FD4562">
        <w:rPr>
          <w:color w:val="000000" w:themeColor="text1"/>
        </w:rPr>
        <w:t>,</w:t>
      </w:r>
      <w:r w:rsidRPr="00FD4562">
        <w:rPr>
          <w:color w:val="000000" w:themeColor="text1"/>
        </w:rPr>
        <w:t xml:space="preserve"> up to and including dismissal.  </w:t>
      </w:r>
    </w:p>
    <w:p w14:paraId="6047CAEB" w14:textId="3D408F15" w:rsidR="00882454" w:rsidRPr="00FD4562" w:rsidRDefault="00882454" w:rsidP="001F22C2">
      <w:pPr>
        <w:widowControl/>
        <w:tabs>
          <w:tab w:val="left" w:pos="-1440"/>
        </w:tabs>
        <w:ind w:left="720"/>
        <w:jc w:val="both"/>
        <w:rPr>
          <w:color w:val="000000" w:themeColor="text1"/>
        </w:rPr>
      </w:pPr>
    </w:p>
    <w:p w14:paraId="1E2F699A" w14:textId="77777777" w:rsidR="00882454" w:rsidRPr="00FD4562" w:rsidRDefault="00882454" w:rsidP="00882454">
      <w:pPr>
        <w:widowControl/>
        <w:tabs>
          <w:tab w:val="left" w:pos="-1440"/>
        </w:tabs>
        <w:ind w:left="720"/>
        <w:jc w:val="both"/>
        <w:rPr>
          <w:color w:val="000000" w:themeColor="text1"/>
        </w:rPr>
      </w:pPr>
      <w:r w:rsidRPr="00FD4562">
        <w:rPr>
          <w:color w:val="000000" w:themeColor="text1"/>
        </w:rPr>
        <w:t xml:space="preserve">Any employee who has committed a violation of </w:t>
      </w:r>
      <w:hyperlink r:id="rId15" w:tgtFrame="_blank" w:history="1">
        <w:r w:rsidRPr="00FD4562">
          <w:rPr>
            <w:rStyle w:val="Hyperlink"/>
            <w:color w:val="000000" w:themeColor="text1"/>
          </w:rPr>
          <w:t>Part 382</w:t>
        </w:r>
      </w:hyperlink>
      <w:r w:rsidRPr="00FD4562">
        <w:rPr>
          <w:color w:val="000000" w:themeColor="text1"/>
        </w:rPr>
        <w:t xml:space="preserve"> will not be allowed to perform any safety-sensitive functions until the employee has completed the return-to-duty process, including an evaluation by a substance abuse professional, completion of any appropriate treatment designated by the substance abuse professional, and achievement of a negative return-to-duty test.17  Moreover, if the employee’s violation of </w:t>
      </w:r>
      <w:hyperlink r:id="rId16" w:tgtFrame="_blank" w:history="1">
        <w:r w:rsidRPr="00FD4562">
          <w:rPr>
            <w:rStyle w:val="Hyperlink"/>
            <w:color w:val="000000" w:themeColor="text1"/>
          </w:rPr>
          <w:t>Part 382</w:t>
        </w:r>
      </w:hyperlink>
      <w:r w:rsidRPr="00FD4562">
        <w:rPr>
          <w:color w:val="000000" w:themeColor="text1"/>
        </w:rPr>
        <w:t xml:space="preserve"> has been reported to the Clearinghouse, the employee may not resume safety-sensitive functions until a query of the Clearinghouse demonstrates that the employee completed the return-to-duty process.</w:t>
      </w:r>
    </w:p>
    <w:p w14:paraId="70BE002D" w14:textId="77777777" w:rsidR="00882454" w:rsidRPr="00FD4562" w:rsidRDefault="00882454" w:rsidP="001F22C2">
      <w:pPr>
        <w:widowControl/>
        <w:tabs>
          <w:tab w:val="left" w:pos="-1440"/>
        </w:tabs>
        <w:ind w:left="720"/>
        <w:jc w:val="both"/>
        <w:rPr>
          <w:color w:val="000000" w:themeColor="text1"/>
        </w:rPr>
      </w:pPr>
    </w:p>
    <w:p w14:paraId="08318A8E" w14:textId="77777777" w:rsidR="004B05ED" w:rsidRPr="00FD4562" w:rsidRDefault="004B05ED" w:rsidP="001F22C2">
      <w:pPr>
        <w:widowControl/>
        <w:tabs>
          <w:tab w:val="left" w:pos="-1440"/>
        </w:tabs>
        <w:jc w:val="both"/>
        <w:rPr>
          <w:color w:val="000000" w:themeColor="text1"/>
        </w:rPr>
      </w:pPr>
    </w:p>
    <w:p w14:paraId="6F9D2C92" w14:textId="77777777" w:rsidR="004B05ED" w:rsidRPr="00FD4562" w:rsidRDefault="004B05ED" w:rsidP="001F22C2">
      <w:pPr>
        <w:pStyle w:val="ListParagraph"/>
        <w:widowControl/>
        <w:numPr>
          <w:ilvl w:val="0"/>
          <w:numId w:val="14"/>
        </w:numPr>
        <w:tabs>
          <w:tab w:val="left" w:pos="-1440"/>
        </w:tabs>
        <w:ind w:left="720" w:hanging="720"/>
        <w:jc w:val="both"/>
        <w:rPr>
          <w:color w:val="000000" w:themeColor="text1"/>
        </w:rPr>
      </w:pPr>
      <w:r w:rsidRPr="00FD4562">
        <w:rPr>
          <w:b/>
          <w:smallCaps/>
          <w:color w:val="000000" w:themeColor="text1"/>
        </w:rPr>
        <w:t>Procedures</w:t>
      </w:r>
    </w:p>
    <w:p w14:paraId="7BC3C5B6" w14:textId="77777777" w:rsidR="004B05ED" w:rsidRPr="00FD4562" w:rsidRDefault="004B05ED" w:rsidP="001F22C2">
      <w:pPr>
        <w:widowControl/>
        <w:tabs>
          <w:tab w:val="left" w:pos="-1440"/>
        </w:tabs>
        <w:jc w:val="both"/>
        <w:rPr>
          <w:color w:val="000000" w:themeColor="text1"/>
        </w:rPr>
      </w:pPr>
    </w:p>
    <w:p w14:paraId="2084CDE1" w14:textId="6983934B" w:rsidR="004B05ED" w:rsidRPr="00FD4562" w:rsidRDefault="004B05ED" w:rsidP="001F22C2">
      <w:pPr>
        <w:widowControl/>
        <w:tabs>
          <w:tab w:val="left" w:pos="-1440"/>
        </w:tabs>
        <w:ind w:left="720"/>
        <w:jc w:val="both"/>
        <w:rPr>
          <w:color w:val="000000" w:themeColor="text1"/>
        </w:rPr>
      </w:pPr>
      <w:r w:rsidRPr="00FD4562">
        <w:rPr>
          <w:color w:val="000000" w:themeColor="text1"/>
        </w:rPr>
        <w:lastRenderedPageBreak/>
        <w:t xml:space="preserve">All procedures </w:t>
      </w:r>
      <w:r w:rsidR="003F3154" w:rsidRPr="00FD4562">
        <w:rPr>
          <w:color w:val="000000" w:themeColor="text1"/>
        </w:rPr>
        <w:t xml:space="preserve">for collection and testing </w:t>
      </w:r>
      <w:r w:rsidRPr="00FD4562">
        <w:rPr>
          <w:color w:val="000000" w:themeColor="text1"/>
        </w:rPr>
        <w:t xml:space="preserve">provided in the Federal Highway Administration’s “Procedures for Transportation Workplace Drug </w:t>
      </w:r>
      <w:r w:rsidR="00884774" w:rsidRPr="00FD4562">
        <w:rPr>
          <w:color w:val="000000" w:themeColor="text1"/>
        </w:rPr>
        <w:t xml:space="preserve">and Alcohol </w:t>
      </w:r>
      <w:r w:rsidRPr="00FD4562">
        <w:rPr>
          <w:color w:val="000000" w:themeColor="text1"/>
        </w:rPr>
        <w:t>Testing Programs” (49 C.F.R. pt. 40) and all requirements in Part 382, including testing, reporting, record retention, training</w:t>
      </w:r>
      <w:r w:rsidR="00604C6F" w:rsidRPr="00FD4562">
        <w:rPr>
          <w:color w:val="000000" w:themeColor="text1"/>
        </w:rPr>
        <w:t>,</w:t>
      </w:r>
      <w:r w:rsidRPr="00FD4562">
        <w:rPr>
          <w:color w:val="000000" w:themeColor="text1"/>
        </w:rPr>
        <w:t xml:space="preserve"> and confidentiality, will be followed.  Copies of these federal regulations will be readily available.  The </w:t>
      </w:r>
      <w:r w:rsidR="00882454" w:rsidRPr="00FD4562">
        <w:rPr>
          <w:color w:val="000000" w:themeColor="text1"/>
        </w:rPr>
        <w:t>executive director</w:t>
      </w:r>
      <w:r w:rsidR="00C866C8" w:rsidRPr="00FD4562">
        <w:rPr>
          <w:color w:val="000000" w:themeColor="text1"/>
        </w:rPr>
        <w:t xml:space="preserve"> </w:t>
      </w:r>
      <w:r w:rsidR="00F7171B" w:rsidRPr="00FD4562">
        <w:rPr>
          <w:color w:val="000000" w:themeColor="text1"/>
        </w:rPr>
        <w:t xml:space="preserve">shall </w:t>
      </w:r>
      <w:r w:rsidRPr="00FD4562">
        <w:rPr>
          <w:color w:val="000000" w:themeColor="text1"/>
        </w:rPr>
        <w:t>develop any other procedures necessary to carry out these regulations.</w:t>
      </w:r>
    </w:p>
    <w:p w14:paraId="21DB06D5" w14:textId="77777777" w:rsidR="004B05ED" w:rsidRPr="00FD4562" w:rsidRDefault="004B05ED" w:rsidP="001F22C2">
      <w:pPr>
        <w:widowControl/>
        <w:tabs>
          <w:tab w:val="left" w:pos="-1440"/>
        </w:tabs>
        <w:jc w:val="both"/>
        <w:rPr>
          <w:color w:val="000000" w:themeColor="text1"/>
        </w:rPr>
      </w:pPr>
    </w:p>
    <w:p w14:paraId="6AA1E7E7" w14:textId="77777777" w:rsidR="004B05ED" w:rsidRPr="00FD4562" w:rsidRDefault="004B05ED" w:rsidP="001F22C2">
      <w:pPr>
        <w:widowControl/>
        <w:tabs>
          <w:tab w:val="left" w:pos="-1440"/>
        </w:tabs>
        <w:jc w:val="both"/>
        <w:rPr>
          <w:color w:val="000000" w:themeColor="text1"/>
        </w:rPr>
      </w:pPr>
      <w:r w:rsidRPr="00FD4562">
        <w:rPr>
          <w:color w:val="000000" w:themeColor="text1"/>
        </w:rPr>
        <w:t>Le</w:t>
      </w:r>
      <w:r w:rsidR="00A74E27" w:rsidRPr="00FD4562">
        <w:rPr>
          <w:color w:val="000000" w:themeColor="text1"/>
        </w:rPr>
        <w:t>gal References:  49 U.S.C. 31306</w:t>
      </w:r>
      <w:r w:rsidRPr="00FD4562">
        <w:rPr>
          <w:color w:val="000000" w:themeColor="text1"/>
        </w:rPr>
        <w:t>; 49 C.F.R. pts. 40, 382; G.S. 20-138.2B</w:t>
      </w:r>
    </w:p>
    <w:p w14:paraId="604A708B" w14:textId="77777777" w:rsidR="004B05ED" w:rsidRPr="00FD4562" w:rsidRDefault="004B05ED" w:rsidP="001F22C2">
      <w:pPr>
        <w:widowControl/>
        <w:tabs>
          <w:tab w:val="left" w:pos="-1440"/>
        </w:tabs>
        <w:jc w:val="both"/>
        <w:rPr>
          <w:color w:val="000000" w:themeColor="text1"/>
        </w:rPr>
      </w:pPr>
    </w:p>
    <w:p w14:paraId="22CC665B" w14:textId="77777777" w:rsidR="004B05ED" w:rsidRPr="00FD4562" w:rsidRDefault="004B05ED" w:rsidP="001F22C2">
      <w:pPr>
        <w:widowControl/>
        <w:tabs>
          <w:tab w:val="left" w:pos="-1440"/>
        </w:tabs>
        <w:jc w:val="both"/>
        <w:rPr>
          <w:color w:val="000000" w:themeColor="text1"/>
        </w:rPr>
      </w:pPr>
      <w:r w:rsidRPr="00FD4562">
        <w:rPr>
          <w:color w:val="000000" w:themeColor="text1"/>
        </w:rPr>
        <w:t>Cross References:  Drug-Free and Alcohol-Free Workplace (policy 7240)</w:t>
      </w:r>
    </w:p>
    <w:p w14:paraId="167F6D14" w14:textId="77777777" w:rsidR="004B05ED" w:rsidRPr="00FD4562" w:rsidRDefault="004B05ED" w:rsidP="001F22C2">
      <w:pPr>
        <w:widowControl/>
        <w:tabs>
          <w:tab w:val="left" w:pos="-1440"/>
        </w:tabs>
        <w:jc w:val="both"/>
        <w:rPr>
          <w:color w:val="000000" w:themeColor="text1"/>
        </w:rPr>
      </w:pPr>
    </w:p>
    <w:p w14:paraId="31885EB3" w14:textId="562B3FFA" w:rsidR="004B05ED" w:rsidRPr="00FD4562" w:rsidRDefault="002147F8" w:rsidP="001F22C2">
      <w:pPr>
        <w:widowControl/>
        <w:tabs>
          <w:tab w:val="left" w:pos="-1440"/>
        </w:tabs>
        <w:jc w:val="both"/>
        <w:rPr>
          <w:color w:val="000000" w:themeColor="text1"/>
        </w:rPr>
      </w:pPr>
      <w:r w:rsidRPr="00FD4562">
        <w:rPr>
          <w:color w:val="000000" w:themeColor="text1"/>
        </w:rPr>
        <w:t>Adopted</w:t>
      </w:r>
      <w:r w:rsidR="004B05ED" w:rsidRPr="00FD4562">
        <w:rPr>
          <w:color w:val="000000" w:themeColor="text1"/>
        </w:rPr>
        <w:t>:</w:t>
      </w:r>
      <w:r w:rsidR="00150AF8" w:rsidRPr="00FD4562">
        <w:rPr>
          <w:color w:val="000000" w:themeColor="text1"/>
        </w:rPr>
        <w:t xml:space="preserve"> June 17, 2020</w:t>
      </w:r>
    </w:p>
    <w:p w14:paraId="54422C04" w14:textId="29E0B669" w:rsidR="00882454" w:rsidRPr="00FD4562" w:rsidRDefault="00882454" w:rsidP="001F22C2">
      <w:pPr>
        <w:widowControl/>
        <w:tabs>
          <w:tab w:val="left" w:pos="-1440"/>
        </w:tabs>
        <w:jc w:val="both"/>
        <w:rPr>
          <w:color w:val="000000" w:themeColor="text1"/>
        </w:rPr>
      </w:pPr>
      <w:r w:rsidRPr="00FD4562">
        <w:rPr>
          <w:color w:val="000000" w:themeColor="text1"/>
        </w:rPr>
        <w:t xml:space="preserve">Revised: </w:t>
      </w:r>
      <w:r w:rsidR="00FD4562" w:rsidRPr="00FD4562">
        <w:rPr>
          <w:color w:val="000000" w:themeColor="text1"/>
        </w:rPr>
        <w:t>July 20, 2022</w:t>
      </w:r>
    </w:p>
    <w:p w14:paraId="57A5C8FA" w14:textId="77777777" w:rsidR="00E543D4" w:rsidRPr="00FD4562" w:rsidRDefault="00E543D4" w:rsidP="001F22C2">
      <w:pPr>
        <w:widowControl/>
        <w:tabs>
          <w:tab w:val="left" w:pos="-1440"/>
        </w:tabs>
        <w:jc w:val="both"/>
        <w:rPr>
          <w:color w:val="000000" w:themeColor="text1"/>
        </w:rPr>
      </w:pPr>
    </w:p>
    <w:p w14:paraId="0E1BF165" w14:textId="77777777" w:rsidR="00E543D4" w:rsidRPr="00FD4562" w:rsidRDefault="00E543D4" w:rsidP="001F22C2">
      <w:pPr>
        <w:widowControl/>
        <w:tabs>
          <w:tab w:val="left" w:pos="-1440"/>
        </w:tabs>
        <w:jc w:val="both"/>
        <w:rPr>
          <w:color w:val="000000" w:themeColor="text1"/>
        </w:rPr>
      </w:pPr>
    </w:p>
    <w:p w14:paraId="6108699C" w14:textId="77777777" w:rsidR="00CC7931" w:rsidRPr="00FD4562" w:rsidRDefault="00CC7931" w:rsidP="001F22C2">
      <w:pPr>
        <w:jc w:val="both"/>
        <w:rPr>
          <w:color w:val="000000" w:themeColor="text1"/>
        </w:rPr>
      </w:pPr>
    </w:p>
    <w:sectPr w:rsidR="00CC7931" w:rsidRPr="00FD4562" w:rsidSect="00E571BE">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8FD3" w14:textId="77777777" w:rsidR="001D6446" w:rsidRDefault="001D6446" w:rsidP="00FD4E82">
      <w:r>
        <w:separator/>
      </w:r>
    </w:p>
  </w:endnote>
  <w:endnote w:type="continuationSeparator" w:id="0">
    <w:p w14:paraId="6CD21822" w14:textId="77777777" w:rsidR="001D6446" w:rsidRDefault="001D6446" w:rsidP="00FD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07A" w14:textId="77777777" w:rsidR="002147F8" w:rsidRPr="001A2647" w:rsidRDefault="00123F84" w:rsidP="001A2647">
    <w:pPr>
      <w:pStyle w:val="Footer"/>
      <w:pBdr>
        <w:top w:val="thinThickSmallGap" w:sz="24" w:space="1" w:color="auto"/>
      </w:pBdr>
      <w:tabs>
        <w:tab w:val="clear" w:pos="4320"/>
        <w:tab w:val="clear" w:pos="8640"/>
        <w:tab w:val="right" w:pos="9360"/>
      </w:tabs>
    </w:pPr>
    <w:r>
      <w:rPr>
        <w:b/>
      </w:rPr>
      <w:t>NE REGIONAL SCHOOL BOARD OF DIRECTORS POLICY MANUAL</w:t>
    </w:r>
    <w:r w:rsidR="002147F8" w:rsidRPr="001A2647">
      <w:rPr>
        <w:rFonts w:eastAsiaTheme="majorEastAsia"/>
      </w:rPr>
      <w:tab/>
    </w:r>
    <w:r w:rsidR="002147F8" w:rsidRPr="001A2647">
      <w:t xml:space="preserve">Page </w:t>
    </w:r>
    <w:r w:rsidR="002147F8" w:rsidRPr="001A2647">
      <w:fldChar w:fldCharType="begin"/>
    </w:r>
    <w:r w:rsidR="002147F8" w:rsidRPr="001A2647">
      <w:instrText xml:space="preserve"> PAGE   \* MERGEFORMAT </w:instrText>
    </w:r>
    <w:r w:rsidR="002147F8" w:rsidRPr="001A2647">
      <w:fldChar w:fldCharType="separate"/>
    </w:r>
    <w:r w:rsidR="006D46A9">
      <w:rPr>
        <w:noProof/>
      </w:rPr>
      <w:t>1</w:t>
    </w:r>
    <w:r w:rsidR="002147F8" w:rsidRPr="001A2647">
      <w:rPr>
        <w:noProof/>
      </w:rPr>
      <w:fldChar w:fldCharType="end"/>
    </w:r>
    <w:r w:rsidR="002147F8">
      <w:rPr>
        <w:noProof/>
      </w:rPr>
      <w:t xml:space="preserve"> of </w:t>
    </w:r>
    <w:r w:rsidR="002147F8">
      <w:rPr>
        <w:noProof/>
      </w:rPr>
      <w:fldChar w:fldCharType="begin"/>
    </w:r>
    <w:r w:rsidR="002147F8">
      <w:rPr>
        <w:noProof/>
      </w:rPr>
      <w:instrText xml:space="preserve"> NUMPAGES  \* Arabic  \* MERGEFORMAT </w:instrText>
    </w:r>
    <w:r w:rsidR="002147F8">
      <w:rPr>
        <w:noProof/>
      </w:rPr>
      <w:fldChar w:fldCharType="separate"/>
    </w:r>
    <w:r w:rsidR="006D46A9">
      <w:rPr>
        <w:noProof/>
      </w:rPr>
      <w:t>3</w:t>
    </w:r>
    <w:r w:rsidR="002147F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FFDAB" w14:textId="77777777" w:rsidR="001D6446" w:rsidRDefault="001D6446" w:rsidP="00FD4E82">
      <w:r>
        <w:separator/>
      </w:r>
    </w:p>
  </w:footnote>
  <w:footnote w:type="continuationSeparator" w:id="0">
    <w:p w14:paraId="13ECA433" w14:textId="77777777" w:rsidR="001D6446" w:rsidRDefault="001D6446" w:rsidP="00FD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5238" w14:textId="77777777" w:rsidR="009437A1" w:rsidRDefault="009437A1" w:rsidP="004D6AAE">
    <w:pPr>
      <w:pStyle w:val="FootnoteText"/>
      <w:rPr>
        <w:i/>
      </w:rPr>
    </w:pPr>
  </w:p>
  <w:p w14:paraId="6BEF1093" w14:textId="77777777" w:rsidR="009437A1" w:rsidRDefault="00943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D97D" w14:textId="77777777" w:rsidR="009437A1" w:rsidRDefault="009437A1" w:rsidP="00D95721">
    <w:pPr>
      <w:widowControl/>
      <w:tabs>
        <w:tab w:val="left" w:pos="6840"/>
        <w:tab w:val="right" w:pos="9360"/>
      </w:tabs>
    </w:pPr>
    <w:r>
      <w:rPr>
        <w:i/>
        <w:sz w:val="20"/>
      </w:rPr>
      <w:tab/>
      <w:t>Policy Code:</w:t>
    </w:r>
    <w:r>
      <w:tab/>
    </w:r>
    <w:r>
      <w:rPr>
        <w:b/>
      </w:rPr>
      <w:t>7241</w:t>
    </w:r>
  </w:p>
  <w:p w14:paraId="0945799E" w14:textId="77777777" w:rsidR="009437A1" w:rsidRDefault="009B7DC5" w:rsidP="00A55CAA">
    <w:pPr>
      <w:widowControl/>
      <w:tabs>
        <w:tab w:val="left" w:pos="6840"/>
        <w:tab w:val="right" w:pos="9360"/>
      </w:tabs>
      <w:spacing w:line="109" w:lineRule="exact"/>
    </w:pPr>
    <w:r>
      <w:rPr>
        <w:noProof/>
        <w:snapToGrid/>
      </w:rPr>
      <mc:AlternateContent>
        <mc:Choice Requires="wps">
          <w:drawing>
            <wp:anchor distT="0" distB="0" distL="114300" distR="114300" simplePos="0" relativeHeight="251658240" behindDoc="0" locked="0" layoutInCell="0" allowOverlap="1" wp14:anchorId="34D784DA" wp14:editId="4B1071D7">
              <wp:simplePos x="0" y="0"/>
              <wp:positionH relativeFrom="column">
                <wp:posOffset>0</wp:posOffset>
              </wp:positionH>
              <wp:positionV relativeFrom="paragraph">
                <wp:posOffset>53340</wp:posOffset>
              </wp:positionV>
              <wp:extent cx="5943600" cy="0"/>
              <wp:effectExtent l="0" t="19050" r="19050" b="381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69CA1"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68pt,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" o:allowincell="f"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0BA"/>
    <w:multiLevelType w:val="hybridMultilevel"/>
    <w:tmpl w:val="B9E2965E"/>
    <w:lvl w:ilvl="0" w:tplc="95DEFF8E">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090458"/>
    <w:multiLevelType w:val="hybridMultilevel"/>
    <w:tmpl w:val="17C0810E"/>
    <w:lvl w:ilvl="0" w:tplc="23E2F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68426340">
    <w:abstractNumId w:val="3"/>
  </w:num>
  <w:num w:numId="2" w16cid:durableId="417403758">
    <w:abstractNumId w:val="4"/>
  </w:num>
  <w:num w:numId="3" w16cid:durableId="146363898">
    <w:abstractNumId w:val="13"/>
  </w:num>
  <w:num w:numId="4" w16cid:durableId="1247693626">
    <w:abstractNumId w:val="11"/>
  </w:num>
  <w:num w:numId="5" w16cid:durableId="1767994499">
    <w:abstractNumId w:val="10"/>
  </w:num>
  <w:num w:numId="6" w16cid:durableId="255676824">
    <w:abstractNumId w:val="7"/>
  </w:num>
  <w:num w:numId="7" w16cid:durableId="768619459">
    <w:abstractNumId w:val="6"/>
  </w:num>
  <w:num w:numId="8" w16cid:durableId="207960756">
    <w:abstractNumId w:val="2"/>
  </w:num>
  <w:num w:numId="9" w16cid:durableId="763378727">
    <w:abstractNumId w:val="5"/>
  </w:num>
  <w:num w:numId="10" w16cid:durableId="1165978944">
    <w:abstractNumId w:val="1"/>
  </w:num>
  <w:num w:numId="11" w16cid:durableId="1882742102">
    <w:abstractNumId w:val="12"/>
  </w:num>
  <w:num w:numId="12" w16cid:durableId="589042802">
    <w:abstractNumId w:val="8"/>
  </w:num>
  <w:num w:numId="13" w16cid:durableId="816722370">
    <w:abstractNumId w:val="9"/>
  </w:num>
  <w:num w:numId="14" w16cid:durableId="10820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21DDE"/>
    <w:rsid w:val="000358BA"/>
    <w:rsid w:val="00067B71"/>
    <w:rsid w:val="00072133"/>
    <w:rsid w:val="000738AC"/>
    <w:rsid w:val="00076675"/>
    <w:rsid w:val="00076C3F"/>
    <w:rsid w:val="00086ABB"/>
    <w:rsid w:val="000A10A8"/>
    <w:rsid w:val="000B6A5C"/>
    <w:rsid w:val="000C3A88"/>
    <w:rsid w:val="000F2324"/>
    <w:rsid w:val="000F33A6"/>
    <w:rsid w:val="000F435A"/>
    <w:rsid w:val="000F4B11"/>
    <w:rsid w:val="000F71B2"/>
    <w:rsid w:val="000F745B"/>
    <w:rsid w:val="00107DD9"/>
    <w:rsid w:val="00123F84"/>
    <w:rsid w:val="00130D75"/>
    <w:rsid w:val="00150AF8"/>
    <w:rsid w:val="001619A0"/>
    <w:rsid w:val="00164DFE"/>
    <w:rsid w:val="001706A4"/>
    <w:rsid w:val="001D3311"/>
    <w:rsid w:val="001D5FA9"/>
    <w:rsid w:val="001D6446"/>
    <w:rsid w:val="001E60C3"/>
    <w:rsid w:val="001E6F95"/>
    <w:rsid w:val="001F0027"/>
    <w:rsid w:val="001F0D84"/>
    <w:rsid w:val="001F18EB"/>
    <w:rsid w:val="001F22C2"/>
    <w:rsid w:val="00210B17"/>
    <w:rsid w:val="002147F8"/>
    <w:rsid w:val="00231607"/>
    <w:rsid w:val="002430D7"/>
    <w:rsid w:val="00245FEF"/>
    <w:rsid w:val="00246986"/>
    <w:rsid w:val="0026585E"/>
    <w:rsid w:val="00271A0D"/>
    <w:rsid w:val="002771A6"/>
    <w:rsid w:val="002A18C8"/>
    <w:rsid w:val="002A3DE7"/>
    <w:rsid w:val="002A4A46"/>
    <w:rsid w:val="002A7713"/>
    <w:rsid w:val="002B2385"/>
    <w:rsid w:val="002C6656"/>
    <w:rsid w:val="00303801"/>
    <w:rsid w:val="0030655D"/>
    <w:rsid w:val="00350D92"/>
    <w:rsid w:val="00351055"/>
    <w:rsid w:val="003532A4"/>
    <w:rsid w:val="00381E16"/>
    <w:rsid w:val="003976A4"/>
    <w:rsid w:val="003C698E"/>
    <w:rsid w:val="003D1329"/>
    <w:rsid w:val="003D6248"/>
    <w:rsid w:val="003E1079"/>
    <w:rsid w:val="003E3843"/>
    <w:rsid w:val="003E60BE"/>
    <w:rsid w:val="003F3154"/>
    <w:rsid w:val="003F4342"/>
    <w:rsid w:val="004031E5"/>
    <w:rsid w:val="004165B0"/>
    <w:rsid w:val="004255C4"/>
    <w:rsid w:val="004662A6"/>
    <w:rsid w:val="00474DA5"/>
    <w:rsid w:val="0047650B"/>
    <w:rsid w:val="004A3A72"/>
    <w:rsid w:val="004A403D"/>
    <w:rsid w:val="004B05ED"/>
    <w:rsid w:val="004C6D6F"/>
    <w:rsid w:val="004D0E0E"/>
    <w:rsid w:val="004D3CD4"/>
    <w:rsid w:val="004D6AAE"/>
    <w:rsid w:val="00503728"/>
    <w:rsid w:val="0051317F"/>
    <w:rsid w:val="00527389"/>
    <w:rsid w:val="00551820"/>
    <w:rsid w:val="00553B77"/>
    <w:rsid w:val="0057420D"/>
    <w:rsid w:val="0058023B"/>
    <w:rsid w:val="005819B3"/>
    <w:rsid w:val="00584569"/>
    <w:rsid w:val="00596CF9"/>
    <w:rsid w:val="005B61CD"/>
    <w:rsid w:val="005C2E96"/>
    <w:rsid w:val="005C4DAD"/>
    <w:rsid w:val="005C73E0"/>
    <w:rsid w:val="005D7B79"/>
    <w:rsid w:val="00604C6F"/>
    <w:rsid w:val="0061511A"/>
    <w:rsid w:val="006159E8"/>
    <w:rsid w:val="006260EC"/>
    <w:rsid w:val="00633153"/>
    <w:rsid w:val="00633299"/>
    <w:rsid w:val="00656D1C"/>
    <w:rsid w:val="00662C94"/>
    <w:rsid w:val="00684858"/>
    <w:rsid w:val="006902E8"/>
    <w:rsid w:val="006A5BD3"/>
    <w:rsid w:val="006B2ABC"/>
    <w:rsid w:val="006B68B4"/>
    <w:rsid w:val="006B7FEF"/>
    <w:rsid w:val="006C74CD"/>
    <w:rsid w:val="006D46A9"/>
    <w:rsid w:val="006D56C8"/>
    <w:rsid w:val="006D72E6"/>
    <w:rsid w:val="006D76AE"/>
    <w:rsid w:val="006E3B33"/>
    <w:rsid w:val="00715694"/>
    <w:rsid w:val="007168A4"/>
    <w:rsid w:val="00720B04"/>
    <w:rsid w:val="0072607E"/>
    <w:rsid w:val="00745157"/>
    <w:rsid w:val="00750B0A"/>
    <w:rsid w:val="007A531C"/>
    <w:rsid w:val="007C175F"/>
    <w:rsid w:val="007C4F61"/>
    <w:rsid w:val="007D03AB"/>
    <w:rsid w:val="007D586B"/>
    <w:rsid w:val="007F526B"/>
    <w:rsid w:val="008122D2"/>
    <w:rsid w:val="008152E5"/>
    <w:rsid w:val="00825663"/>
    <w:rsid w:val="00834835"/>
    <w:rsid w:val="00837063"/>
    <w:rsid w:val="00844B6E"/>
    <w:rsid w:val="008456FF"/>
    <w:rsid w:val="008470DC"/>
    <w:rsid w:val="00851BA2"/>
    <w:rsid w:val="00851CC3"/>
    <w:rsid w:val="00861F1A"/>
    <w:rsid w:val="00871339"/>
    <w:rsid w:val="00875992"/>
    <w:rsid w:val="0088225F"/>
    <w:rsid w:val="00882454"/>
    <w:rsid w:val="00882690"/>
    <w:rsid w:val="00884774"/>
    <w:rsid w:val="008B170F"/>
    <w:rsid w:val="008B23B3"/>
    <w:rsid w:val="008B694B"/>
    <w:rsid w:val="008E2ADD"/>
    <w:rsid w:val="008E3DC3"/>
    <w:rsid w:val="009437A1"/>
    <w:rsid w:val="00954551"/>
    <w:rsid w:val="00966A64"/>
    <w:rsid w:val="009748E9"/>
    <w:rsid w:val="00990141"/>
    <w:rsid w:val="00993D1D"/>
    <w:rsid w:val="00995EE3"/>
    <w:rsid w:val="009A3127"/>
    <w:rsid w:val="009B1EEA"/>
    <w:rsid w:val="009B7DC5"/>
    <w:rsid w:val="009E18EC"/>
    <w:rsid w:val="009E5D87"/>
    <w:rsid w:val="00A13D5F"/>
    <w:rsid w:val="00A16E32"/>
    <w:rsid w:val="00A27A9B"/>
    <w:rsid w:val="00A472E8"/>
    <w:rsid w:val="00A50D6F"/>
    <w:rsid w:val="00A55CAA"/>
    <w:rsid w:val="00A71074"/>
    <w:rsid w:val="00A74E27"/>
    <w:rsid w:val="00A763D5"/>
    <w:rsid w:val="00A773A9"/>
    <w:rsid w:val="00A863EC"/>
    <w:rsid w:val="00A933E5"/>
    <w:rsid w:val="00AB7EAB"/>
    <w:rsid w:val="00AD4433"/>
    <w:rsid w:val="00AF1E3C"/>
    <w:rsid w:val="00AF28DF"/>
    <w:rsid w:val="00B10D4C"/>
    <w:rsid w:val="00B16820"/>
    <w:rsid w:val="00B45808"/>
    <w:rsid w:val="00B7062B"/>
    <w:rsid w:val="00B86E71"/>
    <w:rsid w:val="00BB3EDD"/>
    <w:rsid w:val="00BC360B"/>
    <w:rsid w:val="00BC5841"/>
    <w:rsid w:val="00BF5BFA"/>
    <w:rsid w:val="00BF5EA5"/>
    <w:rsid w:val="00C216C6"/>
    <w:rsid w:val="00C31BD1"/>
    <w:rsid w:val="00C62438"/>
    <w:rsid w:val="00C64957"/>
    <w:rsid w:val="00C673C1"/>
    <w:rsid w:val="00C70F7E"/>
    <w:rsid w:val="00C7795E"/>
    <w:rsid w:val="00C866C8"/>
    <w:rsid w:val="00C9012C"/>
    <w:rsid w:val="00CA1287"/>
    <w:rsid w:val="00CA6E31"/>
    <w:rsid w:val="00CA77C2"/>
    <w:rsid w:val="00CB0ACF"/>
    <w:rsid w:val="00CB0C28"/>
    <w:rsid w:val="00CC1ACD"/>
    <w:rsid w:val="00CC7931"/>
    <w:rsid w:val="00CE43CD"/>
    <w:rsid w:val="00CF7E0F"/>
    <w:rsid w:val="00D017D5"/>
    <w:rsid w:val="00D07DF5"/>
    <w:rsid w:val="00D27E74"/>
    <w:rsid w:val="00D32BA2"/>
    <w:rsid w:val="00D632B7"/>
    <w:rsid w:val="00D87719"/>
    <w:rsid w:val="00D900DB"/>
    <w:rsid w:val="00D930A4"/>
    <w:rsid w:val="00D95721"/>
    <w:rsid w:val="00DB2E8C"/>
    <w:rsid w:val="00E064C4"/>
    <w:rsid w:val="00E131EB"/>
    <w:rsid w:val="00E32172"/>
    <w:rsid w:val="00E36CFF"/>
    <w:rsid w:val="00E41E60"/>
    <w:rsid w:val="00E43BB0"/>
    <w:rsid w:val="00E5018E"/>
    <w:rsid w:val="00E53FA7"/>
    <w:rsid w:val="00E543D4"/>
    <w:rsid w:val="00E571BE"/>
    <w:rsid w:val="00E642E0"/>
    <w:rsid w:val="00E929B6"/>
    <w:rsid w:val="00E92AD8"/>
    <w:rsid w:val="00EB1567"/>
    <w:rsid w:val="00EB361C"/>
    <w:rsid w:val="00EC5071"/>
    <w:rsid w:val="00EC7148"/>
    <w:rsid w:val="00ED4D9B"/>
    <w:rsid w:val="00EE1E39"/>
    <w:rsid w:val="00EE41B6"/>
    <w:rsid w:val="00EF2B2B"/>
    <w:rsid w:val="00F10215"/>
    <w:rsid w:val="00F12190"/>
    <w:rsid w:val="00F22DCD"/>
    <w:rsid w:val="00F2378A"/>
    <w:rsid w:val="00F36237"/>
    <w:rsid w:val="00F37940"/>
    <w:rsid w:val="00F44F88"/>
    <w:rsid w:val="00F65AF1"/>
    <w:rsid w:val="00F70F55"/>
    <w:rsid w:val="00F7171B"/>
    <w:rsid w:val="00F768D7"/>
    <w:rsid w:val="00F85F1F"/>
    <w:rsid w:val="00F86181"/>
    <w:rsid w:val="00F8786D"/>
    <w:rsid w:val="00FA787E"/>
    <w:rsid w:val="00FC5644"/>
    <w:rsid w:val="00FD3BA2"/>
    <w:rsid w:val="00FD4562"/>
    <w:rsid w:val="00FD4E82"/>
    <w:rsid w:val="00FD6173"/>
    <w:rsid w:val="00FE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6E8471"/>
  <w15:docId w15:val="{847C7060-DDAB-4722-A455-7C1FEA2E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paragraph" w:styleId="Heading3">
    <w:name w:val="heading 3"/>
    <w:basedOn w:val="Normal"/>
    <w:next w:val="Normal"/>
    <w:qFormat/>
    <w:rsid w:val="004B05ED"/>
    <w:pPr>
      <w:keepNext/>
      <w:widowControl/>
      <w:tabs>
        <w:tab w:val="left" w:pos="6840"/>
        <w:tab w:val="right" w:pos="9360"/>
      </w:tabs>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C175F"/>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link w:val="FooterChar"/>
    <w:uiPriority w:val="99"/>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paragraph" w:styleId="BodyText">
    <w:name w:val="Body Text"/>
    <w:basedOn w:val="Normal"/>
    <w:rsid w:val="004B05ED"/>
    <w:pPr>
      <w:tabs>
        <w:tab w:val="left" w:pos="-1440"/>
      </w:tabs>
      <w:jc w:val="both"/>
    </w:pPr>
    <w:rPr>
      <w:rFonts w:ascii="CG Times" w:hAnsi="CG Times"/>
    </w:rPr>
  </w:style>
  <w:style w:type="paragraph" w:styleId="Revision">
    <w:name w:val="Revision"/>
    <w:hidden/>
    <w:uiPriority w:val="99"/>
    <w:semiHidden/>
    <w:rsid w:val="00834835"/>
    <w:rPr>
      <w:snapToGrid w:val="0"/>
      <w:sz w:val="24"/>
    </w:rPr>
  </w:style>
  <w:style w:type="paragraph" w:styleId="ListParagraph">
    <w:name w:val="List Paragraph"/>
    <w:basedOn w:val="Normal"/>
    <w:uiPriority w:val="34"/>
    <w:qFormat/>
    <w:rsid w:val="006D76AE"/>
    <w:pPr>
      <w:ind w:left="720"/>
    </w:pPr>
  </w:style>
  <w:style w:type="character" w:styleId="CommentReference">
    <w:name w:val="annotation reference"/>
    <w:rsid w:val="00851CC3"/>
    <w:rPr>
      <w:sz w:val="16"/>
      <w:szCs w:val="16"/>
    </w:rPr>
  </w:style>
  <w:style w:type="paragraph" w:styleId="CommentText">
    <w:name w:val="annotation text"/>
    <w:basedOn w:val="Normal"/>
    <w:link w:val="CommentTextChar"/>
    <w:rsid w:val="00851CC3"/>
    <w:rPr>
      <w:sz w:val="20"/>
    </w:rPr>
  </w:style>
  <w:style w:type="character" w:customStyle="1" w:styleId="CommentTextChar">
    <w:name w:val="Comment Text Char"/>
    <w:link w:val="CommentText"/>
    <w:rsid w:val="00851CC3"/>
    <w:rPr>
      <w:snapToGrid w:val="0"/>
    </w:rPr>
  </w:style>
  <w:style w:type="paragraph" w:styleId="CommentSubject">
    <w:name w:val="annotation subject"/>
    <w:basedOn w:val="CommentText"/>
    <w:next w:val="CommentText"/>
    <w:link w:val="CommentSubjectChar"/>
    <w:rsid w:val="00851CC3"/>
    <w:rPr>
      <w:b/>
      <w:bCs/>
    </w:rPr>
  </w:style>
  <w:style w:type="character" w:customStyle="1" w:styleId="CommentSubjectChar">
    <w:name w:val="Comment Subject Char"/>
    <w:link w:val="CommentSubject"/>
    <w:rsid w:val="00851CC3"/>
    <w:rPr>
      <w:b/>
      <w:bCs/>
      <w:snapToGrid w:val="0"/>
    </w:rPr>
  </w:style>
  <w:style w:type="character" w:customStyle="1" w:styleId="FooterChar">
    <w:name w:val="Footer Char"/>
    <w:link w:val="Footer"/>
    <w:uiPriority w:val="99"/>
    <w:rsid w:val="002147F8"/>
    <w:rPr>
      <w:snapToGrid w:val="0"/>
      <w:sz w:val="24"/>
    </w:rPr>
  </w:style>
  <w:style w:type="character" w:styleId="Hyperlink">
    <w:name w:val="Hyperlink"/>
    <w:basedOn w:val="DefaultParagraphFont"/>
    <w:unhideWhenUsed/>
    <w:rsid w:val="006C74CD"/>
    <w:rPr>
      <w:color w:val="0000FF" w:themeColor="hyperlink"/>
      <w:u w:val="single"/>
    </w:rPr>
  </w:style>
  <w:style w:type="character" w:styleId="UnresolvedMention">
    <w:name w:val="Unresolved Mention"/>
    <w:basedOn w:val="DefaultParagraphFont"/>
    <w:uiPriority w:val="99"/>
    <w:semiHidden/>
    <w:unhideWhenUsed/>
    <w:rsid w:val="006C7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84310">
      <w:bodyDiv w:val="1"/>
      <w:marLeft w:val="0"/>
      <w:marRight w:val="0"/>
      <w:marTop w:val="0"/>
      <w:marBottom w:val="0"/>
      <w:divBdr>
        <w:top w:val="none" w:sz="0" w:space="0" w:color="auto"/>
        <w:left w:val="none" w:sz="0" w:space="0" w:color="auto"/>
        <w:bottom w:val="none" w:sz="0" w:space="0" w:color="auto"/>
        <w:right w:val="none" w:sz="0" w:space="0" w:color="auto"/>
      </w:divBdr>
    </w:div>
    <w:div w:id="1196187634">
      <w:bodyDiv w:val="1"/>
      <w:marLeft w:val="0"/>
      <w:marRight w:val="0"/>
      <w:marTop w:val="0"/>
      <w:marBottom w:val="0"/>
      <w:divBdr>
        <w:top w:val="none" w:sz="0" w:space="0" w:color="auto"/>
        <w:left w:val="none" w:sz="0" w:space="0" w:color="auto"/>
        <w:bottom w:val="none" w:sz="0" w:space="0" w:color="auto"/>
        <w:right w:val="none" w:sz="0" w:space="0" w:color="auto"/>
      </w:divBdr>
    </w:div>
    <w:div w:id="17706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director.microscribepub.com/?cat=cfr&amp;loc=us&amp;id=49&amp;spec=38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director.microscribepub.com/?cat=cfr&amp;loc=us&amp;id=49&amp;spec=38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redirector.microscribepub.com/?cat=cfr&amp;loc=us&amp;id=49&amp;spec=3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director.microscribepub.com/?cat=cfr&amp;loc=us&amp;id=49&amp;spec=382" TargetMode="External"/><Relationship Id="rId5" Type="http://schemas.openxmlformats.org/officeDocument/2006/relationships/webSettings" Target="webSettings.xml"/><Relationship Id="rId15" Type="http://schemas.openxmlformats.org/officeDocument/2006/relationships/hyperlink" Target="http://redirector.microscribepub.com/?cat=cfr&amp;loc=us&amp;id=49&amp;spec=382" TargetMode="External"/><Relationship Id="rId10" Type="http://schemas.openxmlformats.org/officeDocument/2006/relationships/hyperlink" Target="http://redirector.microscribepub.com/?cat=cfr&amp;loc=us&amp;id=49&amp;spec=3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director.microscribepub.com/?cat=cfr&amp;loc=us&amp;id=49&amp;spec=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A13F-0ADC-144F-9822-4382737D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5</cp:revision>
  <cp:lastPrinted>2016-09-14T14:34:00Z</cp:lastPrinted>
  <dcterms:created xsi:type="dcterms:W3CDTF">2020-03-05T02:12:00Z</dcterms:created>
  <dcterms:modified xsi:type="dcterms:W3CDTF">2022-07-22T00:51:00Z</dcterms:modified>
</cp:coreProperties>
</file>