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8E5" w14:textId="77777777" w:rsidR="007426C7" w:rsidRPr="00FD3BB4" w:rsidRDefault="00FA6AE1" w:rsidP="00F9259C">
      <w:pPr>
        <w:tabs>
          <w:tab w:val="left" w:pos="5760"/>
          <w:tab w:val="right" w:pos="9360"/>
        </w:tabs>
        <w:rPr>
          <w:b/>
          <w:color w:val="000000" w:themeColor="text1"/>
          <w:sz w:val="28"/>
        </w:rPr>
      </w:pPr>
      <w:r w:rsidRPr="00FD3BB4">
        <w:rPr>
          <w:b/>
          <w:color w:val="000000" w:themeColor="text1"/>
          <w:sz w:val="28"/>
        </w:rPr>
        <w:t>EMERGENCY EPINEP</w:t>
      </w:r>
      <w:r w:rsidR="000C35E8" w:rsidRPr="00FD3BB4">
        <w:rPr>
          <w:b/>
          <w:color w:val="000000" w:themeColor="text1"/>
          <w:sz w:val="28"/>
        </w:rPr>
        <w:t>HR</w:t>
      </w:r>
      <w:r w:rsidRPr="00FD3BB4">
        <w:rPr>
          <w:b/>
          <w:color w:val="000000" w:themeColor="text1"/>
          <w:sz w:val="28"/>
        </w:rPr>
        <w:t xml:space="preserve">INE </w:t>
      </w:r>
    </w:p>
    <w:p w14:paraId="6600C4BF" w14:textId="24A89429" w:rsidR="00FA6AE1" w:rsidRPr="00FD3BB4" w:rsidRDefault="00FA6AE1" w:rsidP="0097277B">
      <w:pPr>
        <w:tabs>
          <w:tab w:val="left" w:pos="6480"/>
          <w:tab w:val="right" w:pos="9360"/>
        </w:tabs>
        <w:rPr>
          <w:b/>
          <w:color w:val="000000" w:themeColor="text1"/>
        </w:rPr>
      </w:pPr>
      <w:r w:rsidRPr="00FD3BB4">
        <w:rPr>
          <w:b/>
          <w:color w:val="000000" w:themeColor="text1"/>
          <w:sz w:val="28"/>
        </w:rPr>
        <w:t>AUTO-INJECTOR</w:t>
      </w:r>
      <w:r w:rsidR="00FD2D13" w:rsidRPr="00FD3BB4">
        <w:rPr>
          <w:b/>
          <w:color w:val="000000" w:themeColor="text1"/>
          <w:sz w:val="28"/>
        </w:rPr>
        <w:t xml:space="preserve"> DEVICES</w:t>
      </w:r>
      <w:r w:rsidRPr="00FD3BB4">
        <w:rPr>
          <w:color w:val="000000" w:themeColor="text1"/>
          <w:sz w:val="20"/>
        </w:rPr>
        <w:tab/>
      </w:r>
      <w:r w:rsidRPr="00FD3BB4">
        <w:rPr>
          <w:i/>
          <w:color w:val="000000" w:themeColor="text1"/>
          <w:sz w:val="20"/>
        </w:rPr>
        <w:t>Policy Code:</w:t>
      </w:r>
      <w:r w:rsidRPr="00FD3BB4">
        <w:rPr>
          <w:color w:val="000000" w:themeColor="text1"/>
        </w:rPr>
        <w:tab/>
      </w:r>
      <w:r w:rsidR="007426C7" w:rsidRPr="00FD3BB4">
        <w:rPr>
          <w:b/>
          <w:color w:val="000000" w:themeColor="text1"/>
        </w:rPr>
        <w:t>7266</w:t>
      </w:r>
      <w:r w:rsidR="003911B4" w:rsidRPr="00FD3BB4">
        <w:rPr>
          <w:b/>
          <w:color w:val="000000" w:themeColor="text1"/>
        </w:rPr>
        <w:t>/5024</w:t>
      </w:r>
      <w:r w:rsidR="00DB4947" w:rsidRPr="00FD3BB4">
        <w:rPr>
          <w:b/>
          <w:color w:val="000000" w:themeColor="text1"/>
        </w:rPr>
        <w:t>/6127</w:t>
      </w:r>
    </w:p>
    <w:p w14:paraId="4688C162" w14:textId="77777777" w:rsidR="00FA6AE1" w:rsidRPr="00FD3BB4" w:rsidRDefault="007C1130" w:rsidP="00F9259C">
      <w:pPr>
        <w:tabs>
          <w:tab w:val="left" w:pos="6840"/>
          <w:tab w:val="right" w:pos="9360"/>
        </w:tabs>
        <w:rPr>
          <w:color w:val="000000" w:themeColor="text1"/>
        </w:rPr>
      </w:pPr>
      <w:r w:rsidRPr="00FD3BB4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62F4806" wp14:editId="1EEAEED7">
                <wp:simplePos x="0" y="0"/>
                <wp:positionH relativeFrom="column">
                  <wp:posOffset>0</wp:posOffset>
                </wp:positionH>
                <wp:positionV relativeFrom="paragraph">
                  <wp:posOffset>48259</wp:posOffset>
                </wp:positionV>
                <wp:extent cx="5943600" cy="0"/>
                <wp:effectExtent l="0" t="19050" r="19050" b="381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12F2F" id="Line 6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076F98F5" w14:textId="77777777" w:rsidR="001A449C" w:rsidRPr="00FD3BB4" w:rsidRDefault="001A449C" w:rsidP="00F9259C">
      <w:pPr>
        <w:tabs>
          <w:tab w:val="left" w:pos="6840"/>
          <w:tab w:val="right" w:pos="9360"/>
        </w:tabs>
        <w:jc w:val="both"/>
        <w:rPr>
          <w:color w:val="000000" w:themeColor="text1"/>
        </w:rPr>
        <w:sectPr w:rsidR="001A449C" w:rsidRPr="00FD3BB4" w:rsidSect="00FA6AE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4BA600" w14:textId="77777777" w:rsidR="00CF62C0" w:rsidRPr="00FD3BB4" w:rsidRDefault="00CF62C0" w:rsidP="00F9259C">
      <w:pPr>
        <w:widowControl/>
        <w:jc w:val="both"/>
        <w:rPr>
          <w:rFonts w:eastAsia="Calibri"/>
          <w:snapToGrid/>
          <w:color w:val="000000" w:themeColor="text1"/>
          <w:szCs w:val="24"/>
        </w:rPr>
      </w:pPr>
    </w:p>
    <w:p w14:paraId="742C3446" w14:textId="77777777" w:rsidR="00FA6AE1" w:rsidRPr="00FD3BB4" w:rsidRDefault="00FA6AE1" w:rsidP="00F9259C">
      <w:pPr>
        <w:widowControl/>
        <w:jc w:val="both"/>
        <w:rPr>
          <w:rFonts w:eastAsia="Calibri"/>
          <w:snapToGrid/>
          <w:color w:val="000000" w:themeColor="text1"/>
          <w:szCs w:val="24"/>
        </w:rPr>
      </w:pPr>
      <w:r w:rsidRPr="00FD3BB4">
        <w:rPr>
          <w:rFonts w:eastAsia="Calibri"/>
          <w:snapToGrid/>
          <w:color w:val="000000" w:themeColor="text1"/>
          <w:szCs w:val="24"/>
        </w:rPr>
        <w:t xml:space="preserve">Anaphylaxis is a severe systemic allergic reaction from exposure to allergens that is rapid in onset and can cause death.  Many severe allergies are undiagnosed, and </w:t>
      </w:r>
      <w:r w:rsidR="00311699" w:rsidRPr="00FD3BB4">
        <w:rPr>
          <w:rFonts w:eastAsia="Calibri"/>
          <w:snapToGrid/>
          <w:color w:val="000000" w:themeColor="text1"/>
          <w:szCs w:val="24"/>
        </w:rPr>
        <w:t>scholar</w:t>
      </w:r>
      <w:r w:rsidR="001A449C" w:rsidRPr="00FD3BB4">
        <w:rPr>
          <w:rFonts w:eastAsia="Calibri"/>
          <w:snapToGrid/>
          <w:color w:val="000000" w:themeColor="text1"/>
          <w:szCs w:val="24"/>
        </w:rPr>
        <w:t xml:space="preserve">s </w:t>
      </w:r>
      <w:r w:rsidR="00242B10" w:rsidRPr="00FD3BB4">
        <w:rPr>
          <w:rFonts w:eastAsia="Calibri"/>
          <w:snapToGrid/>
          <w:color w:val="000000" w:themeColor="text1"/>
          <w:szCs w:val="24"/>
        </w:rPr>
        <w:t xml:space="preserve">or others </w:t>
      </w:r>
      <w:r w:rsidR="001A449C" w:rsidRPr="00FD3BB4">
        <w:rPr>
          <w:rFonts w:eastAsia="Calibri"/>
          <w:snapToGrid/>
          <w:color w:val="000000" w:themeColor="text1"/>
          <w:szCs w:val="24"/>
        </w:rPr>
        <w:t xml:space="preserve">may experience their </w:t>
      </w:r>
      <w:r w:rsidRPr="00FD3BB4">
        <w:rPr>
          <w:rFonts w:eastAsia="Calibri"/>
          <w:snapToGrid/>
          <w:color w:val="000000" w:themeColor="text1"/>
          <w:szCs w:val="24"/>
        </w:rPr>
        <w:t xml:space="preserve">first severe allergic reaction </w:t>
      </w:r>
      <w:r w:rsidR="001A449C" w:rsidRPr="00FD3BB4">
        <w:rPr>
          <w:rFonts w:eastAsia="Calibri"/>
          <w:snapToGrid/>
          <w:color w:val="000000" w:themeColor="text1"/>
          <w:szCs w:val="24"/>
        </w:rPr>
        <w:t xml:space="preserve">while </w:t>
      </w:r>
      <w:r w:rsidRPr="00FD3BB4">
        <w:rPr>
          <w:rFonts w:eastAsia="Calibri"/>
          <w:snapToGrid/>
          <w:color w:val="000000" w:themeColor="text1"/>
          <w:szCs w:val="24"/>
        </w:rPr>
        <w:t>at school.</w:t>
      </w:r>
      <w:r w:rsidR="00B47CE7" w:rsidRPr="00FD3BB4">
        <w:rPr>
          <w:rFonts w:eastAsia="Calibri"/>
          <w:snapToGrid/>
          <w:color w:val="000000" w:themeColor="text1"/>
          <w:szCs w:val="24"/>
        </w:rPr>
        <w:t xml:space="preserve">  </w:t>
      </w:r>
      <w:r w:rsidR="00522AF5" w:rsidRPr="00FD3BB4">
        <w:rPr>
          <w:rFonts w:eastAsia="Calibri"/>
          <w:snapToGrid/>
          <w:color w:val="000000" w:themeColor="text1"/>
          <w:szCs w:val="24"/>
        </w:rPr>
        <w:t>E</w:t>
      </w:r>
      <w:r w:rsidR="00E27C14" w:rsidRPr="00FD3BB4">
        <w:rPr>
          <w:color w:val="000000" w:themeColor="text1"/>
          <w:szCs w:val="24"/>
        </w:rPr>
        <w:t>pinephrine auto-injector</w:t>
      </w:r>
      <w:r w:rsidR="00FD2D13" w:rsidRPr="00FD3BB4">
        <w:rPr>
          <w:color w:val="000000" w:themeColor="text1"/>
          <w:szCs w:val="24"/>
        </w:rPr>
        <w:t xml:space="preserve"> devices</w:t>
      </w:r>
      <w:r w:rsidR="00E27C14" w:rsidRPr="00FD3BB4">
        <w:rPr>
          <w:color w:val="000000" w:themeColor="text1"/>
          <w:szCs w:val="24"/>
        </w:rPr>
        <w:t xml:space="preserve"> </w:t>
      </w:r>
      <w:r w:rsidR="00522AF5" w:rsidRPr="00FD3BB4">
        <w:rPr>
          <w:color w:val="000000" w:themeColor="text1"/>
          <w:szCs w:val="24"/>
        </w:rPr>
        <w:t xml:space="preserve">can be used to administer epinephrine </w:t>
      </w:r>
      <w:r w:rsidR="00E27C14" w:rsidRPr="00FD3BB4">
        <w:rPr>
          <w:color w:val="000000" w:themeColor="text1"/>
          <w:szCs w:val="24"/>
        </w:rPr>
        <w:t xml:space="preserve">to provide rapid, convenient first aid for persons suffering a potentially fatal </w:t>
      </w:r>
      <w:r w:rsidR="00FF104A" w:rsidRPr="00FD3BB4">
        <w:rPr>
          <w:color w:val="000000" w:themeColor="text1"/>
          <w:szCs w:val="24"/>
        </w:rPr>
        <w:t xml:space="preserve">anaphylactic </w:t>
      </w:r>
      <w:r w:rsidR="00E27C14" w:rsidRPr="00FD3BB4">
        <w:rPr>
          <w:color w:val="000000" w:themeColor="text1"/>
          <w:szCs w:val="24"/>
        </w:rPr>
        <w:t>reaction.</w:t>
      </w:r>
      <w:r w:rsidR="00744A3A" w:rsidRPr="00FD3BB4">
        <w:rPr>
          <w:color w:val="000000" w:themeColor="text1"/>
          <w:szCs w:val="24"/>
        </w:rPr>
        <w:t xml:space="preserve">  This policy addresses the use of emergency epinephrine auto-injector devices</w:t>
      </w:r>
      <w:r w:rsidR="000566EB" w:rsidRPr="00FD3BB4">
        <w:rPr>
          <w:color w:val="000000" w:themeColor="text1"/>
          <w:szCs w:val="24"/>
        </w:rPr>
        <w:t xml:space="preserve"> administered under a non-patient specific</w:t>
      </w:r>
      <w:r w:rsidR="00FF104A" w:rsidRPr="00FD3BB4">
        <w:rPr>
          <w:color w:val="000000" w:themeColor="text1"/>
          <w:szCs w:val="24"/>
        </w:rPr>
        <w:t xml:space="preserve"> prescription</w:t>
      </w:r>
      <w:r w:rsidR="00744A3A" w:rsidRPr="00FD3BB4">
        <w:rPr>
          <w:color w:val="000000" w:themeColor="text1"/>
          <w:szCs w:val="24"/>
        </w:rPr>
        <w:t xml:space="preserve">.  </w:t>
      </w:r>
      <w:r w:rsidR="00311699" w:rsidRPr="00FD3BB4">
        <w:rPr>
          <w:color w:val="000000" w:themeColor="text1"/>
          <w:szCs w:val="24"/>
        </w:rPr>
        <w:t>Scholar</w:t>
      </w:r>
      <w:r w:rsidR="000566EB" w:rsidRPr="00FD3BB4">
        <w:rPr>
          <w:color w:val="000000" w:themeColor="text1"/>
          <w:szCs w:val="24"/>
        </w:rPr>
        <w:t>-specific orders for epinephrine auto-injector devices are addressed in</w:t>
      </w:r>
      <w:r w:rsidR="00CC4482" w:rsidRPr="00FD3BB4">
        <w:rPr>
          <w:color w:val="000000" w:themeColor="text1"/>
          <w:szCs w:val="24"/>
        </w:rPr>
        <w:t xml:space="preserve"> policy 6</w:t>
      </w:r>
      <w:r w:rsidR="000566EB" w:rsidRPr="00FD3BB4">
        <w:rPr>
          <w:color w:val="000000" w:themeColor="text1"/>
          <w:szCs w:val="24"/>
        </w:rPr>
        <w:t>125, Admi</w:t>
      </w:r>
      <w:r w:rsidR="006208D8" w:rsidRPr="00FD3BB4">
        <w:rPr>
          <w:color w:val="000000" w:themeColor="text1"/>
          <w:szCs w:val="24"/>
        </w:rPr>
        <w:t xml:space="preserve">nistering Medicines to </w:t>
      </w:r>
      <w:r w:rsidR="00311699" w:rsidRPr="00FD3BB4">
        <w:rPr>
          <w:color w:val="000000" w:themeColor="text1"/>
          <w:szCs w:val="24"/>
        </w:rPr>
        <w:t>Scholar</w:t>
      </w:r>
      <w:r w:rsidR="006208D8" w:rsidRPr="00FD3BB4">
        <w:rPr>
          <w:color w:val="000000" w:themeColor="text1"/>
          <w:szCs w:val="24"/>
        </w:rPr>
        <w:t>s.</w:t>
      </w:r>
      <w:r w:rsidR="000566EB" w:rsidRPr="00FD3BB4">
        <w:rPr>
          <w:color w:val="000000" w:themeColor="text1"/>
          <w:szCs w:val="24"/>
        </w:rPr>
        <w:t xml:space="preserve"> </w:t>
      </w:r>
    </w:p>
    <w:p w14:paraId="5EDE5F4F" w14:textId="77777777" w:rsidR="00FA6AE1" w:rsidRPr="00FD3BB4" w:rsidRDefault="00FA6AE1" w:rsidP="00F9259C">
      <w:pPr>
        <w:widowControl/>
        <w:jc w:val="both"/>
        <w:rPr>
          <w:rFonts w:eastAsia="Calibri"/>
          <w:snapToGrid/>
          <w:color w:val="000000" w:themeColor="text1"/>
          <w:szCs w:val="24"/>
        </w:rPr>
      </w:pPr>
    </w:p>
    <w:p w14:paraId="13FB3989" w14:textId="395F34F1" w:rsidR="00FA6AE1" w:rsidRPr="00FD3BB4" w:rsidRDefault="001A449C" w:rsidP="00F9259C">
      <w:pPr>
        <w:widowControl/>
        <w:jc w:val="both"/>
        <w:rPr>
          <w:rFonts w:eastAsia="Calibri"/>
          <w:snapToGrid/>
          <w:color w:val="000000" w:themeColor="text1"/>
          <w:szCs w:val="24"/>
        </w:rPr>
      </w:pPr>
      <w:r w:rsidRPr="00FD3BB4">
        <w:rPr>
          <w:rFonts w:eastAsia="Calibri"/>
          <w:snapToGrid/>
          <w:color w:val="000000" w:themeColor="text1"/>
          <w:szCs w:val="24"/>
        </w:rPr>
        <w:t>Designated trained school personnel are authorized to use emergency epinephrine auto-injector</w:t>
      </w:r>
      <w:r w:rsidR="00FD2D13" w:rsidRPr="00FD3BB4">
        <w:rPr>
          <w:rFonts w:eastAsia="Calibri"/>
          <w:snapToGrid/>
          <w:color w:val="000000" w:themeColor="text1"/>
          <w:szCs w:val="24"/>
        </w:rPr>
        <w:t xml:space="preserve"> devices</w:t>
      </w:r>
      <w:r w:rsidRPr="00FD3BB4">
        <w:rPr>
          <w:rFonts w:eastAsia="Calibri"/>
          <w:snapToGrid/>
          <w:color w:val="000000" w:themeColor="text1"/>
          <w:szCs w:val="24"/>
        </w:rPr>
        <w:t xml:space="preserve"> </w:t>
      </w:r>
      <w:r w:rsidRPr="00FD3BB4">
        <w:rPr>
          <w:color w:val="000000" w:themeColor="text1"/>
          <w:szCs w:val="24"/>
        </w:rPr>
        <w:t xml:space="preserve">to deliver emergency medical aid to any person suffering from an anaphylactic reaction during the school day or at a school-sponsored event on school property.  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The </w:t>
      </w:r>
      <w:r w:rsidR="00D837C3" w:rsidRPr="00FD3BB4">
        <w:rPr>
          <w:rFonts w:eastAsia="Calibri"/>
          <w:snapToGrid/>
          <w:color w:val="000000" w:themeColor="text1"/>
          <w:szCs w:val="24"/>
        </w:rPr>
        <w:t xml:space="preserve">executive director 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shall ensure that at least two </w:t>
      </w:r>
      <w:r w:rsidR="00FA6AE1" w:rsidRPr="00FD3BB4">
        <w:rPr>
          <w:color w:val="000000" w:themeColor="text1"/>
          <w:szCs w:val="24"/>
        </w:rPr>
        <w:t xml:space="preserve">emergency epinephrine auto-injector </w:t>
      </w:r>
      <w:r w:rsidR="00FD2D13" w:rsidRPr="00FD3BB4">
        <w:rPr>
          <w:color w:val="000000" w:themeColor="text1"/>
          <w:szCs w:val="24"/>
        </w:rPr>
        <w:t xml:space="preserve">devices 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are located at </w:t>
      </w:r>
      <w:r w:rsidR="002B6687" w:rsidRPr="00FD3BB4">
        <w:rPr>
          <w:rFonts w:eastAsia="Calibri"/>
          <w:snapToGrid/>
          <w:color w:val="000000" w:themeColor="text1"/>
          <w:szCs w:val="24"/>
        </w:rPr>
        <w:t xml:space="preserve">the </w:t>
      </w:r>
      <w:r w:rsidR="00FA6AE1" w:rsidRPr="00FD3BB4">
        <w:rPr>
          <w:rFonts w:eastAsia="Calibri"/>
          <w:snapToGrid/>
          <w:color w:val="000000" w:themeColor="text1"/>
          <w:szCs w:val="24"/>
        </w:rPr>
        <w:t>school</w:t>
      </w:r>
      <w:r w:rsidRPr="00FD3BB4">
        <w:rPr>
          <w:rFonts w:eastAsia="Calibri"/>
          <w:snapToGrid/>
          <w:color w:val="000000" w:themeColor="text1"/>
          <w:szCs w:val="24"/>
        </w:rPr>
        <w:t xml:space="preserve"> for this purpose and are </w:t>
      </w:r>
      <w:r w:rsidR="00FA6AE1" w:rsidRPr="00FD3BB4">
        <w:rPr>
          <w:color w:val="000000" w:themeColor="text1"/>
          <w:szCs w:val="24"/>
        </w:rPr>
        <w:t xml:space="preserve">stored in secure, but </w:t>
      </w:r>
      <w:r w:rsidR="00C3086E" w:rsidRPr="00FD3BB4">
        <w:rPr>
          <w:color w:val="000000" w:themeColor="text1"/>
          <w:szCs w:val="24"/>
        </w:rPr>
        <w:t xml:space="preserve">unlocked and </w:t>
      </w:r>
      <w:r w:rsidR="00FA6AE1" w:rsidRPr="00FD3BB4">
        <w:rPr>
          <w:color w:val="000000" w:themeColor="text1"/>
          <w:szCs w:val="24"/>
        </w:rPr>
        <w:t>easily accessible, locations.</w:t>
      </w:r>
    </w:p>
    <w:p w14:paraId="27DAFC76" w14:textId="77777777" w:rsidR="00FA6AE1" w:rsidRPr="00FD3BB4" w:rsidRDefault="00FA6AE1" w:rsidP="00F9259C">
      <w:pPr>
        <w:widowControl/>
        <w:jc w:val="both"/>
        <w:rPr>
          <w:rFonts w:eastAsia="Calibri"/>
          <w:snapToGrid/>
          <w:color w:val="000000" w:themeColor="text1"/>
          <w:szCs w:val="24"/>
        </w:rPr>
      </w:pPr>
    </w:p>
    <w:p w14:paraId="1713FD7B" w14:textId="77777777" w:rsidR="001A449C" w:rsidRPr="00FD3BB4" w:rsidRDefault="002B6687" w:rsidP="00F9259C">
      <w:pPr>
        <w:tabs>
          <w:tab w:val="left" w:pos="-1440"/>
        </w:tabs>
        <w:jc w:val="both"/>
        <w:rPr>
          <w:rFonts w:eastAsia="Calibri"/>
          <w:snapToGrid/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The</w:t>
      </w:r>
      <w:r w:rsidR="001A449C" w:rsidRPr="00FD3BB4">
        <w:rPr>
          <w:color w:val="000000" w:themeColor="text1"/>
          <w:szCs w:val="24"/>
        </w:rPr>
        <w:t xml:space="preserve"> </w:t>
      </w:r>
      <w:r w:rsidR="00FA6AE1" w:rsidRPr="00FD3BB4">
        <w:rPr>
          <w:color w:val="000000" w:themeColor="text1"/>
          <w:szCs w:val="24"/>
        </w:rPr>
        <w:t xml:space="preserve">principal shall </w:t>
      </w:r>
      <w:r w:rsidR="00B47CE7" w:rsidRPr="00FD3BB4">
        <w:rPr>
          <w:color w:val="000000" w:themeColor="text1"/>
          <w:szCs w:val="24"/>
        </w:rPr>
        <w:t xml:space="preserve">designate one </w:t>
      </w:r>
      <w:r w:rsidR="00FA6AE1" w:rsidRPr="00FD3BB4">
        <w:rPr>
          <w:color w:val="000000" w:themeColor="text1"/>
          <w:szCs w:val="24"/>
        </w:rPr>
        <w:t>or more school personnel</w:t>
      </w:r>
      <w:r w:rsidR="00B47CE7" w:rsidRPr="00FD3BB4">
        <w:rPr>
          <w:rFonts w:eastAsia="Calibri"/>
          <w:snapToGrid/>
          <w:color w:val="000000" w:themeColor="text1"/>
          <w:szCs w:val="24"/>
        </w:rPr>
        <w:t xml:space="preserve"> </w:t>
      </w:r>
      <w:r w:rsidR="00B47CE7" w:rsidRPr="00FD3BB4">
        <w:rPr>
          <w:color w:val="000000" w:themeColor="text1"/>
          <w:szCs w:val="24"/>
        </w:rPr>
        <w:t xml:space="preserve">to receive initial training and annual retraining from a school nurse or qualified representative of the local health department regarding </w:t>
      </w:r>
      <w:r w:rsidR="00FA6AE1" w:rsidRPr="00FD3BB4">
        <w:rPr>
          <w:rFonts w:eastAsia="Calibri"/>
          <w:snapToGrid/>
          <w:color w:val="000000" w:themeColor="text1"/>
          <w:szCs w:val="24"/>
        </w:rPr>
        <w:t>the storage</w:t>
      </w:r>
      <w:r w:rsidR="00B47CE7" w:rsidRPr="00FD3BB4">
        <w:rPr>
          <w:rFonts w:eastAsia="Calibri"/>
          <w:snapToGrid/>
          <w:color w:val="000000" w:themeColor="text1"/>
          <w:szCs w:val="24"/>
        </w:rPr>
        <w:t xml:space="preserve"> and emergency use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 of epinephrine auto-injector</w:t>
      </w:r>
      <w:r w:rsidR="00FD2D13" w:rsidRPr="00FD3BB4">
        <w:rPr>
          <w:rFonts w:eastAsia="Calibri"/>
          <w:snapToGrid/>
          <w:color w:val="000000" w:themeColor="text1"/>
          <w:szCs w:val="24"/>
        </w:rPr>
        <w:t xml:space="preserve"> devices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.  Only </w:t>
      </w:r>
      <w:r w:rsidR="001A449C" w:rsidRPr="00FD3BB4">
        <w:rPr>
          <w:rFonts w:eastAsia="Calibri"/>
          <w:snapToGrid/>
          <w:color w:val="000000" w:themeColor="text1"/>
          <w:szCs w:val="24"/>
        </w:rPr>
        <w:t xml:space="preserve">such 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trained personnel </w:t>
      </w:r>
      <w:r w:rsidR="001A449C" w:rsidRPr="00FD3BB4">
        <w:rPr>
          <w:rFonts w:eastAsia="Calibri"/>
          <w:snapToGrid/>
          <w:color w:val="000000" w:themeColor="text1"/>
          <w:szCs w:val="24"/>
        </w:rPr>
        <w:t xml:space="preserve">are authorized to 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administer epinephrine to </w:t>
      </w:r>
      <w:r w:rsidR="001A449C" w:rsidRPr="00FD3BB4">
        <w:rPr>
          <w:rFonts w:eastAsia="Calibri"/>
          <w:snapToGrid/>
          <w:color w:val="000000" w:themeColor="text1"/>
          <w:szCs w:val="24"/>
        </w:rPr>
        <w:t>persons</w:t>
      </w:r>
      <w:r w:rsidR="00FA6AE1" w:rsidRPr="00FD3BB4">
        <w:rPr>
          <w:rFonts w:eastAsia="Calibri"/>
          <w:snapToGrid/>
          <w:color w:val="000000" w:themeColor="text1"/>
          <w:szCs w:val="24"/>
        </w:rPr>
        <w:t xml:space="preserve"> believed to be having an anaphylactic reaction. </w:t>
      </w:r>
      <w:r w:rsidR="002E05BC" w:rsidRPr="00FD3BB4">
        <w:rPr>
          <w:rFonts w:eastAsia="Calibri"/>
          <w:snapToGrid/>
          <w:color w:val="000000" w:themeColor="text1"/>
          <w:szCs w:val="24"/>
        </w:rPr>
        <w:t xml:space="preserve"> </w:t>
      </w:r>
      <w:r w:rsidR="001A449C" w:rsidRPr="00FD3BB4">
        <w:rPr>
          <w:rFonts w:eastAsia="Calibri"/>
          <w:snapToGrid/>
          <w:color w:val="000000" w:themeColor="text1"/>
          <w:szCs w:val="24"/>
        </w:rPr>
        <w:t>The principal shall make reasonable efforts to notify other school staff members as to which employee(s) has received this training in order to facilitate a prompt emergency response.</w:t>
      </w:r>
    </w:p>
    <w:p w14:paraId="74F01D84" w14:textId="77777777" w:rsidR="001A449C" w:rsidRPr="00FD3BB4" w:rsidRDefault="001A449C" w:rsidP="00F9259C">
      <w:pPr>
        <w:tabs>
          <w:tab w:val="left" w:pos="-1440"/>
        </w:tabs>
        <w:jc w:val="both"/>
        <w:rPr>
          <w:rFonts w:eastAsia="Calibri"/>
          <w:snapToGrid/>
          <w:color w:val="000000" w:themeColor="text1"/>
          <w:szCs w:val="24"/>
        </w:rPr>
      </w:pPr>
    </w:p>
    <w:p w14:paraId="3AA935E2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 xml:space="preserve">The principal, in </w:t>
      </w:r>
      <w:r w:rsidR="000B4F18" w:rsidRPr="00FD3BB4">
        <w:rPr>
          <w:color w:val="000000" w:themeColor="text1"/>
          <w:szCs w:val="24"/>
        </w:rPr>
        <w:t xml:space="preserve">collaboration </w:t>
      </w:r>
      <w:r w:rsidRPr="00FD3BB4">
        <w:rPr>
          <w:color w:val="000000" w:themeColor="text1"/>
          <w:szCs w:val="24"/>
        </w:rPr>
        <w:t xml:space="preserve">with appropriate school personnel, shall create an </w:t>
      </w:r>
      <w:r w:rsidR="000B4F18" w:rsidRPr="00FD3BB4">
        <w:rPr>
          <w:color w:val="000000" w:themeColor="text1"/>
          <w:szCs w:val="24"/>
        </w:rPr>
        <w:t xml:space="preserve">emergency </w:t>
      </w:r>
      <w:r w:rsidRPr="00FD3BB4">
        <w:rPr>
          <w:color w:val="000000" w:themeColor="text1"/>
          <w:szCs w:val="24"/>
        </w:rPr>
        <w:t>action plan for the use of epinephrine auto-injector</w:t>
      </w:r>
      <w:r w:rsidR="00FD2D13" w:rsidRPr="00FD3BB4">
        <w:rPr>
          <w:color w:val="000000" w:themeColor="text1"/>
          <w:szCs w:val="24"/>
        </w:rPr>
        <w:t xml:space="preserve"> devices</w:t>
      </w:r>
      <w:r w:rsidRPr="00FD3BB4">
        <w:rPr>
          <w:color w:val="000000" w:themeColor="text1"/>
          <w:szCs w:val="24"/>
        </w:rPr>
        <w:t xml:space="preserve"> </w:t>
      </w:r>
      <w:r w:rsidR="001A449C" w:rsidRPr="00FD3BB4">
        <w:rPr>
          <w:color w:val="000000" w:themeColor="text1"/>
          <w:szCs w:val="24"/>
        </w:rPr>
        <w:t>that complies</w:t>
      </w:r>
      <w:r w:rsidRPr="00FD3BB4">
        <w:rPr>
          <w:color w:val="000000" w:themeColor="text1"/>
          <w:szCs w:val="24"/>
        </w:rPr>
        <w:t xml:space="preserve"> with all state law requirements.</w:t>
      </w:r>
      <w:r w:rsidR="001A449C" w:rsidRPr="00FD3BB4">
        <w:rPr>
          <w:color w:val="000000" w:themeColor="text1"/>
          <w:szCs w:val="24"/>
        </w:rPr>
        <w:t xml:space="preserve">  Principals are encouraged to include in the plan school-wide employee training in reco</w:t>
      </w:r>
      <w:r w:rsidR="00B445D3" w:rsidRPr="00FD3BB4">
        <w:rPr>
          <w:color w:val="000000" w:themeColor="text1"/>
          <w:szCs w:val="24"/>
        </w:rPr>
        <w:t>gnizing symptoms of anaphylaxis.</w:t>
      </w:r>
      <w:r w:rsidR="001A449C" w:rsidRPr="00FD3BB4">
        <w:rPr>
          <w:color w:val="000000" w:themeColor="text1"/>
          <w:szCs w:val="24"/>
        </w:rPr>
        <w:t xml:space="preserve"> </w:t>
      </w:r>
    </w:p>
    <w:p w14:paraId="0884EC5B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6E6C1CF2" w14:textId="77777777" w:rsidR="00FA6AE1" w:rsidRPr="00FD3BB4" w:rsidRDefault="00522AF5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Epinephrine auto-injector</w:t>
      </w:r>
      <w:r w:rsidR="00744A3A" w:rsidRPr="00FD3BB4">
        <w:rPr>
          <w:color w:val="000000" w:themeColor="text1"/>
          <w:szCs w:val="24"/>
        </w:rPr>
        <w:t xml:space="preserve"> devices</w:t>
      </w:r>
      <w:r w:rsidRPr="00FD3BB4">
        <w:rPr>
          <w:color w:val="000000" w:themeColor="text1"/>
          <w:szCs w:val="24"/>
        </w:rPr>
        <w:t xml:space="preserve"> </w:t>
      </w:r>
      <w:r w:rsidR="00F51213" w:rsidRPr="00FD3BB4">
        <w:rPr>
          <w:color w:val="000000" w:themeColor="text1"/>
          <w:szCs w:val="24"/>
        </w:rPr>
        <w:t>provided</w:t>
      </w:r>
      <w:r w:rsidRPr="00FD3BB4">
        <w:rPr>
          <w:color w:val="000000" w:themeColor="text1"/>
          <w:szCs w:val="24"/>
        </w:rPr>
        <w:t xml:space="preserve"> by the school </w:t>
      </w:r>
      <w:r w:rsidR="001A449C" w:rsidRPr="00FD3BB4">
        <w:rPr>
          <w:color w:val="000000" w:themeColor="text1"/>
          <w:szCs w:val="24"/>
        </w:rPr>
        <w:t>are intended</w:t>
      </w:r>
      <w:r w:rsidR="00F729A7" w:rsidRPr="00FD3BB4">
        <w:rPr>
          <w:color w:val="000000" w:themeColor="text1"/>
          <w:szCs w:val="24"/>
        </w:rPr>
        <w:t xml:space="preserve"> for unfor</w:t>
      </w:r>
      <w:r w:rsidR="00BA07B6" w:rsidRPr="00FD3BB4">
        <w:rPr>
          <w:color w:val="000000" w:themeColor="text1"/>
          <w:szCs w:val="24"/>
        </w:rPr>
        <w:t>e</w:t>
      </w:r>
      <w:r w:rsidR="00F729A7" w:rsidRPr="00FD3BB4">
        <w:rPr>
          <w:color w:val="000000" w:themeColor="text1"/>
          <w:szCs w:val="24"/>
        </w:rPr>
        <w:t xml:space="preserve">seen emergencies.  </w:t>
      </w:r>
      <w:r w:rsidR="00311699" w:rsidRPr="00FD3BB4">
        <w:rPr>
          <w:color w:val="000000" w:themeColor="text1"/>
          <w:szCs w:val="24"/>
        </w:rPr>
        <w:t>Scholar</w:t>
      </w:r>
      <w:r w:rsidR="00F51213" w:rsidRPr="00FD3BB4">
        <w:rPr>
          <w:color w:val="000000" w:themeColor="text1"/>
          <w:szCs w:val="24"/>
        </w:rPr>
        <w:t xml:space="preserve">s known to have </w:t>
      </w:r>
      <w:r w:rsidR="00FA6AE1" w:rsidRPr="00FD3BB4">
        <w:rPr>
          <w:color w:val="000000" w:themeColor="text1"/>
          <w:szCs w:val="24"/>
        </w:rPr>
        <w:t>medical conditions requiring the availability of an epinephrine auto-injector</w:t>
      </w:r>
      <w:r w:rsidR="00744A3A" w:rsidRPr="00FD3BB4">
        <w:rPr>
          <w:color w:val="000000" w:themeColor="text1"/>
          <w:szCs w:val="24"/>
        </w:rPr>
        <w:t xml:space="preserve"> device</w:t>
      </w:r>
      <w:r w:rsidR="00F729A7" w:rsidRPr="00FD3BB4">
        <w:rPr>
          <w:color w:val="000000" w:themeColor="text1"/>
          <w:szCs w:val="24"/>
        </w:rPr>
        <w:t xml:space="preserve"> are expected to provide such devices for their use at school</w:t>
      </w:r>
      <w:r w:rsidR="00F51213" w:rsidRPr="00FD3BB4">
        <w:rPr>
          <w:color w:val="000000" w:themeColor="text1"/>
          <w:szCs w:val="24"/>
        </w:rPr>
        <w:t xml:space="preserve">.  </w:t>
      </w:r>
      <w:r w:rsidR="00744A3A" w:rsidRPr="00FD3BB4">
        <w:rPr>
          <w:color w:val="000000" w:themeColor="text1"/>
        </w:rPr>
        <w:t xml:space="preserve">Parents of </w:t>
      </w:r>
      <w:r w:rsidR="00311699" w:rsidRPr="00FD3BB4">
        <w:rPr>
          <w:color w:val="000000" w:themeColor="text1"/>
        </w:rPr>
        <w:t>scholar</w:t>
      </w:r>
      <w:r w:rsidR="00744A3A" w:rsidRPr="00FD3BB4">
        <w:rPr>
          <w:color w:val="000000" w:themeColor="text1"/>
        </w:rPr>
        <w:t xml:space="preserve">s with known </w:t>
      </w:r>
      <w:proofErr w:type="gramStart"/>
      <w:r w:rsidR="00744A3A" w:rsidRPr="00FD3BB4">
        <w:rPr>
          <w:color w:val="000000" w:themeColor="text1"/>
        </w:rPr>
        <w:t>life threatening</w:t>
      </w:r>
      <w:proofErr w:type="gramEnd"/>
      <w:r w:rsidR="00744A3A" w:rsidRPr="00FD3BB4">
        <w:rPr>
          <w:color w:val="000000" w:themeColor="text1"/>
        </w:rPr>
        <w:t xml:space="preserve"> allergies and/or anaphylaxis should provide the school with written instructions from the </w:t>
      </w:r>
      <w:r w:rsidR="00311699" w:rsidRPr="00FD3BB4">
        <w:rPr>
          <w:color w:val="000000" w:themeColor="text1"/>
        </w:rPr>
        <w:t>scholar</w:t>
      </w:r>
      <w:r w:rsidR="00744A3A" w:rsidRPr="00FD3BB4">
        <w:rPr>
          <w:color w:val="000000" w:themeColor="text1"/>
        </w:rPr>
        <w:t xml:space="preserve">s’ health care provider for handling anaphylaxis and all necessary medications for implementing the </w:t>
      </w:r>
      <w:r w:rsidR="00311699" w:rsidRPr="00FD3BB4">
        <w:rPr>
          <w:color w:val="000000" w:themeColor="text1"/>
        </w:rPr>
        <w:t>scholar</w:t>
      </w:r>
      <w:r w:rsidR="00744A3A" w:rsidRPr="00FD3BB4">
        <w:rPr>
          <w:color w:val="000000" w:themeColor="text1"/>
        </w:rPr>
        <w:t xml:space="preserve"> specific order in accordance with policy 6125, Adminis</w:t>
      </w:r>
      <w:r w:rsidR="00E747B7" w:rsidRPr="00FD3BB4">
        <w:rPr>
          <w:color w:val="000000" w:themeColor="text1"/>
        </w:rPr>
        <w:t xml:space="preserve">tering Medicines to </w:t>
      </w:r>
      <w:r w:rsidR="00311699" w:rsidRPr="00FD3BB4">
        <w:rPr>
          <w:color w:val="000000" w:themeColor="text1"/>
        </w:rPr>
        <w:t>Scholar</w:t>
      </w:r>
      <w:r w:rsidR="00E747B7" w:rsidRPr="00FD3BB4">
        <w:rPr>
          <w:color w:val="000000" w:themeColor="text1"/>
        </w:rPr>
        <w:t xml:space="preserve">s.  </w:t>
      </w:r>
      <w:r w:rsidR="00311699" w:rsidRPr="00FD3BB4">
        <w:rPr>
          <w:color w:val="000000" w:themeColor="text1"/>
          <w:szCs w:val="24"/>
        </w:rPr>
        <w:t>Scholar</w:t>
      </w:r>
      <w:r w:rsidR="00F51213" w:rsidRPr="00FD3BB4">
        <w:rPr>
          <w:color w:val="000000" w:themeColor="text1"/>
          <w:szCs w:val="24"/>
        </w:rPr>
        <w:t>s</w:t>
      </w:r>
      <w:r w:rsidR="00FA6AE1" w:rsidRPr="00FD3BB4">
        <w:rPr>
          <w:color w:val="000000" w:themeColor="text1"/>
          <w:szCs w:val="24"/>
        </w:rPr>
        <w:t xml:space="preserve"> </w:t>
      </w:r>
      <w:r w:rsidR="00284AEF" w:rsidRPr="00FD3BB4">
        <w:rPr>
          <w:color w:val="000000" w:themeColor="text1"/>
          <w:szCs w:val="24"/>
        </w:rPr>
        <w:t xml:space="preserve">who meet the conditions established in policy 6125 </w:t>
      </w:r>
      <w:r w:rsidR="00F51213" w:rsidRPr="00FD3BB4">
        <w:rPr>
          <w:color w:val="000000" w:themeColor="text1"/>
          <w:szCs w:val="24"/>
        </w:rPr>
        <w:t>may possess and self-administer their own medication</w:t>
      </w:r>
      <w:r w:rsidR="00FA6AE1" w:rsidRPr="00FD3BB4">
        <w:rPr>
          <w:color w:val="000000" w:themeColor="text1"/>
          <w:szCs w:val="24"/>
        </w:rPr>
        <w:t>.</w:t>
      </w:r>
      <w:r w:rsidR="00744A3A" w:rsidRPr="00FD3BB4">
        <w:rPr>
          <w:color w:val="000000" w:themeColor="text1"/>
          <w:szCs w:val="24"/>
        </w:rPr>
        <w:t xml:space="preserve">  </w:t>
      </w:r>
    </w:p>
    <w:p w14:paraId="449F7177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33D0BE52" w14:textId="77777777" w:rsidR="001A449C" w:rsidRPr="00FD3BB4" w:rsidRDefault="001A449C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 xml:space="preserve">This policy does not require </w:t>
      </w:r>
      <w:r w:rsidR="00744A3A" w:rsidRPr="00FD3BB4">
        <w:rPr>
          <w:color w:val="000000" w:themeColor="text1"/>
          <w:szCs w:val="24"/>
        </w:rPr>
        <w:t xml:space="preserve">emergency </w:t>
      </w:r>
      <w:r w:rsidRPr="00FD3BB4">
        <w:rPr>
          <w:color w:val="000000" w:themeColor="text1"/>
          <w:szCs w:val="24"/>
        </w:rPr>
        <w:t>epinephrine auto-injector</w:t>
      </w:r>
      <w:r w:rsidR="00744A3A" w:rsidRPr="00FD3BB4">
        <w:rPr>
          <w:color w:val="000000" w:themeColor="text1"/>
          <w:szCs w:val="24"/>
        </w:rPr>
        <w:t xml:space="preserve"> devices</w:t>
      </w:r>
      <w:r w:rsidRPr="00FD3BB4">
        <w:rPr>
          <w:color w:val="000000" w:themeColor="text1"/>
          <w:szCs w:val="24"/>
        </w:rPr>
        <w:t xml:space="preserve"> to be available at activities held off school grounds</w:t>
      </w:r>
      <w:r w:rsidR="00645EBD" w:rsidRPr="00FD3BB4">
        <w:rPr>
          <w:color w:val="000000" w:themeColor="text1"/>
          <w:szCs w:val="24"/>
        </w:rPr>
        <w:t xml:space="preserve"> during or after the school day</w:t>
      </w:r>
      <w:r w:rsidRPr="00FD3BB4">
        <w:rPr>
          <w:color w:val="000000" w:themeColor="text1"/>
          <w:szCs w:val="24"/>
        </w:rPr>
        <w:t>, including field trips or off-site athletic events, or during transportation to or from school</w:t>
      </w:r>
      <w:r w:rsidR="000566EB" w:rsidRPr="00FD3BB4">
        <w:rPr>
          <w:color w:val="000000" w:themeColor="text1"/>
          <w:szCs w:val="24"/>
        </w:rPr>
        <w:t xml:space="preserve">, except as may be required pursuant to an individual </w:t>
      </w:r>
      <w:r w:rsidR="00311699" w:rsidRPr="00FD3BB4">
        <w:rPr>
          <w:color w:val="000000" w:themeColor="text1"/>
          <w:szCs w:val="24"/>
        </w:rPr>
        <w:t>scholar</w:t>
      </w:r>
      <w:r w:rsidR="000566EB" w:rsidRPr="00FD3BB4">
        <w:rPr>
          <w:color w:val="000000" w:themeColor="text1"/>
          <w:szCs w:val="24"/>
        </w:rPr>
        <w:t>’s IEP, Section 504 Plan</w:t>
      </w:r>
      <w:r w:rsidR="007D316E" w:rsidRPr="00FD3BB4">
        <w:rPr>
          <w:color w:val="000000" w:themeColor="text1"/>
          <w:szCs w:val="24"/>
        </w:rPr>
        <w:t>,</w:t>
      </w:r>
      <w:r w:rsidR="000566EB" w:rsidRPr="00FD3BB4">
        <w:rPr>
          <w:color w:val="000000" w:themeColor="text1"/>
          <w:szCs w:val="24"/>
        </w:rPr>
        <w:t xml:space="preserve"> or health or emergency plan</w:t>
      </w:r>
      <w:r w:rsidRPr="00FD3BB4">
        <w:rPr>
          <w:color w:val="000000" w:themeColor="text1"/>
          <w:szCs w:val="24"/>
        </w:rPr>
        <w:t>.</w:t>
      </w:r>
    </w:p>
    <w:p w14:paraId="6A220C54" w14:textId="77777777" w:rsidR="001A449C" w:rsidRPr="00FD3BB4" w:rsidRDefault="001A449C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373FE9BA" w14:textId="77777777" w:rsidR="00FA6AE1" w:rsidRPr="00FD3BB4" w:rsidRDefault="007426C7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Legal References:</w:t>
      </w:r>
      <w:r w:rsidR="00FA6AE1" w:rsidRPr="00FD3BB4">
        <w:rPr>
          <w:color w:val="000000" w:themeColor="text1"/>
          <w:szCs w:val="24"/>
        </w:rPr>
        <w:t xml:space="preserve"> </w:t>
      </w:r>
      <w:r w:rsidR="00F9259C" w:rsidRPr="00FD3BB4">
        <w:rPr>
          <w:color w:val="000000" w:themeColor="text1"/>
          <w:szCs w:val="24"/>
        </w:rPr>
        <w:t xml:space="preserve"> </w:t>
      </w:r>
      <w:r w:rsidRPr="00FD3BB4">
        <w:rPr>
          <w:color w:val="000000" w:themeColor="text1"/>
          <w:szCs w:val="24"/>
        </w:rPr>
        <w:t>G.S. 115C</w:t>
      </w:r>
      <w:r w:rsidR="0083581A" w:rsidRPr="00FD3BB4">
        <w:rPr>
          <w:color w:val="000000" w:themeColor="text1"/>
          <w:szCs w:val="24"/>
        </w:rPr>
        <w:t>-</w:t>
      </w:r>
      <w:r w:rsidR="002B6687" w:rsidRPr="00FD3BB4">
        <w:rPr>
          <w:color w:val="000000" w:themeColor="text1"/>
          <w:szCs w:val="24"/>
        </w:rPr>
        <w:t>238.66(7), -</w:t>
      </w:r>
      <w:r w:rsidRPr="00FD3BB4">
        <w:rPr>
          <w:color w:val="000000" w:themeColor="text1"/>
          <w:szCs w:val="24"/>
        </w:rPr>
        <w:t>375.2A</w:t>
      </w:r>
    </w:p>
    <w:p w14:paraId="29F65E09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6B825476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Cross References:</w:t>
      </w:r>
      <w:r w:rsidR="007426C7" w:rsidRPr="00FD3BB4">
        <w:rPr>
          <w:color w:val="000000" w:themeColor="text1"/>
          <w:szCs w:val="24"/>
        </w:rPr>
        <w:t xml:space="preserve"> </w:t>
      </w:r>
      <w:r w:rsidR="00F9259C" w:rsidRPr="00FD3BB4">
        <w:rPr>
          <w:color w:val="000000" w:themeColor="text1"/>
          <w:szCs w:val="24"/>
        </w:rPr>
        <w:t xml:space="preserve"> </w:t>
      </w:r>
      <w:r w:rsidR="007426C7" w:rsidRPr="00FD3BB4">
        <w:rPr>
          <w:color w:val="000000" w:themeColor="text1"/>
          <w:szCs w:val="24"/>
        </w:rPr>
        <w:t xml:space="preserve">Administering Medicines to </w:t>
      </w:r>
      <w:r w:rsidR="00311699" w:rsidRPr="00FD3BB4">
        <w:rPr>
          <w:color w:val="000000" w:themeColor="text1"/>
          <w:szCs w:val="24"/>
        </w:rPr>
        <w:t>Scholar</w:t>
      </w:r>
      <w:r w:rsidR="007426C7" w:rsidRPr="00FD3BB4">
        <w:rPr>
          <w:color w:val="000000" w:themeColor="text1"/>
          <w:szCs w:val="24"/>
        </w:rPr>
        <w:t>s (policy 6125)</w:t>
      </w:r>
    </w:p>
    <w:p w14:paraId="01EF20DE" w14:textId="77777777" w:rsidR="00FA6AE1" w:rsidRPr="00FD3BB4" w:rsidRDefault="00FA6AE1" w:rsidP="00F9259C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4DCC8AA3" w14:textId="3CB86387" w:rsidR="0056132E" w:rsidRPr="00FD3BB4" w:rsidRDefault="0056132E" w:rsidP="0056132E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Adopt</w:t>
      </w:r>
      <w:r w:rsidR="001A449C" w:rsidRPr="00FD3BB4">
        <w:rPr>
          <w:color w:val="000000" w:themeColor="text1"/>
          <w:szCs w:val="24"/>
        </w:rPr>
        <w:t>ed</w:t>
      </w:r>
      <w:r w:rsidR="00FA6AE1" w:rsidRPr="00FD3BB4">
        <w:rPr>
          <w:color w:val="000000" w:themeColor="text1"/>
          <w:szCs w:val="24"/>
        </w:rPr>
        <w:t>:</w:t>
      </w:r>
      <w:r w:rsidR="00F9259C" w:rsidRPr="00FD3BB4">
        <w:rPr>
          <w:color w:val="000000" w:themeColor="text1"/>
          <w:szCs w:val="24"/>
        </w:rPr>
        <w:t xml:space="preserve">  </w:t>
      </w:r>
      <w:r w:rsidR="00635872" w:rsidRPr="00FD3BB4">
        <w:rPr>
          <w:color w:val="000000" w:themeColor="text1"/>
          <w:szCs w:val="24"/>
        </w:rPr>
        <w:t>May 27, 2020</w:t>
      </w:r>
    </w:p>
    <w:p w14:paraId="08CF0DE9" w14:textId="6A3B9604" w:rsidR="00D837C3" w:rsidRPr="00FD3BB4" w:rsidRDefault="00D837C3" w:rsidP="0056132E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FD3BB4">
        <w:rPr>
          <w:color w:val="000000" w:themeColor="text1"/>
          <w:szCs w:val="24"/>
        </w:rPr>
        <w:t>Revised:</w:t>
      </w:r>
      <w:r w:rsidR="000C7792" w:rsidRPr="00FD3BB4">
        <w:rPr>
          <w:color w:val="000000" w:themeColor="text1"/>
          <w:szCs w:val="24"/>
        </w:rPr>
        <w:t xml:space="preserve"> June 8, 2022</w:t>
      </w:r>
    </w:p>
    <w:p w14:paraId="3AEF6C94" w14:textId="77777777" w:rsidR="00FA6AE1" w:rsidRPr="00950842" w:rsidRDefault="00FA6AE1" w:rsidP="00F9259C">
      <w:pPr>
        <w:tabs>
          <w:tab w:val="left" w:pos="-1440"/>
        </w:tabs>
        <w:jc w:val="both"/>
        <w:rPr>
          <w:szCs w:val="24"/>
        </w:rPr>
      </w:pPr>
    </w:p>
    <w:p w14:paraId="0E2540B0" w14:textId="77777777" w:rsidR="00FA6AE1" w:rsidRPr="009D2308" w:rsidRDefault="00FA6AE1" w:rsidP="00F9259C"/>
    <w:sectPr w:rsidR="00FA6AE1" w:rsidRPr="009D2308" w:rsidSect="0063587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7A1C" w14:textId="77777777" w:rsidR="007E5D48" w:rsidRDefault="007E5D48">
      <w:r>
        <w:separator/>
      </w:r>
    </w:p>
  </w:endnote>
  <w:endnote w:type="continuationSeparator" w:id="0">
    <w:p w14:paraId="33686AD2" w14:textId="77777777" w:rsidR="007E5D48" w:rsidRDefault="007E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8949" w14:textId="77777777" w:rsidR="00522AF5" w:rsidRDefault="00522AF5" w:rsidP="00FA6AE1">
    <w:pPr>
      <w:spacing w:line="240" w:lineRule="exact"/>
      <w:ind w:right="-360"/>
    </w:pPr>
  </w:p>
  <w:p w14:paraId="4586979A" w14:textId="77777777" w:rsidR="00522AF5" w:rsidRDefault="0056132E" w:rsidP="00FA6AE1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38A2AFE" wp14:editId="06A01AA8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5F1CC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6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" strokeweight="4.5pt">
              <v:stroke linestyle="thickThin"/>
            </v:line>
          </w:pict>
        </mc:Fallback>
      </mc:AlternateContent>
    </w:r>
  </w:p>
  <w:p w14:paraId="5772BFDE" w14:textId="77777777" w:rsidR="00522AF5" w:rsidRPr="0056132E" w:rsidRDefault="002B6687" w:rsidP="0056132E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2B6687">
      <w:rPr>
        <w:b/>
        <w:szCs w:val="24"/>
      </w:rPr>
      <w:t>NE REGIONAL SCHOOL BOARD OF DIRECTORS POLICY MANUAL</w:t>
    </w:r>
    <w:r w:rsidR="0056132E">
      <w:rPr>
        <w:b/>
        <w:szCs w:val="24"/>
      </w:rPr>
      <w:tab/>
    </w:r>
    <w:r w:rsidR="0056132E" w:rsidRPr="0056132E">
      <w:rPr>
        <w:szCs w:val="24"/>
      </w:rPr>
      <w:t xml:space="preserve">Page </w:t>
    </w:r>
    <w:r w:rsidR="0056132E" w:rsidRPr="0056132E">
      <w:rPr>
        <w:szCs w:val="24"/>
      </w:rPr>
      <w:fldChar w:fldCharType="begin"/>
    </w:r>
    <w:r w:rsidR="0056132E" w:rsidRPr="0056132E">
      <w:rPr>
        <w:szCs w:val="24"/>
      </w:rPr>
      <w:instrText xml:space="preserve"> PAGE  \* Arabic  \* MERGEFORMAT </w:instrText>
    </w:r>
    <w:r w:rsidR="0056132E" w:rsidRPr="0056132E">
      <w:rPr>
        <w:szCs w:val="24"/>
      </w:rPr>
      <w:fldChar w:fldCharType="separate"/>
    </w:r>
    <w:r>
      <w:rPr>
        <w:noProof/>
        <w:szCs w:val="24"/>
      </w:rPr>
      <w:t>1</w:t>
    </w:r>
    <w:r w:rsidR="0056132E" w:rsidRPr="0056132E">
      <w:rPr>
        <w:szCs w:val="24"/>
      </w:rPr>
      <w:fldChar w:fldCharType="end"/>
    </w:r>
    <w:r w:rsidR="0056132E" w:rsidRPr="0056132E">
      <w:rPr>
        <w:szCs w:val="24"/>
      </w:rPr>
      <w:t xml:space="preserve"> of </w:t>
    </w:r>
    <w:r w:rsidR="0056132E" w:rsidRPr="0056132E">
      <w:rPr>
        <w:szCs w:val="24"/>
      </w:rPr>
      <w:fldChar w:fldCharType="begin"/>
    </w:r>
    <w:r w:rsidR="0056132E" w:rsidRPr="0056132E">
      <w:rPr>
        <w:szCs w:val="24"/>
      </w:rPr>
      <w:instrText xml:space="preserve"> NUMPAGES  \* Arabic  \* MERGEFORMAT </w:instrText>
    </w:r>
    <w:r w:rsidR="0056132E" w:rsidRPr="0056132E">
      <w:rPr>
        <w:szCs w:val="24"/>
      </w:rPr>
      <w:fldChar w:fldCharType="separate"/>
    </w:r>
    <w:r>
      <w:rPr>
        <w:noProof/>
        <w:szCs w:val="24"/>
      </w:rPr>
      <w:t>2</w:t>
    </w:r>
    <w:r w:rsidR="0056132E" w:rsidRPr="0056132E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A641" w14:textId="77777777" w:rsidR="007E5D48" w:rsidRDefault="007E5D48">
      <w:r>
        <w:separator/>
      </w:r>
    </w:p>
  </w:footnote>
  <w:footnote w:type="continuationSeparator" w:id="0">
    <w:p w14:paraId="7CC2A417" w14:textId="77777777" w:rsidR="007E5D48" w:rsidRDefault="007E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5EB4" w14:textId="77777777" w:rsidR="001A449C" w:rsidRPr="00F77CFA" w:rsidRDefault="001A449C" w:rsidP="0097277B">
    <w:pPr>
      <w:tabs>
        <w:tab w:val="right" w:pos="9360"/>
      </w:tabs>
      <w:ind w:firstLine="6480"/>
    </w:pPr>
    <w:r w:rsidRPr="00F77CFA">
      <w:rPr>
        <w:i/>
        <w:sz w:val="20"/>
      </w:rPr>
      <w:t>Policy Code:</w:t>
    </w:r>
    <w:r>
      <w:rPr>
        <w:szCs w:val="24"/>
      </w:rPr>
      <w:t xml:space="preserve"> </w:t>
    </w:r>
    <w:r w:rsidR="0097277B">
      <w:rPr>
        <w:szCs w:val="24"/>
      </w:rPr>
      <w:tab/>
    </w:r>
    <w:r w:rsidR="0097277B">
      <w:rPr>
        <w:b/>
        <w:szCs w:val="24"/>
      </w:rPr>
      <w:t>5024/6127/7266</w:t>
    </w:r>
    <w:r>
      <w:rPr>
        <w:rFonts w:ascii="CG Times (W1)" w:hAnsi="CG Times (W1)"/>
      </w:rPr>
      <w:tab/>
    </w:r>
  </w:p>
  <w:p w14:paraId="1979E766" w14:textId="77777777" w:rsidR="001A449C" w:rsidRDefault="007C1130" w:rsidP="001A449C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472B6457" wp14:editId="66B5381E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943600" cy="0"/>
              <wp:effectExtent l="0" t="19050" r="19050" b="3810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22EB0" id="Line 11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74AEFCE2" w14:textId="77777777" w:rsidR="001A449C" w:rsidRDefault="001A4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2266C1"/>
    <w:multiLevelType w:val="hybridMultilevel"/>
    <w:tmpl w:val="7526A4E2"/>
    <w:lvl w:ilvl="0" w:tplc="63F649E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83510">
    <w:abstractNumId w:val="2"/>
  </w:num>
  <w:num w:numId="2" w16cid:durableId="1963681294">
    <w:abstractNumId w:val="3"/>
  </w:num>
  <w:num w:numId="3" w16cid:durableId="879635586">
    <w:abstractNumId w:val="12"/>
  </w:num>
  <w:num w:numId="4" w16cid:durableId="396172407">
    <w:abstractNumId w:val="10"/>
  </w:num>
  <w:num w:numId="5" w16cid:durableId="1611815180">
    <w:abstractNumId w:val="9"/>
  </w:num>
  <w:num w:numId="6" w16cid:durableId="1186559165">
    <w:abstractNumId w:val="6"/>
  </w:num>
  <w:num w:numId="7" w16cid:durableId="911039994">
    <w:abstractNumId w:val="5"/>
  </w:num>
  <w:num w:numId="8" w16cid:durableId="1960991115">
    <w:abstractNumId w:val="1"/>
  </w:num>
  <w:num w:numId="9" w16cid:durableId="778838594">
    <w:abstractNumId w:val="4"/>
  </w:num>
  <w:num w:numId="10" w16cid:durableId="1773278110">
    <w:abstractNumId w:val="0"/>
  </w:num>
  <w:num w:numId="11" w16cid:durableId="280914893">
    <w:abstractNumId w:val="11"/>
  </w:num>
  <w:num w:numId="12" w16cid:durableId="957951864">
    <w:abstractNumId w:val="8"/>
  </w:num>
  <w:num w:numId="13" w16cid:durableId="1868785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64F7"/>
    <w:rsid w:val="000566EB"/>
    <w:rsid w:val="00060663"/>
    <w:rsid w:val="000A4687"/>
    <w:rsid w:val="000B4F18"/>
    <w:rsid w:val="000C35E8"/>
    <w:rsid w:val="000C7792"/>
    <w:rsid w:val="00103357"/>
    <w:rsid w:val="001A449C"/>
    <w:rsid w:val="0020107A"/>
    <w:rsid w:val="00242B10"/>
    <w:rsid w:val="002503E8"/>
    <w:rsid w:val="00284AEF"/>
    <w:rsid w:val="002A4A3A"/>
    <w:rsid w:val="002A7713"/>
    <w:rsid w:val="002B6687"/>
    <w:rsid w:val="002B75FE"/>
    <w:rsid w:val="002E05BC"/>
    <w:rsid w:val="002E3763"/>
    <w:rsid w:val="00304FEC"/>
    <w:rsid w:val="00311699"/>
    <w:rsid w:val="00370FE2"/>
    <w:rsid w:val="003911B4"/>
    <w:rsid w:val="003D2036"/>
    <w:rsid w:val="003D47A1"/>
    <w:rsid w:val="003F4AF9"/>
    <w:rsid w:val="00430F63"/>
    <w:rsid w:val="00440BE5"/>
    <w:rsid w:val="00522AF5"/>
    <w:rsid w:val="0056132E"/>
    <w:rsid w:val="006208D8"/>
    <w:rsid w:val="00635872"/>
    <w:rsid w:val="00645EBD"/>
    <w:rsid w:val="006911BD"/>
    <w:rsid w:val="00693C40"/>
    <w:rsid w:val="00697550"/>
    <w:rsid w:val="006D6A8A"/>
    <w:rsid w:val="006E0470"/>
    <w:rsid w:val="006E2D30"/>
    <w:rsid w:val="007426C7"/>
    <w:rsid w:val="00744A3A"/>
    <w:rsid w:val="007756C1"/>
    <w:rsid w:val="007C1130"/>
    <w:rsid w:val="007D316E"/>
    <w:rsid w:val="007E5D48"/>
    <w:rsid w:val="007F48B6"/>
    <w:rsid w:val="008107EA"/>
    <w:rsid w:val="0083561E"/>
    <w:rsid w:val="0083581A"/>
    <w:rsid w:val="008D2319"/>
    <w:rsid w:val="00953AF1"/>
    <w:rsid w:val="0097277B"/>
    <w:rsid w:val="009C13E3"/>
    <w:rsid w:val="00A51E55"/>
    <w:rsid w:val="00AF6553"/>
    <w:rsid w:val="00B13B13"/>
    <w:rsid w:val="00B445D3"/>
    <w:rsid w:val="00B47CE7"/>
    <w:rsid w:val="00BA07B6"/>
    <w:rsid w:val="00BA5984"/>
    <w:rsid w:val="00BD008A"/>
    <w:rsid w:val="00C02A27"/>
    <w:rsid w:val="00C12518"/>
    <w:rsid w:val="00C3086E"/>
    <w:rsid w:val="00C95890"/>
    <w:rsid w:val="00CC4482"/>
    <w:rsid w:val="00CF62C0"/>
    <w:rsid w:val="00D231FB"/>
    <w:rsid w:val="00D801D5"/>
    <w:rsid w:val="00D837C3"/>
    <w:rsid w:val="00DB4947"/>
    <w:rsid w:val="00E07A0D"/>
    <w:rsid w:val="00E268A8"/>
    <w:rsid w:val="00E27C14"/>
    <w:rsid w:val="00E747B7"/>
    <w:rsid w:val="00F067A8"/>
    <w:rsid w:val="00F51213"/>
    <w:rsid w:val="00F729A7"/>
    <w:rsid w:val="00F9259C"/>
    <w:rsid w:val="00FA6AE1"/>
    <w:rsid w:val="00FB09E7"/>
    <w:rsid w:val="00FB1FCA"/>
    <w:rsid w:val="00FD2D13"/>
    <w:rsid w:val="00FD3BB4"/>
    <w:rsid w:val="00FE62D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93F866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2308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Underline">
    <w:name w:val="Style Footnote Reference + Underline"/>
    <w:rsid w:val="009D2308"/>
    <w:rPr>
      <w:rFonts w:ascii="Times New Roman" w:hAnsi="Times New Roman"/>
      <w:sz w:val="24"/>
      <w:u w:val="single"/>
      <w:vertAlign w:val="superscript"/>
    </w:rPr>
  </w:style>
  <w:style w:type="character" w:styleId="CommentReference">
    <w:name w:val="annotation reference"/>
    <w:rsid w:val="00166B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B31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166B3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66B31"/>
    <w:rPr>
      <w:b/>
      <w:bCs/>
    </w:rPr>
  </w:style>
  <w:style w:type="character" w:customStyle="1" w:styleId="CommentSubjectChar">
    <w:name w:val="Comment Subject Char"/>
    <w:link w:val="CommentSubject"/>
    <w:rsid w:val="00166B31"/>
    <w:rPr>
      <w:b/>
      <w:bCs/>
      <w:snapToGrid w:val="0"/>
    </w:rPr>
  </w:style>
  <w:style w:type="character" w:styleId="LineNumber">
    <w:name w:val="line number"/>
    <w:basedOn w:val="DefaultParagraphFont"/>
    <w:semiHidden/>
    <w:unhideWhenUsed/>
    <w:rsid w:val="003F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E7EB5-938B-2047-9DE6-06B0886D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2014-08-14T19:13:00Z</cp:lastPrinted>
  <dcterms:created xsi:type="dcterms:W3CDTF">2022-05-22T23:36:00Z</dcterms:created>
  <dcterms:modified xsi:type="dcterms:W3CDTF">2022-07-22T00:54:00Z</dcterms:modified>
</cp:coreProperties>
</file>