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9175" w14:textId="77777777" w:rsidR="00953C62" w:rsidRPr="00895873" w:rsidRDefault="00953C62" w:rsidP="00953C62">
      <w:pPr>
        <w:tabs>
          <w:tab w:val="left" w:pos="6840"/>
          <w:tab w:val="right" w:pos="9360"/>
        </w:tabs>
        <w:rPr>
          <w:b/>
          <w:color w:val="000000" w:themeColor="text1"/>
          <w:sz w:val="28"/>
          <w:szCs w:val="28"/>
        </w:rPr>
      </w:pPr>
      <w:r w:rsidRPr="00381F6D">
        <w:rPr>
          <w:b/>
          <w:sz w:val="28"/>
          <w:szCs w:val="28"/>
        </w:rPr>
        <w:t>EXTR</w:t>
      </w:r>
      <w:r w:rsidRPr="00895873">
        <w:rPr>
          <w:b/>
          <w:color w:val="000000" w:themeColor="text1"/>
          <w:sz w:val="28"/>
          <w:szCs w:val="28"/>
        </w:rPr>
        <w:t xml:space="preserve">ACURRICULAR AND </w:t>
      </w:r>
    </w:p>
    <w:p w14:paraId="25432406" w14:textId="77777777" w:rsidR="00953C62" w:rsidRPr="00895873" w:rsidRDefault="00953C62" w:rsidP="00953C62">
      <w:pPr>
        <w:tabs>
          <w:tab w:val="left" w:pos="6840"/>
          <w:tab w:val="right" w:pos="9360"/>
        </w:tabs>
        <w:rPr>
          <w:color w:val="000000" w:themeColor="text1"/>
        </w:rPr>
      </w:pPr>
      <w:r w:rsidRPr="00895873">
        <w:rPr>
          <w:b/>
          <w:color w:val="000000" w:themeColor="text1"/>
          <w:sz w:val="28"/>
          <w:szCs w:val="28"/>
        </w:rPr>
        <w:t>NON-INSTRUCTIONAL DUTIES</w:t>
      </w:r>
      <w:r w:rsidRPr="00895873">
        <w:rPr>
          <w:i/>
          <w:color w:val="000000" w:themeColor="text1"/>
          <w:sz w:val="20"/>
        </w:rPr>
        <w:tab/>
        <w:t>Policy Code:</w:t>
      </w:r>
      <w:r w:rsidRPr="00895873">
        <w:rPr>
          <w:color w:val="000000" w:themeColor="text1"/>
        </w:rPr>
        <w:tab/>
      </w:r>
      <w:r w:rsidRPr="00895873">
        <w:rPr>
          <w:b/>
          <w:color w:val="000000" w:themeColor="text1"/>
        </w:rPr>
        <w:t>7405</w:t>
      </w:r>
    </w:p>
    <w:p w14:paraId="1BC9D106" w14:textId="77777777" w:rsidR="00953C62" w:rsidRPr="00895873" w:rsidRDefault="00AE22CA" w:rsidP="00953C62">
      <w:pPr>
        <w:tabs>
          <w:tab w:val="left" w:pos="6840"/>
          <w:tab w:val="right" w:pos="9360"/>
        </w:tabs>
        <w:spacing w:line="109" w:lineRule="exact"/>
        <w:rPr>
          <w:color w:val="000000" w:themeColor="text1"/>
        </w:rPr>
      </w:pPr>
      <w:r w:rsidRPr="00895873">
        <w:rPr>
          <w:noProof/>
          <w:snapToGrid/>
          <w:color w:val="000000" w:themeColor="text1"/>
        </w:rPr>
        <mc:AlternateContent>
          <mc:Choice Requires="wps">
            <w:drawing>
              <wp:anchor distT="0" distB="0" distL="114300" distR="114300" simplePos="0" relativeHeight="251657728" behindDoc="0" locked="0" layoutInCell="0" allowOverlap="1" wp14:anchorId="1137EC6D" wp14:editId="2975D21D">
                <wp:simplePos x="0" y="0"/>
                <wp:positionH relativeFrom="column">
                  <wp:posOffset>0</wp:posOffset>
                </wp:positionH>
                <wp:positionV relativeFrom="paragraph">
                  <wp:posOffset>38100</wp:posOffset>
                </wp:positionV>
                <wp:extent cx="5943600" cy="0"/>
                <wp:effectExtent l="28575" t="37465" r="28575" b="2921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87719"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" o:allowincell="f" strokeweight="4.5pt">
                <v:stroke linestyle="thinThick"/>
              </v:line>
            </w:pict>
          </mc:Fallback>
        </mc:AlternateContent>
      </w:r>
    </w:p>
    <w:p w14:paraId="28649AAA" w14:textId="77777777" w:rsidR="000351A0" w:rsidRPr="00895873" w:rsidRDefault="000351A0" w:rsidP="000351A0">
      <w:pPr>
        <w:jc w:val="both"/>
        <w:rPr>
          <w:color w:val="000000" w:themeColor="text1"/>
        </w:rPr>
      </w:pPr>
    </w:p>
    <w:p w14:paraId="368E2A2D" w14:textId="77777777" w:rsidR="00280C45" w:rsidRPr="00895873" w:rsidRDefault="00280C45" w:rsidP="000351A0">
      <w:pPr>
        <w:jc w:val="both"/>
        <w:rPr>
          <w:color w:val="000000" w:themeColor="text1"/>
        </w:rPr>
        <w:sectPr w:rsidR="00280C45" w:rsidRPr="00895873" w:rsidSect="00745157">
          <w:headerReference w:type="default" r:id="rId8"/>
          <w:footerReference w:type="default" r:id="rId9"/>
          <w:pgSz w:w="12240" w:h="15840"/>
          <w:pgMar w:top="1440" w:right="1440" w:bottom="1440" w:left="1440" w:header="720" w:footer="720" w:gutter="0"/>
          <w:cols w:space="720"/>
          <w:docGrid w:linePitch="360"/>
        </w:sectPr>
      </w:pPr>
    </w:p>
    <w:p w14:paraId="06F4BF97" w14:textId="77777777" w:rsidR="000351A0" w:rsidRPr="00895873" w:rsidRDefault="000351A0" w:rsidP="000351A0">
      <w:pPr>
        <w:jc w:val="both"/>
        <w:rPr>
          <w:color w:val="000000" w:themeColor="text1"/>
        </w:rPr>
      </w:pPr>
    </w:p>
    <w:p w14:paraId="7666C304" w14:textId="77777777" w:rsidR="000351A0" w:rsidRPr="00895873" w:rsidRDefault="000351A0" w:rsidP="000351A0">
      <w:pPr>
        <w:jc w:val="both"/>
        <w:rPr>
          <w:color w:val="000000" w:themeColor="text1"/>
        </w:rPr>
      </w:pPr>
      <w:r w:rsidRPr="00895873">
        <w:rPr>
          <w:color w:val="000000" w:themeColor="text1"/>
        </w:rPr>
        <w:t xml:space="preserve">The </w:t>
      </w:r>
      <w:r w:rsidR="00072F60" w:rsidRPr="00895873">
        <w:rPr>
          <w:color w:val="000000" w:themeColor="text1"/>
        </w:rPr>
        <w:t>b</w:t>
      </w:r>
      <w:r w:rsidRPr="00895873">
        <w:rPr>
          <w:color w:val="000000" w:themeColor="text1"/>
        </w:rPr>
        <w:t xml:space="preserve">oard acknowledges that instructing </w:t>
      </w:r>
      <w:r w:rsidR="00373F62" w:rsidRPr="00895873">
        <w:rPr>
          <w:color w:val="000000" w:themeColor="text1"/>
        </w:rPr>
        <w:t>scholar</w:t>
      </w:r>
      <w:r w:rsidRPr="00895873">
        <w:rPr>
          <w:color w:val="000000" w:themeColor="text1"/>
        </w:rPr>
        <w:t xml:space="preserve">s is the primary mission of </w:t>
      </w:r>
      <w:r w:rsidR="00373F62" w:rsidRPr="00895873">
        <w:rPr>
          <w:color w:val="000000" w:themeColor="text1"/>
        </w:rPr>
        <w:t>NERSBA</w:t>
      </w:r>
      <w:r w:rsidRPr="00895873">
        <w:rPr>
          <w:color w:val="000000" w:themeColor="text1"/>
        </w:rPr>
        <w:t xml:space="preserve">.  Generally, in order to carry out the responsibilities of the school, teachers and other </w:t>
      </w:r>
      <w:r w:rsidR="00FE4F5D" w:rsidRPr="00895873">
        <w:rPr>
          <w:color w:val="000000" w:themeColor="text1"/>
        </w:rPr>
        <w:t>employees</w:t>
      </w:r>
      <w:r w:rsidRPr="00895873">
        <w:rPr>
          <w:color w:val="000000" w:themeColor="text1"/>
        </w:rPr>
        <w:t xml:space="preserve"> may also be required to perform certain non-instructional and extracurricular duties.  Assigned additional duties are considered part of all employees’ responsibilities.  However, assignment of additional duties to teachers should be minimized to allow time for teachers to plan, collaborate with colleagues, </w:t>
      </w:r>
      <w:r w:rsidR="00FE4F5D" w:rsidRPr="00895873">
        <w:rPr>
          <w:color w:val="000000" w:themeColor="text1"/>
        </w:rPr>
        <w:t xml:space="preserve">conduct </w:t>
      </w:r>
      <w:r w:rsidRPr="00895873">
        <w:rPr>
          <w:color w:val="000000" w:themeColor="text1"/>
        </w:rPr>
        <w:t>conference</w:t>
      </w:r>
      <w:r w:rsidR="00FE4F5D" w:rsidRPr="00895873">
        <w:rPr>
          <w:color w:val="000000" w:themeColor="text1"/>
        </w:rPr>
        <w:t>s</w:t>
      </w:r>
      <w:r w:rsidRPr="00895873">
        <w:rPr>
          <w:color w:val="000000" w:themeColor="text1"/>
        </w:rPr>
        <w:t xml:space="preserve"> with parents, tutor </w:t>
      </w:r>
      <w:r w:rsidR="00373F62" w:rsidRPr="00895873">
        <w:rPr>
          <w:color w:val="000000" w:themeColor="text1"/>
        </w:rPr>
        <w:t>scholar</w:t>
      </w:r>
      <w:r w:rsidRPr="00895873">
        <w:rPr>
          <w:color w:val="000000" w:themeColor="text1"/>
        </w:rPr>
        <w:t>s</w:t>
      </w:r>
      <w:r w:rsidR="00D02456" w:rsidRPr="00895873">
        <w:rPr>
          <w:color w:val="000000" w:themeColor="text1"/>
        </w:rPr>
        <w:t>,</w:t>
      </w:r>
      <w:r w:rsidRPr="00895873">
        <w:rPr>
          <w:color w:val="000000" w:themeColor="text1"/>
        </w:rPr>
        <w:t xml:space="preserve"> and perform any other activities that have a direct impact on </w:t>
      </w:r>
      <w:r w:rsidR="00373F62" w:rsidRPr="00895873">
        <w:rPr>
          <w:color w:val="000000" w:themeColor="text1"/>
        </w:rPr>
        <w:t>scholar</w:t>
      </w:r>
      <w:r w:rsidRPr="00895873">
        <w:rPr>
          <w:color w:val="000000" w:themeColor="text1"/>
        </w:rPr>
        <w:t xml:space="preserve"> achievement.  Beginning teachers also need adequate opportunities to develop their professional skills and need access to experienced teachers who </w:t>
      </w:r>
      <w:r w:rsidR="00FE4F5D" w:rsidRPr="00895873">
        <w:rPr>
          <w:color w:val="000000" w:themeColor="text1"/>
        </w:rPr>
        <w:t xml:space="preserve">will provide </w:t>
      </w:r>
      <w:r w:rsidRPr="00895873">
        <w:rPr>
          <w:color w:val="000000" w:themeColor="text1"/>
        </w:rPr>
        <w:t>mentor</w:t>
      </w:r>
      <w:r w:rsidR="00FE4F5D" w:rsidRPr="00895873">
        <w:rPr>
          <w:color w:val="000000" w:themeColor="text1"/>
        </w:rPr>
        <w:t>ing to</w:t>
      </w:r>
      <w:r w:rsidRPr="00895873">
        <w:rPr>
          <w:color w:val="000000" w:themeColor="text1"/>
        </w:rPr>
        <w:t xml:space="preserve"> them.  </w:t>
      </w:r>
      <w:proofErr w:type="gramStart"/>
      <w:r w:rsidRPr="00895873">
        <w:rPr>
          <w:color w:val="000000" w:themeColor="text1"/>
        </w:rPr>
        <w:t>In light of</w:t>
      </w:r>
      <w:proofErr w:type="gramEnd"/>
      <w:r w:rsidRPr="00895873">
        <w:rPr>
          <w:color w:val="000000" w:themeColor="text1"/>
        </w:rPr>
        <w:t xml:space="preserve"> these goals, the principal has the authority to assign extracurricular and non-instructional duties as necessary to conduct the business of </w:t>
      </w:r>
      <w:r w:rsidR="00373F62" w:rsidRPr="00895873">
        <w:rPr>
          <w:color w:val="000000" w:themeColor="text1"/>
        </w:rPr>
        <w:t>NERSBA</w:t>
      </w:r>
      <w:r w:rsidRPr="00895873">
        <w:rPr>
          <w:color w:val="000000" w:themeColor="text1"/>
        </w:rPr>
        <w:t>, within the following guidelines.</w:t>
      </w:r>
    </w:p>
    <w:p w14:paraId="5F547560" w14:textId="77777777" w:rsidR="000351A0" w:rsidRPr="00895873" w:rsidRDefault="000351A0" w:rsidP="006E7922">
      <w:pPr>
        <w:tabs>
          <w:tab w:val="left" w:pos="2170"/>
        </w:tabs>
        <w:jc w:val="both"/>
        <w:rPr>
          <w:color w:val="000000" w:themeColor="text1"/>
        </w:rPr>
      </w:pPr>
    </w:p>
    <w:p w14:paraId="4627C6B5" w14:textId="77777777" w:rsidR="000351A0" w:rsidRPr="00895873" w:rsidRDefault="000351A0" w:rsidP="001420AB">
      <w:pPr>
        <w:pStyle w:val="ListParagraph"/>
        <w:numPr>
          <w:ilvl w:val="0"/>
          <w:numId w:val="26"/>
        </w:numPr>
        <w:ind w:left="720" w:hanging="720"/>
        <w:jc w:val="both"/>
        <w:rPr>
          <w:color w:val="000000" w:themeColor="text1"/>
        </w:rPr>
      </w:pPr>
      <w:r w:rsidRPr="00895873">
        <w:rPr>
          <w:b/>
          <w:smallCaps/>
          <w:color w:val="000000" w:themeColor="text1"/>
        </w:rPr>
        <w:t>Extracurricular Duties</w:t>
      </w:r>
    </w:p>
    <w:p w14:paraId="7EFED7A1" w14:textId="77777777" w:rsidR="000351A0" w:rsidRPr="00895873" w:rsidRDefault="000351A0" w:rsidP="000351A0">
      <w:pPr>
        <w:jc w:val="both"/>
        <w:rPr>
          <w:color w:val="000000" w:themeColor="text1"/>
        </w:rPr>
      </w:pPr>
    </w:p>
    <w:p w14:paraId="11A33F71" w14:textId="77777777" w:rsidR="000351A0" w:rsidRPr="00895873" w:rsidRDefault="000351A0" w:rsidP="00966CD7">
      <w:pPr>
        <w:ind w:left="720"/>
        <w:jc w:val="both"/>
        <w:rPr>
          <w:color w:val="000000" w:themeColor="text1"/>
        </w:rPr>
      </w:pPr>
      <w:r w:rsidRPr="00895873">
        <w:rPr>
          <w:color w:val="000000" w:themeColor="text1"/>
        </w:rPr>
        <w:t>Initially licensed teachers may not be assigned extracurricular duties unless they request the assignments in writing.</w:t>
      </w:r>
      <w:r w:rsidR="00BF5C06" w:rsidRPr="00895873">
        <w:rPr>
          <w:color w:val="000000" w:themeColor="text1"/>
        </w:rPr>
        <w:t xml:space="preserve">  </w:t>
      </w:r>
    </w:p>
    <w:p w14:paraId="3EC58095" w14:textId="77777777" w:rsidR="000351A0" w:rsidRPr="00895873" w:rsidRDefault="000351A0" w:rsidP="00AF2B37">
      <w:pPr>
        <w:ind w:left="720"/>
        <w:rPr>
          <w:color w:val="000000" w:themeColor="text1"/>
        </w:rPr>
      </w:pPr>
    </w:p>
    <w:p w14:paraId="39E2A640" w14:textId="77777777" w:rsidR="000351A0" w:rsidRPr="00895873" w:rsidRDefault="000351A0" w:rsidP="004B5194">
      <w:pPr>
        <w:pStyle w:val="ListParagraph"/>
        <w:numPr>
          <w:ilvl w:val="0"/>
          <w:numId w:val="29"/>
        </w:numPr>
        <w:ind w:hanging="720"/>
        <w:rPr>
          <w:color w:val="000000" w:themeColor="text1"/>
        </w:rPr>
      </w:pPr>
      <w:r w:rsidRPr="00895873">
        <w:rPr>
          <w:color w:val="000000" w:themeColor="text1"/>
        </w:rPr>
        <w:t>Extracurricular Duties Defined</w:t>
      </w:r>
    </w:p>
    <w:p w14:paraId="4710C216" w14:textId="77777777" w:rsidR="000351A0" w:rsidRPr="00895873" w:rsidRDefault="000351A0" w:rsidP="00AF2B37">
      <w:pPr>
        <w:ind w:left="720"/>
        <w:jc w:val="both"/>
        <w:rPr>
          <w:color w:val="000000" w:themeColor="text1"/>
        </w:rPr>
      </w:pPr>
    </w:p>
    <w:p w14:paraId="68F2A1DA" w14:textId="77777777" w:rsidR="000351A0" w:rsidRPr="00895873" w:rsidRDefault="000351A0" w:rsidP="004B5194">
      <w:pPr>
        <w:ind w:left="1440"/>
        <w:jc w:val="both"/>
        <w:rPr>
          <w:color w:val="000000" w:themeColor="text1"/>
        </w:rPr>
      </w:pPr>
      <w:r w:rsidRPr="00895873">
        <w:rPr>
          <w:color w:val="000000" w:themeColor="text1"/>
        </w:rPr>
        <w:t xml:space="preserve">Extracurricular duties include those duties performed </w:t>
      </w:r>
      <w:r w:rsidR="00285A19" w:rsidRPr="00895873">
        <w:rPr>
          <w:color w:val="000000" w:themeColor="text1"/>
        </w:rPr>
        <w:t xml:space="preserve">by a teacher </w:t>
      </w:r>
      <w:r w:rsidRPr="00895873">
        <w:rPr>
          <w:color w:val="000000" w:themeColor="text1"/>
        </w:rPr>
        <w:t xml:space="preserve">outside </w:t>
      </w:r>
      <w:r w:rsidR="00285A19" w:rsidRPr="00895873">
        <w:rPr>
          <w:color w:val="000000" w:themeColor="text1"/>
        </w:rPr>
        <w:t xml:space="preserve">the </w:t>
      </w:r>
      <w:r w:rsidRPr="00895873">
        <w:rPr>
          <w:color w:val="000000" w:themeColor="text1"/>
        </w:rPr>
        <w:t xml:space="preserve">regular school </w:t>
      </w:r>
      <w:r w:rsidR="00285A19" w:rsidRPr="00895873">
        <w:rPr>
          <w:color w:val="000000" w:themeColor="text1"/>
        </w:rPr>
        <w:t xml:space="preserve">day </w:t>
      </w:r>
      <w:r w:rsidR="005253C8" w:rsidRPr="00895873">
        <w:rPr>
          <w:color w:val="000000" w:themeColor="text1"/>
        </w:rPr>
        <w:t xml:space="preserve">that involve </w:t>
      </w:r>
      <w:r w:rsidR="00373F62" w:rsidRPr="00895873">
        <w:rPr>
          <w:color w:val="000000" w:themeColor="text1"/>
        </w:rPr>
        <w:t>scholar</w:t>
      </w:r>
      <w:r w:rsidR="005253C8" w:rsidRPr="00895873">
        <w:rPr>
          <w:color w:val="000000" w:themeColor="text1"/>
        </w:rPr>
        <w:t xml:space="preserve">s </w:t>
      </w:r>
      <w:r w:rsidR="00285A19" w:rsidRPr="00895873">
        <w:rPr>
          <w:color w:val="000000" w:themeColor="text1"/>
        </w:rPr>
        <w:t xml:space="preserve">and </w:t>
      </w:r>
      <w:r w:rsidR="005253C8" w:rsidRPr="00895873">
        <w:rPr>
          <w:color w:val="000000" w:themeColor="text1"/>
        </w:rPr>
        <w:t xml:space="preserve">are </w:t>
      </w:r>
      <w:r w:rsidR="00285A19" w:rsidRPr="00895873">
        <w:rPr>
          <w:color w:val="000000" w:themeColor="text1"/>
        </w:rPr>
        <w:t>not directly related to the instructional program</w:t>
      </w:r>
      <w:r w:rsidRPr="00895873">
        <w:rPr>
          <w:color w:val="000000" w:themeColor="text1"/>
        </w:rPr>
        <w:t xml:space="preserve">. </w:t>
      </w:r>
      <w:r w:rsidR="00072F60" w:rsidRPr="00895873">
        <w:rPr>
          <w:color w:val="000000" w:themeColor="text1"/>
        </w:rPr>
        <w:t xml:space="preserve"> </w:t>
      </w:r>
      <w:r w:rsidRPr="00895873">
        <w:rPr>
          <w:color w:val="000000" w:themeColor="text1"/>
        </w:rPr>
        <w:t xml:space="preserve">Examples of extracurricular activities for which consent is required include such things as acting as a faculty sponsor for a </w:t>
      </w:r>
      <w:r w:rsidR="00373F62" w:rsidRPr="00895873">
        <w:rPr>
          <w:color w:val="000000" w:themeColor="text1"/>
        </w:rPr>
        <w:t>scholar</w:t>
      </w:r>
      <w:r w:rsidRPr="00895873">
        <w:rPr>
          <w:color w:val="000000" w:themeColor="text1"/>
        </w:rPr>
        <w:t xml:space="preserve"> club.  Extracurricular duties do not include such things as time spent in parent-teacher conferences or activities related to courses taught by the teacher.</w:t>
      </w:r>
    </w:p>
    <w:p w14:paraId="3F381C8F" w14:textId="77777777" w:rsidR="000351A0" w:rsidRPr="00895873" w:rsidRDefault="000351A0" w:rsidP="000351A0">
      <w:pPr>
        <w:ind w:left="720" w:firstLine="720"/>
        <w:jc w:val="both"/>
        <w:rPr>
          <w:color w:val="000000" w:themeColor="text1"/>
        </w:rPr>
      </w:pPr>
    </w:p>
    <w:p w14:paraId="66AC7728" w14:textId="77777777" w:rsidR="000351A0" w:rsidRPr="00895873" w:rsidRDefault="000351A0" w:rsidP="004B5194">
      <w:pPr>
        <w:pStyle w:val="ListParagraph"/>
        <w:numPr>
          <w:ilvl w:val="0"/>
          <w:numId w:val="29"/>
        </w:numPr>
        <w:ind w:hanging="720"/>
        <w:jc w:val="both"/>
        <w:rPr>
          <w:color w:val="000000" w:themeColor="text1"/>
        </w:rPr>
      </w:pPr>
      <w:r w:rsidRPr="00895873">
        <w:rPr>
          <w:color w:val="000000" w:themeColor="text1"/>
        </w:rPr>
        <w:t>Exceptions Permitted for Compelling Reasons</w:t>
      </w:r>
    </w:p>
    <w:p w14:paraId="0164383D" w14:textId="77777777" w:rsidR="000351A0" w:rsidRPr="00895873" w:rsidRDefault="000351A0" w:rsidP="000351A0">
      <w:pPr>
        <w:ind w:left="720"/>
        <w:jc w:val="both"/>
        <w:rPr>
          <w:color w:val="000000" w:themeColor="text1"/>
        </w:rPr>
      </w:pPr>
    </w:p>
    <w:p w14:paraId="7CCE358D" w14:textId="77777777" w:rsidR="000351A0" w:rsidRPr="00895873" w:rsidRDefault="000351A0" w:rsidP="000351A0">
      <w:pPr>
        <w:pStyle w:val="BodyTextIndent"/>
        <w:tabs>
          <w:tab w:val="left" w:pos="720"/>
        </w:tabs>
        <w:ind w:left="1440" w:firstLine="0"/>
        <w:rPr>
          <w:rFonts w:ascii="Times New Roman" w:hAnsi="Times New Roman"/>
          <w:color w:val="000000" w:themeColor="text1"/>
        </w:rPr>
      </w:pPr>
      <w:r w:rsidRPr="00895873">
        <w:rPr>
          <w:rFonts w:ascii="Times New Roman" w:hAnsi="Times New Roman"/>
          <w:color w:val="000000" w:themeColor="text1"/>
        </w:rPr>
        <w:t xml:space="preserve">In cases of compelling need, </w:t>
      </w:r>
      <w:r w:rsidR="00BF5C06" w:rsidRPr="00895873">
        <w:rPr>
          <w:rFonts w:ascii="Times New Roman" w:hAnsi="Times New Roman"/>
          <w:color w:val="000000" w:themeColor="text1"/>
        </w:rPr>
        <w:t xml:space="preserve">initially licensed </w:t>
      </w:r>
      <w:r w:rsidRPr="00895873">
        <w:rPr>
          <w:rFonts w:ascii="Times New Roman" w:hAnsi="Times New Roman"/>
          <w:color w:val="000000" w:themeColor="text1"/>
        </w:rPr>
        <w:t>teachers may be required to perform extracurricular duties if the procedures set forth in this paragraph are followed.</w:t>
      </w:r>
    </w:p>
    <w:p w14:paraId="0DE967AD" w14:textId="77777777" w:rsidR="000351A0" w:rsidRPr="00895873" w:rsidRDefault="000351A0" w:rsidP="000351A0">
      <w:pPr>
        <w:pStyle w:val="BodyTextIndent"/>
        <w:rPr>
          <w:rFonts w:ascii="Times New Roman" w:hAnsi="Times New Roman"/>
          <w:color w:val="000000" w:themeColor="text1"/>
        </w:rPr>
      </w:pPr>
    </w:p>
    <w:p w14:paraId="4E3B03D4" w14:textId="77777777" w:rsidR="000351A0" w:rsidRPr="00895873" w:rsidRDefault="000351A0" w:rsidP="001420AB">
      <w:pPr>
        <w:pStyle w:val="BodyTextIndent"/>
        <w:numPr>
          <w:ilvl w:val="0"/>
          <w:numId w:val="28"/>
        </w:numPr>
        <w:ind w:hanging="720"/>
        <w:rPr>
          <w:rFonts w:ascii="Times New Roman" w:hAnsi="Times New Roman"/>
          <w:color w:val="000000" w:themeColor="text1"/>
        </w:rPr>
      </w:pPr>
      <w:r w:rsidRPr="00895873">
        <w:rPr>
          <w:rFonts w:ascii="Times New Roman" w:hAnsi="Times New Roman"/>
          <w:color w:val="000000" w:themeColor="text1"/>
        </w:rPr>
        <w:t xml:space="preserve">Compelling Need Defined  </w:t>
      </w:r>
    </w:p>
    <w:p w14:paraId="490ECDC2" w14:textId="77777777" w:rsidR="000351A0" w:rsidRPr="00895873" w:rsidRDefault="000351A0" w:rsidP="000351A0">
      <w:pPr>
        <w:pStyle w:val="BodyTextIndent"/>
        <w:ind w:left="2160"/>
        <w:rPr>
          <w:rFonts w:ascii="Times New Roman" w:hAnsi="Times New Roman"/>
          <w:color w:val="000000" w:themeColor="text1"/>
        </w:rPr>
      </w:pPr>
    </w:p>
    <w:p w14:paraId="57F85AF9" w14:textId="7431003B" w:rsidR="000351A0" w:rsidRPr="00895873" w:rsidRDefault="000351A0" w:rsidP="000351A0">
      <w:pPr>
        <w:pStyle w:val="BodyTextIndent"/>
        <w:ind w:left="2160" w:firstLine="0"/>
        <w:rPr>
          <w:rFonts w:ascii="Times New Roman" w:hAnsi="Times New Roman"/>
          <w:color w:val="000000" w:themeColor="text1"/>
        </w:rPr>
      </w:pPr>
      <w:r w:rsidRPr="00895873">
        <w:rPr>
          <w:rFonts w:ascii="Times New Roman" w:hAnsi="Times New Roman"/>
          <w:color w:val="000000" w:themeColor="text1"/>
        </w:rPr>
        <w:t xml:space="preserve">A compelling need arises when the principal is not reasonably able to </w:t>
      </w:r>
      <w:r w:rsidR="00FE4F5D" w:rsidRPr="00895873">
        <w:rPr>
          <w:rFonts w:ascii="Times New Roman" w:hAnsi="Times New Roman"/>
          <w:color w:val="000000" w:themeColor="text1"/>
        </w:rPr>
        <w:t xml:space="preserve">provide adequate supervision </w:t>
      </w:r>
      <w:r w:rsidR="004A5F08" w:rsidRPr="00895873">
        <w:rPr>
          <w:rFonts w:ascii="Times New Roman" w:hAnsi="Times New Roman"/>
          <w:color w:val="000000" w:themeColor="text1"/>
        </w:rPr>
        <w:t xml:space="preserve">by qualified personnel </w:t>
      </w:r>
      <w:r w:rsidR="00FE4F5D" w:rsidRPr="00895873">
        <w:rPr>
          <w:rFonts w:ascii="Times New Roman" w:hAnsi="Times New Roman"/>
          <w:color w:val="000000" w:themeColor="text1"/>
        </w:rPr>
        <w:t xml:space="preserve">at </w:t>
      </w:r>
      <w:r w:rsidRPr="00895873">
        <w:rPr>
          <w:rFonts w:ascii="Times New Roman" w:hAnsi="Times New Roman"/>
          <w:color w:val="000000" w:themeColor="text1"/>
        </w:rPr>
        <w:t xml:space="preserve">extracurricular activities without using </w:t>
      </w:r>
      <w:r w:rsidR="00BF5C06" w:rsidRPr="00895873">
        <w:rPr>
          <w:rFonts w:ascii="Times New Roman" w:hAnsi="Times New Roman"/>
          <w:color w:val="000000" w:themeColor="text1"/>
        </w:rPr>
        <w:t xml:space="preserve">initially licensed </w:t>
      </w:r>
      <w:r w:rsidRPr="00895873">
        <w:rPr>
          <w:rFonts w:ascii="Times New Roman" w:hAnsi="Times New Roman"/>
          <w:color w:val="000000" w:themeColor="text1"/>
        </w:rPr>
        <w:t xml:space="preserve">teachers and no </w:t>
      </w:r>
      <w:r w:rsidR="00BF5C06" w:rsidRPr="00895873">
        <w:rPr>
          <w:rFonts w:ascii="Times New Roman" w:hAnsi="Times New Roman"/>
          <w:color w:val="000000" w:themeColor="text1"/>
        </w:rPr>
        <w:t xml:space="preserve">initially licensed </w:t>
      </w:r>
      <w:r w:rsidRPr="00895873">
        <w:rPr>
          <w:rFonts w:ascii="Times New Roman" w:hAnsi="Times New Roman"/>
          <w:color w:val="000000" w:themeColor="text1"/>
        </w:rPr>
        <w:t>teachers have volunteered in writing to perform these activities.  In determining whether a compelling need exists, it will be assumed that teaching assistants and other non-</w:t>
      </w:r>
      <w:r w:rsidR="00076B8E" w:rsidRPr="00895873">
        <w:rPr>
          <w:rFonts w:ascii="Times New Roman" w:hAnsi="Times New Roman"/>
          <w:color w:val="000000" w:themeColor="text1"/>
        </w:rPr>
        <w:t xml:space="preserve">licensed </w:t>
      </w:r>
      <w:r w:rsidRPr="00895873">
        <w:rPr>
          <w:rFonts w:ascii="Times New Roman" w:hAnsi="Times New Roman"/>
          <w:color w:val="000000" w:themeColor="text1"/>
        </w:rPr>
        <w:t xml:space="preserve">employees </w:t>
      </w:r>
      <w:r w:rsidR="00FE4F5D" w:rsidRPr="00895873">
        <w:rPr>
          <w:rFonts w:ascii="Times New Roman" w:hAnsi="Times New Roman"/>
          <w:color w:val="000000" w:themeColor="text1"/>
        </w:rPr>
        <w:t xml:space="preserve">may </w:t>
      </w:r>
      <w:r w:rsidRPr="00895873">
        <w:rPr>
          <w:rFonts w:ascii="Times New Roman" w:hAnsi="Times New Roman"/>
          <w:color w:val="000000" w:themeColor="text1"/>
        </w:rPr>
        <w:t xml:space="preserve">not be assigned to extracurricular duties unless the assignment is approved in advance by the </w:t>
      </w:r>
      <w:r w:rsidR="0041273E" w:rsidRPr="00895873">
        <w:rPr>
          <w:rFonts w:ascii="Times New Roman" w:hAnsi="Times New Roman"/>
          <w:color w:val="000000" w:themeColor="text1"/>
        </w:rPr>
        <w:t>executive direct</w:t>
      </w:r>
      <w:r w:rsidR="00895873" w:rsidRPr="00895873">
        <w:rPr>
          <w:rFonts w:ascii="Times New Roman" w:hAnsi="Times New Roman"/>
          <w:color w:val="000000" w:themeColor="text1"/>
        </w:rPr>
        <w:t>or</w:t>
      </w:r>
      <w:r w:rsidRPr="00895873">
        <w:rPr>
          <w:rFonts w:ascii="Times New Roman" w:hAnsi="Times New Roman"/>
          <w:color w:val="000000" w:themeColor="text1"/>
        </w:rPr>
        <w:t xml:space="preserve">.  Examples of compelling need include circumstances when:  </w:t>
      </w:r>
    </w:p>
    <w:p w14:paraId="6DC6F7F1" w14:textId="77777777" w:rsidR="000351A0" w:rsidRPr="00895873" w:rsidRDefault="000351A0" w:rsidP="000351A0">
      <w:pPr>
        <w:pStyle w:val="BodyTextIndent"/>
        <w:rPr>
          <w:rFonts w:ascii="Times New Roman" w:hAnsi="Times New Roman"/>
          <w:color w:val="000000" w:themeColor="text1"/>
        </w:rPr>
      </w:pPr>
    </w:p>
    <w:p w14:paraId="0522D190" w14:textId="77777777" w:rsidR="000351A0" w:rsidRPr="00895873" w:rsidRDefault="00FE4F5D" w:rsidP="00631CEE">
      <w:pPr>
        <w:pStyle w:val="BodyTextIndent"/>
        <w:numPr>
          <w:ilvl w:val="0"/>
          <w:numId w:val="17"/>
        </w:numPr>
        <w:rPr>
          <w:rFonts w:ascii="Times New Roman" w:hAnsi="Times New Roman"/>
          <w:color w:val="000000" w:themeColor="text1"/>
        </w:rPr>
      </w:pPr>
      <w:r w:rsidRPr="00895873">
        <w:rPr>
          <w:rFonts w:ascii="Times New Roman" w:hAnsi="Times New Roman"/>
          <w:color w:val="000000" w:themeColor="text1"/>
        </w:rPr>
        <w:t>an employee</w:t>
      </w:r>
      <w:r w:rsidR="000351A0" w:rsidRPr="00895873">
        <w:rPr>
          <w:rFonts w:ascii="Times New Roman" w:hAnsi="Times New Roman"/>
          <w:color w:val="000000" w:themeColor="text1"/>
        </w:rPr>
        <w:t xml:space="preserve"> who is scheduled to perform an extracurricular duty is unexpectedly unavailable and the position must be filled </w:t>
      </w:r>
      <w:proofErr w:type="gramStart"/>
      <w:r w:rsidR="000351A0" w:rsidRPr="00895873">
        <w:rPr>
          <w:rFonts w:ascii="Times New Roman" w:hAnsi="Times New Roman"/>
          <w:color w:val="000000" w:themeColor="text1"/>
        </w:rPr>
        <w:t>quickly;</w:t>
      </w:r>
      <w:proofErr w:type="gramEnd"/>
      <w:r w:rsidR="000351A0" w:rsidRPr="00895873">
        <w:rPr>
          <w:rFonts w:ascii="Times New Roman" w:hAnsi="Times New Roman"/>
          <w:color w:val="000000" w:themeColor="text1"/>
        </w:rPr>
        <w:t xml:space="preserve"> </w:t>
      </w:r>
    </w:p>
    <w:p w14:paraId="23CE4247" w14:textId="77777777" w:rsidR="000351A0" w:rsidRPr="00895873" w:rsidRDefault="000351A0" w:rsidP="000351A0">
      <w:pPr>
        <w:pStyle w:val="BodyTextIndent"/>
        <w:ind w:left="2160"/>
        <w:rPr>
          <w:rFonts w:ascii="Times New Roman" w:hAnsi="Times New Roman"/>
          <w:color w:val="000000" w:themeColor="text1"/>
        </w:rPr>
      </w:pPr>
    </w:p>
    <w:p w14:paraId="3AD163C7" w14:textId="77777777" w:rsidR="00631CEE" w:rsidRPr="00895873" w:rsidRDefault="000351A0" w:rsidP="00631CEE">
      <w:pPr>
        <w:pStyle w:val="BodyTextIndent"/>
        <w:numPr>
          <w:ilvl w:val="0"/>
          <w:numId w:val="17"/>
        </w:numPr>
        <w:rPr>
          <w:rFonts w:ascii="Times New Roman" w:hAnsi="Times New Roman"/>
          <w:color w:val="000000" w:themeColor="text1"/>
        </w:rPr>
      </w:pPr>
      <w:r w:rsidRPr="00895873">
        <w:rPr>
          <w:rFonts w:ascii="Times New Roman" w:hAnsi="Times New Roman"/>
          <w:color w:val="000000" w:themeColor="text1"/>
        </w:rPr>
        <w:t xml:space="preserve">the principal cannot adequately fill extracurricular duty positions without additional reliance on </w:t>
      </w:r>
      <w:r w:rsidR="00BF5C06" w:rsidRPr="00895873">
        <w:rPr>
          <w:rFonts w:ascii="Times New Roman" w:hAnsi="Times New Roman"/>
          <w:color w:val="000000" w:themeColor="text1"/>
        </w:rPr>
        <w:t xml:space="preserve">initially licensed </w:t>
      </w:r>
      <w:r w:rsidRPr="00895873">
        <w:rPr>
          <w:rFonts w:ascii="Times New Roman" w:hAnsi="Times New Roman"/>
          <w:color w:val="000000" w:themeColor="text1"/>
        </w:rPr>
        <w:t xml:space="preserve">teachers; or </w:t>
      </w:r>
    </w:p>
    <w:p w14:paraId="0DED95CC" w14:textId="77777777" w:rsidR="00631CEE" w:rsidRPr="00895873" w:rsidRDefault="00631CEE" w:rsidP="00631CEE">
      <w:pPr>
        <w:pStyle w:val="BodyTextIndent"/>
        <w:ind w:left="0" w:firstLine="0"/>
        <w:rPr>
          <w:rFonts w:ascii="Times New Roman" w:hAnsi="Times New Roman"/>
          <w:color w:val="000000" w:themeColor="text1"/>
        </w:rPr>
      </w:pPr>
    </w:p>
    <w:p w14:paraId="6E98780A" w14:textId="77777777" w:rsidR="000351A0" w:rsidRPr="00895873" w:rsidRDefault="000351A0" w:rsidP="00631CEE">
      <w:pPr>
        <w:pStyle w:val="BodyTextIndent"/>
        <w:numPr>
          <w:ilvl w:val="0"/>
          <w:numId w:val="17"/>
        </w:numPr>
        <w:rPr>
          <w:rFonts w:ascii="Times New Roman" w:hAnsi="Times New Roman"/>
          <w:color w:val="000000" w:themeColor="text1"/>
        </w:rPr>
      </w:pPr>
      <w:r w:rsidRPr="00895873">
        <w:rPr>
          <w:rFonts w:ascii="Times New Roman" w:hAnsi="Times New Roman"/>
          <w:color w:val="000000" w:themeColor="text1"/>
        </w:rPr>
        <w:t xml:space="preserve">an extracurricular duty must be </w:t>
      </w:r>
      <w:r w:rsidR="00FE4F5D" w:rsidRPr="00895873">
        <w:rPr>
          <w:rFonts w:ascii="Times New Roman" w:hAnsi="Times New Roman"/>
          <w:color w:val="000000" w:themeColor="text1"/>
        </w:rPr>
        <w:t>supervised by</w:t>
      </w:r>
      <w:r w:rsidRPr="00895873">
        <w:rPr>
          <w:rFonts w:ascii="Times New Roman" w:hAnsi="Times New Roman"/>
          <w:color w:val="000000" w:themeColor="text1"/>
        </w:rPr>
        <w:t xml:space="preserve"> individual</w:t>
      </w:r>
      <w:r w:rsidR="00FE4F5D" w:rsidRPr="00895873">
        <w:rPr>
          <w:rFonts w:ascii="Times New Roman" w:hAnsi="Times New Roman"/>
          <w:color w:val="000000" w:themeColor="text1"/>
        </w:rPr>
        <w:t>s</w:t>
      </w:r>
      <w:r w:rsidRPr="00895873">
        <w:rPr>
          <w:rFonts w:ascii="Times New Roman" w:hAnsi="Times New Roman"/>
          <w:color w:val="000000" w:themeColor="text1"/>
        </w:rPr>
        <w:t xml:space="preserve"> with certain experience, skills</w:t>
      </w:r>
      <w:r w:rsidR="00D02456" w:rsidRPr="00895873">
        <w:rPr>
          <w:rFonts w:ascii="Times New Roman" w:hAnsi="Times New Roman"/>
          <w:color w:val="000000" w:themeColor="text1"/>
        </w:rPr>
        <w:t>,</w:t>
      </w:r>
      <w:r w:rsidRPr="00895873">
        <w:rPr>
          <w:rFonts w:ascii="Times New Roman" w:hAnsi="Times New Roman"/>
          <w:color w:val="000000" w:themeColor="text1"/>
        </w:rPr>
        <w:t xml:space="preserve"> or qualifications and </w:t>
      </w:r>
      <w:r w:rsidR="00BF5C06" w:rsidRPr="00895873">
        <w:rPr>
          <w:rFonts w:ascii="Times New Roman" w:hAnsi="Times New Roman"/>
          <w:color w:val="000000" w:themeColor="text1"/>
        </w:rPr>
        <w:t xml:space="preserve">initially licensed </w:t>
      </w:r>
      <w:r w:rsidRPr="00895873">
        <w:rPr>
          <w:rFonts w:ascii="Times New Roman" w:hAnsi="Times New Roman"/>
          <w:color w:val="000000" w:themeColor="text1"/>
        </w:rPr>
        <w:t>teachers are the only qualified staff members who possess the required experience, skills</w:t>
      </w:r>
      <w:r w:rsidR="00D02456" w:rsidRPr="00895873">
        <w:rPr>
          <w:rFonts w:ascii="Times New Roman" w:hAnsi="Times New Roman"/>
          <w:color w:val="000000" w:themeColor="text1"/>
        </w:rPr>
        <w:t>,</w:t>
      </w:r>
      <w:r w:rsidRPr="00895873">
        <w:rPr>
          <w:rFonts w:ascii="Times New Roman" w:hAnsi="Times New Roman"/>
          <w:color w:val="000000" w:themeColor="text1"/>
        </w:rPr>
        <w:t xml:space="preserve"> or qualifications.</w:t>
      </w:r>
      <w:r w:rsidRPr="00895873">
        <w:rPr>
          <w:rFonts w:ascii="Times New Roman" w:hAnsi="Times New Roman"/>
          <w:strike/>
          <w:color w:val="000000" w:themeColor="text1"/>
        </w:rPr>
        <w:t xml:space="preserve"> </w:t>
      </w:r>
    </w:p>
    <w:p w14:paraId="6A421C07" w14:textId="77777777" w:rsidR="000351A0" w:rsidRPr="00895873" w:rsidRDefault="000351A0" w:rsidP="000351A0">
      <w:pPr>
        <w:pStyle w:val="BodyTextIndent"/>
        <w:rPr>
          <w:rFonts w:ascii="Times New Roman" w:hAnsi="Times New Roman"/>
          <w:strike/>
          <w:color w:val="000000" w:themeColor="text1"/>
        </w:rPr>
      </w:pPr>
    </w:p>
    <w:p w14:paraId="053A3740" w14:textId="77777777" w:rsidR="000351A0" w:rsidRPr="00895873" w:rsidRDefault="000351A0" w:rsidP="001420AB">
      <w:pPr>
        <w:pStyle w:val="BodyTextIndent"/>
        <w:numPr>
          <w:ilvl w:val="0"/>
          <w:numId w:val="28"/>
        </w:numPr>
        <w:ind w:hanging="720"/>
        <w:rPr>
          <w:rFonts w:ascii="Times New Roman" w:hAnsi="Times New Roman"/>
          <w:color w:val="000000" w:themeColor="text1"/>
        </w:rPr>
      </w:pPr>
      <w:r w:rsidRPr="00895873">
        <w:rPr>
          <w:rFonts w:ascii="Times New Roman" w:hAnsi="Times New Roman"/>
          <w:color w:val="000000" w:themeColor="text1"/>
        </w:rPr>
        <w:t>Process for Granting a Compelling Need Waiver</w:t>
      </w:r>
    </w:p>
    <w:p w14:paraId="25664BA6" w14:textId="77777777" w:rsidR="000351A0" w:rsidRPr="00895873" w:rsidRDefault="000351A0" w:rsidP="000351A0">
      <w:pPr>
        <w:pStyle w:val="BodyTextIndent"/>
        <w:rPr>
          <w:rFonts w:ascii="Times New Roman" w:hAnsi="Times New Roman"/>
          <w:color w:val="000000" w:themeColor="text1"/>
        </w:rPr>
      </w:pPr>
    </w:p>
    <w:p w14:paraId="6070D806" w14:textId="77777777" w:rsidR="000351A0" w:rsidRPr="00895873" w:rsidRDefault="000351A0" w:rsidP="00631CEE">
      <w:pPr>
        <w:pStyle w:val="BodyTextIndent"/>
        <w:numPr>
          <w:ilvl w:val="0"/>
          <w:numId w:val="21"/>
        </w:numPr>
        <w:rPr>
          <w:rFonts w:ascii="Times New Roman" w:hAnsi="Times New Roman"/>
          <w:color w:val="000000" w:themeColor="text1"/>
        </w:rPr>
      </w:pPr>
      <w:r w:rsidRPr="00895873">
        <w:rPr>
          <w:rFonts w:ascii="Times New Roman" w:hAnsi="Times New Roman"/>
          <w:color w:val="000000" w:themeColor="text1"/>
        </w:rPr>
        <w:t>Board Waiver</w:t>
      </w:r>
    </w:p>
    <w:p w14:paraId="641C4B46" w14:textId="77777777" w:rsidR="000351A0" w:rsidRPr="00895873" w:rsidRDefault="000351A0" w:rsidP="000351A0">
      <w:pPr>
        <w:pStyle w:val="BodyTextIndent"/>
        <w:ind w:left="2880"/>
        <w:rPr>
          <w:rFonts w:ascii="Times New Roman" w:hAnsi="Times New Roman"/>
          <w:color w:val="000000" w:themeColor="text1"/>
        </w:rPr>
      </w:pPr>
    </w:p>
    <w:p w14:paraId="2C80A841" w14:textId="20D9AF38" w:rsidR="000351A0" w:rsidRPr="00895873" w:rsidRDefault="000351A0" w:rsidP="000351A0">
      <w:pPr>
        <w:pStyle w:val="BodyTextIndent"/>
        <w:ind w:left="2880" w:firstLine="0"/>
        <w:rPr>
          <w:rFonts w:ascii="Times New Roman" w:hAnsi="Times New Roman"/>
          <w:color w:val="000000" w:themeColor="text1"/>
        </w:rPr>
      </w:pPr>
      <w:r w:rsidRPr="00895873">
        <w:rPr>
          <w:rFonts w:ascii="Times New Roman" w:hAnsi="Times New Roman"/>
          <w:color w:val="000000" w:themeColor="text1"/>
        </w:rPr>
        <w:t xml:space="preserve">In cases </w:t>
      </w:r>
      <w:r w:rsidR="00260918" w:rsidRPr="00895873">
        <w:rPr>
          <w:rFonts w:ascii="Times New Roman" w:hAnsi="Times New Roman"/>
          <w:color w:val="000000" w:themeColor="text1"/>
        </w:rPr>
        <w:t xml:space="preserve">in which </w:t>
      </w:r>
      <w:r w:rsidRPr="00895873">
        <w:rPr>
          <w:rFonts w:ascii="Times New Roman" w:hAnsi="Times New Roman"/>
          <w:color w:val="000000" w:themeColor="text1"/>
        </w:rPr>
        <w:t xml:space="preserve">the need for a waiver is reasonably foreseeable and there is an opportunity to bring the matter before the board of </w:t>
      </w:r>
      <w:r w:rsidR="00FC39B0" w:rsidRPr="00895873">
        <w:rPr>
          <w:rFonts w:ascii="Times New Roman" w:hAnsi="Times New Roman"/>
          <w:color w:val="000000" w:themeColor="text1"/>
        </w:rPr>
        <w:t xml:space="preserve">directors </w:t>
      </w:r>
      <w:r w:rsidRPr="00895873">
        <w:rPr>
          <w:rFonts w:ascii="Times New Roman" w:hAnsi="Times New Roman"/>
          <w:color w:val="000000" w:themeColor="text1"/>
        </w:rPr>
        <w:t xml:space="preserve">for approval prior to the extra duty, the </w:t>
      </w:r>
      <w:r w:rsidR="0041273E" w:rsidRPr="00895873">
        <w:rPr>
          <w:rFonts w:ascii="Times New Roman" w:hAnsi="Times New Roman"/>
          <w:color w:val="000000" w:themeColor="text1"/>
        </w:rPr>
        <w:t xml:space="preserve">executive director </w:t>
      </w:r>
      <w:r w:rsidRPr="00895873">
        <w:rPr>
          <w:rFonts w:ascii="Times New Roman" w:hAnsi="Times New Roman"/>
          <w:color w:val="000000" w:themeColor="text1"/>
        </w:rPr>
        <w:t xml:space="preserve">shall bring the matter to the board for a decision on the waiver request.  The recommendation for a waiver must be in writing and set forth the circumstances requiring the waiver. </w:t>
      </w:r>
      <w:r w:rsidR="00A751A1" w:rsidRPr="00895873">
        <w:rPr>
          <w:rFonts w:ascii="Times New Roman" w:hAnsi="Times New Roman"/>
          <w:color w:val="000000" w:themeColor="text1"/>
        </w:rPr>
        <w:t xml:space="preserve"> </w:t>
      </w:r>
      <w:r w:rsidRPr="00895873">
        <w:rPr>
          <w:rFonts w:ascii="Times New Roman" w:hAnsi="Times New Roman"/>
          <w:color w:val="000000" w:themeColor="text1"/>
        </w:rPr>
        <w:t xml:space="preserve">The board minutes or other documentation </w:t>
      </w:r>
      <w:r w:rsidR="00403BA7" w:rsidRPr="00895873">
        <w:rPr>
          <w:rFonts w:ascii="Times New Roman" w:hAnsi="Times New Roman"/>
          <w:color w:val="000000" w:themeColor="text1"/>
        </w:rPr>
        <w:t xml:space="preserve">will </w:t>
      </w:r>
      <w:r w:rsidRPr="00895873">
        <w:rPr>
          <w:rFonts w:ascii="Times New Roman" w:hAnsi="Times New Roman"/>
          <w:color w:val="000000" w:themeColor="text1"/>
        </w:rPr>
        <w:t>reflect the reasons for granting the waiver.</w:t>
      </w:r>
    </w:p>
    <w:p w14:paraId="5EC387B3" w14:textId="77777777" w:rsidR="000351A0" w:rsidRPr="00895873" w:rsidRDefault="000351A0" w:rsidP="000351A0">
      <w:pPr>
        <w:pStyle w:val="BodyTextIndent"/>
        <w:rPr>
          <w:rFonts w:ascii="Times New Roman" w:hAnsi="Times New Roman"/>
          <w:color w:val="000000" w:themeColor="text1"/>
        </w:rPr>
      </w:pPr>
    </w:p>
    <w:p w14:paraId="0E39BFD0" w14:textId="751F05FA" w:rsidR="000351A0" w:rsidRPr="00895873" w:rsidRDefault="0041273E" w:rsidP="00631CEE">
      <w:pPr>
        <w:pStyle w:val="BodyTextIndent"/>
        <w:numPr>
          <w:ilvl w:val="0"/>
          <w:numId w:val="21"/>
        </w:numPr>
        <w:rPr>
          <w:rFonts w:ascii="Times New Roman" w:hAnsi="Times New Roman"/>
          <w:color w:val="000000" w:themeColor="text1"/>
        </w:rPr>
      </w:pPr>
      <w:r w:rsidRPr="00895873">
        <w:rPr>
          <w:rFonts w:ascii="Times New Roman" w:hAnsi="Times New Roman"/>
          <w:color w:val="000000" w:themeColor="text1"/>
        </w:rPr>
        <w:t xml:space="preserve">Executive Director </w:t>
      </w:r>
      <w:r w:rsidR="000351A0" w:rsidRPr="00895873">
        <w:rPr>
          <w:rFonts w:ascii="Times New Roman" w:hAnsi="Times New Roman"/>
          <w:color w:val="000000" w:themeColor="text1"/>
        </w:rPr>
        <w:t>Waiver</w:t>
      </w:r>
    </w:p>
    <w:p w14:paraId="5880439C" w14:textId="77777777" w:rsidR="000351A0" w:rsidRPr="00895873" w:rsidRDefault="000351A0" w:rsidP="000351A0">
      <w:pPr>
        <w:pStyle w:val="BodyTextIndent"/>
        <w:ind w:left="2880"/>
        <w:rPr>
          <w:rFonts w:ascii="Times New Roman" w:hAnsi="Times New Roman"/>
          <w:color w:val="000000" w:themeColor="text1"/>
        </w:rPr>
      </w:pPr>
    </w:p>
    <w:p w14:paraId="4BAEA897" w14:textId="15C4A6AD" w:rsidR="000351A0" w:rsidRPr="00895873" w:rsidRDefault="000351A0" w:rsidP="000351A0">
      <w:pPr>
        <w:pStyle w:val="BodyTextIndent"/>
        <w:ind w:left="2880" w:firstLine="0"/>
        <w:rPr>
          <w:rFonts w:ascii="Times New Roman" w:hAnsi="Times New Roman"/>
          <w:color w:val="000000" w:themeColor="text1"/>
        </w:rPr>
      </w:pPr>
      <w:r w:rsidRPr="00895873">
        <w:rPr>
          <w:rFonts w:ascii="Times New Roman" w:hAnsi="Times New Roman"/>
          <w:color w:val="000000" w:themeColor="text1"/>
        </w:rPr>
        <w:t xml:space="preserve">If there is not a scheduled board meeting prior to the need to </w:t>
      </w:r>
      <w:r w:rsidR="00A8773A" w:rsidRPr="00895873">
        <w:rPr>
          <w:rFonts w:ascii="Times New Roman" w:hAnsi="Times New Roman"/>
          <w:color w:val="000000" w:themeColor="text1"/>
        </w:rPr>
        <w:t xml:space="preserve">provide adequate supervision at </w:t>
      </w:r>
      <w:r w:rsidRPr="00895873">
        <w:rPr>
          <w:rFonts w:ascii="Times New Roman" w:hAnsi="Times New Roman"/>
          <w:color w:val="000000" w:themeColor="text1"/>
        </w:rPr>
        <w:t xml:space="preserve">the extracurricular activity, the </w:t>
      </w:r>
      <w:r w:rsidR="0041273E" w:rsidRPr="00895873">
        <w:rPr>
          <w:rFonts w:ascii="Times New Roman" w:hAnsi="Times New Roman"/>
          <w:color w:val="000000" w:themeColor="text1"/>
        </w:rPr>
        <w:t>executive director</w:t>
      </w:r>
      <w:r w:rsidRPr="00895873">
        <w:rPr>
          <w:rFonts w:ascii="Times New Roman" w:hAnsi="Times New Roman"/>
          <w:color w:val="000000" w:themeColor="text1"/>
        </w:rPr>
        <w:t xml:space="preserve"> may waive the requirement upon a finding of compelling need.  The </w:t>
      </w:r>
      <w:r w:rsidR="0041273E" w:rsidRPr="00895873">
        <w:rPr>
          <w:rFonts w:ascii="Times New Roman" w:hAnsi="Times New Roman"/>
          <w:color w:val="000000" w:themeColor="text1"/>
        </w:rPr>
        <w:t>executive director</w:t>
      </w:r>
      <w:r w:rsidRPr="00895873">
        <w:rPr>
          <w:rFonts w:ascii="Times New Roman" w:hAnsi="Times New Roman"/>
          <w:color w:val="000000" w:themeColor="text1"/>
        </w:rPr>
        <w:t xml:space="preserve"> shall make a written record of all such waivers and the circumstances for requesting each waiver.  At the next regular board meeting, the </w:t>
      </w:r>
      <w:r w:rsidR="0041273E" w:rsidRPr="00895873">
        <w:rPr>
          <w:rFonts w:ascii="Times New Roman" w:hAnsi="Times New Roman"/>
          <w:color w:val="000000" w:themeColor="text1"/>
        </w:rPr>
        <w:t>executive director</w:t>
      </w:r>
      <w:r w:rsidRPr="00895873">
        <w:rPr>
          <w:rFonts w:ascii="Times New Roman" w:hAnsi="Times New Roman"/>
          <w:color w:val="000000" w:themeColor="text1"/>
        </w:rPr>
        <w:t xml:space="preserve"> shall report to the board any past waivers made and the </w:t>
      </w:r>
      <w:proofErr w:type="gramStart"/>
      <w:r w:rsidRPr="00895873">
        <w:rPr>
          <w:rFonts w:ascii="Times New Roman" w:hAnsi="Times New Roman"/>
          <w:color w:val="000000" w:themeColor="text1"/>
        </w:rPr>
        <w:t>reasons</w:t>
      </w:r>
      <w:proofErr w:type="gramEnd"/>
      <w:r w:rsidRPr="00895873">
        <w:rPr>
          <w:rFonts w:ascii="Times New Roman" w:hAnsi="Times New Roman"/>
          <w:color w:val="000000" w:themeColor="text1"/>
        </w:rPr>
        <w:t xml:space="preserve"> therefore.  If the waiver is for an ongoing activity, the </w:t>
      </w:r>
      <w:r w:rsidR="0041273E" w:rsidRPr="00895873">
        <w:rPr>
          <w:rFonts w:ascii="Times New Roman" w:hAnsi="Times New Roman"/>
          <w:color w:val="000000" w:themeColor="text1"/>
        </w:rPr>
        <w:t>executive director</w:t>
      </w:r>
      <w:r w:rsidRPr="00895873">
        <w:rPr>
          <w:rFonts w:ascii="Times New Roman" w:hAnsi="Times New Roman"/>
          <w:color w:val="000000" w:themeColor="text1"/>
        </w:rPr>
        <w:t xml:space="preserve"> must seek and obtain board approval to continue the </w:t>
      </w:r>
      <w:r w:rsidR="00BF5C06" w:rsidRPr="00895873">
        <w:rPr>
          <w:rFonts w:ascii="Times New Roman" w:hAnsi="Times New Roman"/>
          <w:color w:val="000000" w:themeColor="text1"/>
        </w:rPr>
        <w:t xml:space="preserve">initially licensed </w:t>
      </w:r>
      <w:r w:rsidRPr="00895873">
        <w:rPr>
          <w:rFonts w:ascii="Times New Roman" w:hAnsi="Times New Roman"/>
          <w:color w:val="000000" w:themeColor="text1"/>
        </w:rPr>
        <w:t xml:space="preserve">teacher in the extracurricular activity in accordance with the procedure in paragraph (1) above. </w:t>
      </w:r>
    </w:p>
    <w:p w14:paraId="0686786F" w14:textId="77777777" w:rsidR="000351A0" w:rsidRPr="00895873" w:rsidRDefault="000351A0" w:rsidP="000351A0">
      <w:pPr>
        <w:pStyle w:val="BodyTextIndent"/>
        <w:ind w:left="2160"/>
        <w:rPr>
          <w:rFonts w:ascii="Times New Roman" w:hAnsi="Times New Roman"/>
          <w:color w:val="000000" w:themeColor="text1"/>
        </w:rPr>
      </w:pPr>
    </w:p>
    <w:p w14:paraId="6FC6EA0D" w14:textId="77777777" w:rsidR="000351A0" w:rsidRPr="00895873" w:rsidRDefault="000351A0" w:rsidP="00631CEE">
      <w:pPr>
        <w:pStyle w:val="BodyTextIndent"/>
        <w:numPr>
          <w:ilvl w:val="0"/>
          <w:numId w:val="21"/>
        </w:numPr>
        <w:rPr>
          <w:rFonts w:ascii="Times New Roman" w:hAnsi="Times New Roman"/>
          <w:color w:val="000000" w:themeColor="text1"/>
        </w:rPr>
      </w:pPr>
      <w:r w:rsidRPr="00895873">
        <w:rPr>
          <w:rFonts w:ascii="Times New Roman" w:hAnsi="Times New Roman"/>
          <w:color w:val="000000" w:themeColor="text1"/>
        </w:rPr>
        <w:t>Teacher Access to Records</w:t>
      </w:r>
    </w:p>
    <w:p w14:paraId="3D0DE99C" w14:textId="77777777" w:rsidR="000351A0" w:rsidRPr="00895873" w:rsidRDefault="000351A0" w:rsidP="000351A0">
      <w:pPr>
        <w:pStyle w:val="BodyTextIndent"/>
        <w:ind w:left="2880"/>
        <w:rPr>
          <w:rFonts w:ascii="Times New Roman" w:hAnsi="Times New Roman"/>
          <w:color w:val="000000" w:themeColor="text1"/>
        </w:rPr>
      </w:pPr>
    </w:p>
    <w:p w14:paraId="59C7ED4C" w14:textId="77777777" w:rsidR="000351A0" w:rsidRPr="00895873" w:rsidRDefault="000351A0" w:rsidP="000351A0">
      <w:pPr>
        <w:pStyle w:val="BodyTextIndent"/>
        <w:ind w:left="2880" w:firstLine="0"/>
        <w:rPr>
          <w:rFonts w:ascii="Times New Roman" w:hAnsi="Times New Roman"/>
          <w:strike/>
          <w:color w:val="000000" w:themeColor="text1"/>
        </w:rPr>
      </w:pPr>
      <w:r w:rsidRPr="00895873">
        <w:rPr>
          <w:rFonts w:ascii="Times New Roman" w:hAnsi="Times New Roman"/>
          <w:color w:val="000000" w:themeColor="text1"/>
        </w:rPr>
        <w:t xml:space="preserve">The teacher may request and </w:t>
      </w:r>
      <w:r w:rsidR="00A8773A" w:rsidRPr="00895873">
        <w:rPr>
          <w:rFonts w:ascii="Times New Roman" w:hAnsi="Times New Roman"/>
          <w:color w:val="000000" w:themeColor="text1"/>
        </w:rPr>
        <w:t>is</w:t>
      </w:r>
      <w:r w:rsidRPr="00895873">
        <w:rPr>
          <w:rFonts w:ascii="Times New Roman" w:hAnsi="Times New Roman"/>
          <w:color w:val="000000" w:themeColor="text1"/>
        </w:rPr>
        <w:t xml:space="preserve"> entitled to receive any documentation regarding waivers requested or granted under this policy.</w:t>
      </w:r>
    </w:p>
    <w:p w14:paraId="65E75E77" w14:textId="77777777" w:rsidR="000351A0" w:rsidRPr="00895873" w:rsidRDefault="000351A0" w:rsidP="000351A0">
      <w:pPr>
        <w:ind w:left="2880" w:hanging="720"/>
        <w:jc w:val="both"/>
        <w:rPr>
          <w:color w:val="000000" w:themeColor="text1"/>
        </w:rPr>
      </w:pPr>
    </w:p>
    <w:p w14:paraId="781FDD9C" w14:textId="77777777" w:rsidR="000351A0" w:rsidRPr="00895873" w:rsidRDefault="000351A0" w:rsidP="001420AB">
      <w:pPr>
        <w:pStyle w:val="ListParagraph"/>
        <w:numPr>
          <w:ilvl w:val="0"/>
          <w:numId w:val="26"/>
        </w:numPr>
        <w:ind w:left="720" w:hanging="720"/>
        <w:jc w:val="both"/>
        <w:rPr>
          <w:color w:val="000000" w:themeColor="text1"/>
        </w:rPr>
      </w:pPr>
      <w:r w:rsidRPr="00895873">
        <w:rPr>
          <w:b/>
          <w:smallCaps/>
          <w:color w:val="000000" w:themeColor="text1"/>
        </w:rPr>
        <w:t>Non-</w:t>
      </w:r>
      <w:r w:rsidR="00FC7A09" w:rsidRPr="00895873">
        <w:rPr>
          <w:b/>
          <w:smallCaps/>
          <w:color w:val="000000" w:themeColor="text1"/>
        </w:rPr>
        <w:t>I</w:t>
      </w:r>
      <w:r w:rsidRPr="00895873">
        <w:rPr>
          <w:b/>
          <w:smallCaps/>
          <w:color w:val="000000" w:themeColor="text1"/>
        </w:rPr>
        <w:t>nstructional Duties</w:t>
      </w:r>
    </w:p>
    <w:p w14:paraId="79859677" w14:textId="77777777" w:rsidR="000351A0" w:rsidRPr="00895873" w:rsidRDefault="000351A0" w:rsidP="000351A0">
      <w:pPr>
        <w:jc w:val="both"/>
        <w:rPr>
          <w:color w:val="000000" w:themeColor="text1"/>
        </w:rPr>
      </w:pPr>
    </w:p>
    <w:p w14:paraId="14EA498C" w14:textId="77777777" w:rsidR="000351A0" w:rsidRPr="00895873" w:rsidRDefault="00373F62" w:rsidP="000351A0">
      <w:pPr>
        <w:ind w:left="720"/>
        <w:jc w:val="both"/>
        <w:rPr>
          <w:color w:val="000000" w:themeColor="text1"/>
        </w:rPr>
      </w:pPr>
      <w:r w:rsidRPr="00895873">
        <w:rPr>
          <w:color w:val="000000" w:themeColor="text1"/>
        </w:rPr>
        <w:t>The p</w:t>
      </w:r>
      <w:r w:rsidR="000351A0" w:rsidRPr="00895873">
        <w:rPr>
          <w:color w:val="000000" w:themeColor="text1"/>
        </w:rPr>
        <w:t xml:space="preserve">rincipal shall minimize the assignment of non-instructional duties to all </w:t>
      </w:r>
      <w:r w:rsidR="004B47BE" w:rsidRPr="00895873">
        <w:rPr>
          <w:color w:val="000000" w:themeColor="text1"/>
        </w:rPr>
        <w:t>teachers, including</w:t>
      </w:r>
      <w:r w:rsidR="000351A0" w:rsidRPr="00895873">
        <w:rPr>
          <w:color w:val="000000" w:themeColor="text1"/>
        </w:rPr>
        <w:t xml:space="preserve"> initially licensed teachers.  Specifically, teachers should not be required to use their daily planning periods on an ongoing and regular basis to supervise </w:t>
      </w:r>
      <w:r w:rsidRPr="00895873">
        <w:rPr>
          <w:color w:val="000000" w:themeColor="text1"/>
        </w:rPr>
        <w:t>scholar</w:t>
      </w:r>
      <w:r w:rsidR="000351A0" w:rsidRPr="00895873">
        <w:rPr>
          <w:color w:val="000000" w:themeColor="text1"/>
        </w:rPr>
        <w:t>s.  Planning periods generally should be reserved for course planning and meetings with other professional staff regarding the instructional program.</w:t>
      </w:r>
    </w:p>
    <w:p w14:paraId="7B142C24" w14:textId="77777777" w:rsidR="000351A0" w:rsidRPr="00895873" w:rsidRDefault="000351A0" w:rsidP="000351A0">
      <w:pPr>
        <w:jc w:val="both"/>
        <w:rPr>
          <w:color w:val="000000" w:themeColor="text1"/>
        </w:rPr>
      </w:pPr>
    </w:p>
    <w:p w14:paraId="4FEE4854" w14:textId="77777777" w:rsidR="000351A0" w:rsidRPr="00895873" w:rsidRDefault="000351A0" w:rsidP="00631CEE">
      <w:pPr>
        <w:numPr>
          <w:ilvl w:val="1"/>
          <w:numId w:val="24"/>
        </w:numPr>
        <w:jc w:val="both"/>
        <w:rPr>
          <w:color w:val="000000" w:themeColor="text1"/>
        </w:rPr>
      </w:pPr>
      <w:r w:rsidRPr="00895873">
        <w:rPr>
          <w:color w:val="000000" w:themeColor="text1"/>
        </w:rPr>
        <w:t>Non-</w:t>
      </w:r>
      <w:r w:rsidR="00FC7A09" w:rsidRPr="00895873">
        <w:rPr>
          <w:color w:val="000000" w:themeColor="text1"/>
        </w:rPr>
        <w:t>I</w:t>
      </w:r>
      <w:r w:rsidRPr="00895873">
        <w:rPr>
          <w:color w:val="000000" w:themeColor="text1"/>
        </w:rPr>
        <w:t>nstructional Duties Defined</w:t>
      </w:r>
    </w:p>
    <w:p w14:paraId="0359A40C" w14:textId="77777777" w:rsidR="000351A0" w:rsidRPr="00895873" w:rsidRDefault="000351A0" w:rsidP="000351A0">
      <w:pPr>
        <w:ind w:left="720"/>
        <w:jc w:val="both"/>
        <w:rPr>
          <w:color w:val="000000" w:themeColor="text1"/>
        </w:rPr>
      </w:pPr>
    </w:p>
    <w:p w14:paraId="20F7188F" w14:textId="77777777" w:rsidR="000351A0" w:rsidRPr="00895873" w:rsidRDefault="000351A0" w:rsidP="00631CEE">
      <w:pPr>
        <w:pStyle w:val="BodyTextIndent"/>
        <w:widowControl/>
        <w:ind w:left="1440" w:firstLine="0"/>
        <w:rPr>
          <w:rFonts w:ascii="Times New Roman" w:hAnsi="Times New Roman"/>
          <w:snapToGrid/>
          <w:color w:val="000000" w:themeColor="text1"/>
        </w:rPr>
      </w:pPr>
      <w:r w:rsidRPr="00895873">
        <w:rPr>
          <w:rFonts w:ascii="Times New Roman" w:hAnsi="Times New Roman"/>
          <w:snapToGrid/>
          <w:color w:val="000000" w:themeColor="text1"/>
        </w:rPr>
        <w:t xml:space="preserve">Non-instructional duties </w:t>
      </w:r>
      <w:r w:rsidR="005253C8" w:rsidRPr="00895873">
        <w:rPr>
          <w:rFonts w:ascii="Times New Roman" w:hAnsi="Times New Roman"/>
          <w:snapToGrid/>
          <w:color w:val="000000" w:themeColor="text1"/>
        </w:rPr>
        <w:t xml:space="preserve">refer to </w:t>
      </w:r>
      <w:r w:rsidRPr="00895873">
        <w:rPr>
          <w:rFonts w:ascii="Times New Roman" w:hAnsi="Times New Roman"/>
          <w:snapToGrid/>
          <w:color w:val="000000" w:themeColor="text1"/>
        </w:rPr>
        <w:t xml:space="preserve">those duties that are not </w:t>
      </w:r>
      <w:r w:rsidR="00285A19" w:rsidRPr="00895873">
        <w:rPr>
          <w:rFonts w:ascii="Times New Roman" w:hAnsi="Times New Roman"/>
          <w:snapToGrid/>
          <w:color w:val="000000" w:themeColor="text1"/>
        </w:rPr>
        <w:t xml:space="preserve">directly involved with the instructional program or the implementation of the </w:t>
      </w:r>
      <w:r w:rsidR="00AE22CA" w:rsidRPr="00895873">
        <w:rPr>
          <w:color w:val="000000" w:themeColor="text1"/>
        </w:rPr>
        <w:t>current statewide instructional standards</w:t>
      </w:r>
      <w:r w:rsidR="00285A19" w:rsidRPr="00895873">
        <w:rPr>
          <w:rFonts w:ascii="Times New Roman" w:hAnsi="Times New Roman"/>
          <w:snapToGrid/>
          <w:color w:val="000000" w:themeColor="text1"/>
        </w:rPr>
        <w:t>, but that all teachers are expected to do</w:t>
      </w:r>
      <w:r w:rsidRPr="00895873">
        <w:rPr>
          <w:rFonts w:ascii="Times New Roman" w:hAnsi="Times New Roman"/>
          <w:snapToGrid/>
          <w:color w:val="000000" w:themeColor="text1"/>
        </w:rPr>
        <w:t>.  Th</w:t>
      </w:r>
      <w:r w:rsidR="00A9637F" w:rsidRPr="00895873">
        <w:rPr>
          <w:rFonts w:ascii="Times New Roman" w:hAnsi="Times New Roman"/>
          <w:snapToGrid/>
          <w:color w:val="000000" w:themeColor="text1"/>
        </w:rPr>
        <w:t>ese duties</w:t>
      </w:r>
      <w:r w:rsidRPr="00895873">
        <w:rPr>
          <w:rFonts w:ascii="Times New Roman" w:hAnsi="Times New Roman"/>
          <w:snapToGrid/>
          <w:color w:val="000000" w:themeColor="text1"/>
        </w:rPr>
        <w:t xml:space="preserve"> include such things as bus duty, carpool duty</w:t>
      </w:r>
      <w:r w:rsidR="00D02456" w:rsidRPr="00895873">
        <w:rPr>
          <w:rFonts w:ascii="Times New Roman" w:hAnsi="Times New Roman"/>
          <w:snapToGrid/>
          <w:color w:val="000000" w:themeColor="text1"/>
        </w:rPr>
        <w:t>,</w:t>
      </w:r>
      <w:r w:rsidRPr="00895873">
        <w:rPr>
          <w:rFonts w:ascii="Times New Roman" w:hAnsi="Times New Roman"/>
          <w:snapToGrid/>
          <w:color w:val="000000" w:themeColor="text1"/>
        </w:rPr>
        <w:t xml:space="preserve"> and regular and ongoing use of planning periods to monitor hallways and cafeterias.  Nothing in this policy should be construed to relieve teachers of the responsibility to provide for the safety and supervision of </w:t>
      </w:r>
      <w:r w:rsidR="00373F62" w:rsidRPr="00895873">
        <w:rPr>
          <w:rFonts w:ascii="Times New Roman" w:hAnsi="Times New Roman"/>
          <w:snapToGrid/>
          <w:color w:val="000000" w:themeColor="text1"/>
        </w:rPr>
        <w:t>scholar</w:t>
      </w:r>
      <w:r w:rsidRPr="00895873">
        <w:rPr>
          <w:rFonts w:ascii="Times New Roman" w:hAnsi="Times New Roman"/>
          <w:snapToGrid/>
          <w:color w:val="000000" w:themeColor="text1"/>
        </w:rPr>
        <w:t>s during regular school hours, as necessary to maintain order and discipline in the school.</w:t>
      </w:r>
    </w:p>
    <w:p w14:paraId="4275E244" w14:textId="77777777" w:rsidR="000351A0" w:rsidRPr="00895873" w:rsidRDefault="000351A0" w:rsidP="000351A0">
      <w:pPr>
        <w:ind w:left="720" w:firstLine="720"/>
        <w:jc w:val="both"/>
        <w:rPr>
          <w:color w:val="000000" w:themeColor="text1"/>
        </w:rPr>
      </w:pPr>
    </w:p>
    <w:p w14:paraId="3F762D02" w14:textId="77777777" w:rsidR="000351A0" w:rsidRPr="00895873" w:rsidRDefault="000351A0" w:rsidP="006161E8">
      <w:pPr>
        <w:numPr>
          <w:ilvl w:val="1"/>
          <w:numId w:val="24"/>
        </w:numPr>
        <w:jc w:val="both"/>
        <w:rPr>
          <w:color w:val="000000" w:themeColor="text1"/>
        </w:rPr>
      </w:pPr>
      <w:r w:rsidRPr="00895873">
        <w:rPr>
          <w:color w:val="000000" w:themeColor="text1"/>
        </w:rPr>
        <w:t>Distribution of Non-</w:t>
      </w:r>
      <w:r w:rsidR="00FC7A09" w:rsidRPr="00895873">
        <w:rPr>
          <w:color w:val="000000" w:themeColor="text1"/>
        </w:rPr>
        <w:t>I</w:t>
      </w:r>
      <w:r w:rsidRPr="00895873">
        <w:rPr>
          <w:color w:val="000000" w:themeColor="text1"/>
        </w:rPr>
        <w:t xml:space="preserve">nstructional Duties  </w:t>
      </w:r>
    </w:p>
    <w:p w14:paraId="33A98B8E" w14:textId="77777777" w:rsidR="000351A0" w:rsidRPr="00895873" w:rsidRDefault="000351A0" w:rsidP="000351A0">
      <w:pPr>
        <w:ind w:left="720"/>
        <w:jc w:val="both"/>
        <w:rPr>
          <w:color w:val="000000" w:themeColor="text1"/>
        </w:rPr>
      </w:pPr>
    </w:p>
    <w:p w14:paraId="0A5B9AA9" w14:textId="77777777" w:rsidR="000351A0" w:rsidRPr="00895873" w:rsidRDefault="000351A0" w:rsidP="000351A0">
      <w:pPr>
        <w:ind w:left="1440"/>
        <w:jc w:val="both"/>
        <w:rPr>
          <w:color w:val="000000" w:themeColor="text1"/>
        </w:rPr>
      </w:pPr>
      <w:r w:rsidRPr="00895873">
        <w:rPr>
          <w:color w:val="000000" w:themeColor="text1"/>
        </w:rPr>
        <w:t xml:space="preserve">Non-instructional duties should be distributed equitably among employees to the extent </w:t>
      </w:r>
      <w:r w:rsidR="00A9637F" w:rsidRPr="00895873">
        <w:rPr>
          <w:color w:val="000000" w:themeColor="text1"/>
        </w:rPr>
        <w:t xml:space="preserve">that </w:t>
      </w:r>
      <w:r w:rsidRPr="00895873">
        <w:rPr>
          <w:color w:val="000000" w:themeColor="text1"/>
        </w:rPr>
        <w:t>it is reasonably possible to do so.  In assigning non-instructional duties, consideration should be given to the need for initially licensed teachers to have adequate professional development, planning time</w:t>
      </w:r>
      <w:r w:rsidR="00D02456" w:rsidRPr="00895873">
        <w:rPr>
          <w:color w:val="000000" w:themeColor="text1"/>
        </w:rPr>
        <w:t>,</w:t>
      </w:r>
      <w:r w:rsidRPr="00895873">
        <w:rPr>
          <w:color w:val="000000" w:themeColor="text1"/>
        </w:rPr>
        <w:t xml:space="preserve"> and</w:t>
      </w:r>
      <w:r w:rsidR="0066690F" w:rsidRPr="00895873">
        <w:rPr>
          <w:color w:val="000000" w:themeColor="text1"/>
        </w:rPr>
        <w:t xml:space="preserve"> </w:t>
      </w:r>
      <w:r w:rsidRPr="00895873">
        <w:rPr>
          <w:color w:val="000000" w:themeColor="text1"/>
        </w:rPr>
        <w:t xml:space="preserve">access to </w:t>
      </w:r>
      <w:r w:rsidR="00B01655" w:rsidRPr="00895873">
        <w:rPr>
          <w:color w:val="000000" w:themeColor="text1"/>
        </w:rPr>
        <w:t xml:space="preserve">more </w:t>
      </w:r>
      <w:r w:rsidRPr="00895873">
        <w:rPr>
          <w:color w:val="000000" w:themeColor="text1"/>
        </w:rPr>
        <w:t>experienced teachers</w:t>
      </w:r>
      <w:r w:rsidR="004A0B77" w:rsidRPr="00895873">
        <w:rPr>
          <w:color w:val="000000" w:themeColor="text1"/>
        </w:rPr>
        <w:t xml:space="preserve"> who can share</w:t>
      </w:r>
      <w:r w:rsidRPr="00895873">
        <w:rPr>
          <w:color w:val="000000" w:themeColor="text1"/>
        </w:rPr>
        <w:t xml:space="preserve"> their expertise.</w:t>
      </w:r>
      <w:r w:rsidR="001420AB" w:rsidRPr="00895873">
        <w:rPr>
          <w:color w:val="000000" w:themeColor="text1"/>
        </w:rPr>
        <w:t xml:space="preserve">  </w:t>
      </w:r>
      <w:r w:rsidR="00373F62" w:rsidRPr="00895873">
        <w:rPr>
          <w:color w:val="000000" w:themeColor="text1"/>
        </w:rPr>
        <w:t>The p</w:t>
      </w:r>
      <w:r w:rsidRPr="00895873">
        <w:rPr>
          <w:color w:val="000000" w:themeColor="text1"/>
        </w:rPr>
        <w:t>rincipa</w:t>
      </w:r>
      <w:r w:rsidR="00373F62" w:rsidRPr="00895873">
        <w:rPr>
          <w:color w:val="000000" w:themeColor="text1"/>
        </w:rPr>
        <w:t>l</w:t>
      </w:r>
      <w:r w:rsidRPr="00895873">
        <w:rPr>
          <w:color w:val="000000" w:themeColor="text1"/>
        </w:rPr>
        <w:t xml:space="preserve"> </w:t>
      </w:r>
      <w:r w:rsidR="00373F62" w:rsidRPr="00895873">
        <w:rPr>
          <w:color w:val="000000" w:themeColor="text1"/>
        </w:rPr>
        <w:t xml:space="preserve">is </w:t>
      </w:r>
      <w:r w:rsidRPr="00895873">
        <w:rPr>
          <w:color w:val="000000" w:themeColor="text1"/>
        </w:rPr>
        <w:t xml:space="preserve">responsible for structuring </w:t>
      </w:r>
      <w:r w:rsidR="00394EDE" w:rsidRPr="00895873">
        <w:rPr>
          <w:color w:val="000000" w:themeColor="text1"/>
        </w:rPr>
        <w:t>these</w:t>
      </w:r>
      <w:r w:rsidRPr="00895873">
        <w:rPr>
          <w:color w:val="000000" w:themeColor="text1"/>
        </w:rPr>
        <w:t xml:space="preserve"> opportunities in a way that will be beneficial to the</w:t>
      </w:r>
      <w:r w:rsidR="00EA7B68" w:rsidRPr="00895873">
        <w:rPr>
          <w:color w:val="000000" w:themeColor="text1"/>
        </w:rPr>
        <w:t xml:space="preserve"> </w:t>
      </w:r>
      <w:r w:rsidR="00373F62" w:rsidRPr="00895873">
        <w:rPr>
          <w:color w:val="000000" w:themeColor="text1"/>
        </w:rPr>
        <w:t>scholar</w:t>
      </w:r>
      <w:r w:rsidR="00EA7B68" w:rsidRPr="00895873">
        <w:rPr>
          <w:color w:val="000000" w:themeColor="text1"/>
        </w:rPr>
        <w:t>s and employees a</w:t>
      </w:r>
      <w:r w:rsidR="006776F6" w:rsidRPr="00895873">
        <w:rPr>
          <w:color w:val="000000" w:themeColor="text1"/>
        </w:rPr>
        <w:t>t</w:t>
      </w:r>
      <w:r w:rsidR="00EA7B68" w:rsidRPr="00895873">
        <w:rPr>
          <w:color w:val="000000" w:themeColor="text1"/>
        </w:rPr>
        <w:t xml:space="preserve"> </w:t>
      </w:r>
      <w:r w:rsidR="00373F62" w:rsidRPr="00895873">
        <w:rPr>
          <w:color w:val="000000" w:themeColor="text1"/>
        </w:rPr>
        <w:t>NERSBA</w:t>
      </w:r>
      <w:r w:rsidRPr="00895873">
        <w:rPr>
          <w:color w:val="000000" w:themeColor="text1"/>
        </w:rPr>
        <w:t>.</w:t>
      </w:r>
    </w:p>
    <w:p w14:paraId="7748F139" w14:textId="77777777" w:rsidR="000351A0" w:rsidRPr="00895873" w:rsidRDefault="000351A0" w:rsidP="000351A0">
      <w:pPr>
        <w:jc w:val="both"/>
        <w:rPr>
          <w:color w:val="000000" w:themeColor="text1"/>
        </w:rPr>
      </w:pPr>
    </w:p>
    <w:p w14:paraId="445B21E0" w14:textId="77777777" w:rsidR="000351A0" w:rsidRPr="00895873" w:rsidRDefault="000351A0" w:rsidP="006161E8">
      <w:pPr>
        <w:pStyle w:val="ListParagraph"/>
        <w:numPr>
          <w:ilvl w:val="0"/>
          <w:numId w:val="26"/>
        </w:numPr>
        <w:ind w:left="720" w:hanging="720"/>
        <w:jc w:val="both"/>
        <w:rPr>
          <w:b/>
          <w:smallCaps/>
          <w:color w:val="000000" w:themeColor="text1"/>
        </w:rPr>
      </w:pPr>
      <w:r w:rsidRPr="00895873">
        <w:rPr>
          <w:b/>
          <w:smallCaps/>
          <w:color w:val="000000" w:themeColor="text1"/>
        </w:rPr>
        <w:t>Evaluation</w:t>
      </w:r>
    </w:p>
    <w:p w14:paraId="772F661D" w14:textId="77777777" w:rsidR="000351A0" w:rsidRPr="00895873" w:rsidRDefault="000351A0" w:rsidP="000351A0">
      <w:pPr>
        <w:jc w:val="both"/>
        <w:rPr>
          <w:b/>
          <w:color w:val="000000" w:themeColor="text1"/>
        </w:rPr>
      </w:pPr>
    </w:p>
    <w:p w14:paraId="706D5B45" w14:textId="77777777" w:rsidR="000351A0" w:rsidRPr="00895873" w:rsidRDefault="000351A0" w:rsidP="006161E8">
      <w:pPr>
        <w:pStyle w:val="BodyTextIndent2"/>
        <w:ind w:left="720"/>
        <w:rPr>
          <w:rFonts w:ascii="Times New Roman" w:hAnsi="Times New Roman"/>
          <w:color w:val="000000" w:themeColor="text1"/>
        </w:rPr>
      </w:pPr>
      <w:r w:rsidRPr="00895873">
        <w:rPr>
          <w:rFonts w:ascii="Times New Roman" w:hAnsi="Times New Roman"/>
          <w:color w:val="000000" w:themeColor="text1"/>
        </w:rPr>
        <w:t xml:space="preserve">The failure of an </w:t>
      </w:r>
      <w:r w:rsidR="00B01655" w:rsidRPr="00895873">
        <w:rPr>
          <w:rFonts w:ascii="Times New Roman" w:hAnsi="Times New Roman"/>
          <w:color w:val="000000" w:themeColor="text1"/>
        </w:rPr>
        <w:t xml:space="preserve">initially licensed </w:t>
      </w:r>
      <w:r w:rsidRPr="00895873">
        <w:rPr>
          <w:rFonts w:ascii="Times New Roman" w:hAnsi="Times New Roman"/>
          <w:color w:val="000000" w:themeColor="text1"/>
        </w:rPr>
        <w:t xml:space="preserve">teacher to volunteer to perform extracurricular duties </w:t>
      </w:r>
      <w:r w:rsidR="00EE3E74" w:rsidRPr="00895873">
        <w:rPr>
          <w:rFonts w:ascii="Times New Roman" w:hAnsi="Times New Roman"/>
          <w:color w:val="000000" w:themeColor="text1"/>
        </w:rPr>
        <w:t>is</w:t>
      </w:r>
      <w:r w:rsidR="00403BA7" w:rsidRPr="00895873">
        <w:rPr>
          <w:rFonts w:ascii="Times New Roman" w:hAnsi="Times New Roman"/>
          <w:color w:val="000000" w:themeColor="text1"/>
        </w:rPr>
        <w:t xml:space="preserve"> </w:t>
      </w:r>
      <w:r w:rsidRPr="00895873">
        <w:rPr>
          <w:rFonts w:ascii="Times New Roman" w:hAnsi="Times New Roman"/>
          <w:color w:val="000000" w:themeColor="text1"/>
        </w:rPr>
        <w:t xml:space="preserve">not appropriate grounds to lower the teacher’s evaluation </w:t>
      </w:r>
      <w:r w:rsidR="00EE3E74" w:rsidRPr="00895873">
        <w:rPr>
          <w:rFonts w:ascii="Times New Roman" w:hAnsi="Times New Roman"/>
          <w:color w:val="000000" w:themeColor="text1"/>
        </w:rPr>
        <w:t xml:space="preserve">or </w:t>
      </w:r>
      <w:r w:rsidRPr="00895873">
        <w:rPr>
          <w:rFonts w:ascii="Times New Roman" w:hAnsi="Times New Roman"/>
          <w:color w:val="000000" w:themeColor="text1"/>
        </w:rPr>
        <w:t xml:space="preserve">just cause for </w:t>
      </w:r>
      <w:r w:rsidR="00EE3E74" w:rsidRPr="00895873">
        <w:rPr>
          <w:rFonts w:ascii="Times New Roman" w:hAnsi="Times New Roman"/>
          <w:color w:val="000000" w:themeColor="text1"/>
        </w:rPr>
        <w:t xml:space="preserve">a </w:t>
      </w:r>
      <w:r w:rsidRPr="00895873">
        <w:rPr>
          <w:rFonts w:ascii="Times New Roman" w:hAnsi="Times New Roman"/>
          <w:color w:val="000000" w:themeColor="text1"/>
        </w:rPr>
        <w:t xml:space="preserve">less than </w:t>
      </w:r>
      <w:r w:rsidR="00D02456" w:rsidRPr="00895873">
        <w:rPr>
          <w:rFonts w:ascii="Times New Roman" w:hAnsi="Times New Roman"/>
          <w:color w:val="000000" w:themeColor="text1"/>
        </w:rPr>
        <w:t xml:space="preserve">proficient </w:t>
      </w:r>
      <w:r w:rsidRPr="00895873">
        <w:rPr>
          <w:rFonts w:ascii="Times New Roman" w:hAnsi="Times New Roman"/>
          <w:color w:val="000000" w:themeColor="text1"/>
        </w:rPr>
        <w:t xml:space="preserve">evaluation </w:t>
      </w:r>
      <w:r w:rsidR="00561DA1" w:rsidRPr="00895873">
        <w:rPr>
          <w:rFonts w:ascii="Times New Roman" w:hAnsi="Times New Roman"/>
          <w:color w:val="000000" w:themeColor="text1"/>
        </w:rPr>
        <w:t xml:space="preserve">rating </w:t>
      </w:r>
      <w:r w:rsidRPr="00895873">
        <w:rPr>
          <w:rFonts w:ascii="Times New Roman" w:hAnsi="Times New Roman"/>
          <w:color w:val="000000" w:themeColor="text1"/>
        </w:rPr>
        <w:t xml:space="preserve">of an </w:t>
      </w:r>
      <w:r w:rsidR="00B01655" w:rsidRPr="00895873">
        <w:rPr>
          <w:rFonts w:ascii="Times New Roman" w:hAnsi="Times New Roman"/>
          <w:color w:val="000000" w:themeColor="text1"/>
        </w:rPr>
        <w:t xml:space="preserve">initially licensed </w:t>
      </w:r>
      <w:r w:rsidRPr="00895873">
        <w:rPr>
          <w:rFonts w:ascii="Times New Roman" w:hAnsi="Times New Roman"/>
          <w:color w:val="000000" w:themeColor="text1"/>
        </w:rPr>
        <w:t>teacher, provided that the teacher has conducted himself</w:t>
      </w:r>
      <w:r w:rsidR="00FC7A09" w:rsidRPr="00895873">
        <w:rPr>
          <w:rFonts w:ascii="Times New Roman" w:hAnsi="Times New Roman"/>
          <w:color w:val="000000" w:themeColor="text1"/>
        </w:rPr>
        <w:t xml:space="preserve"> or </w:t>
      </w:r>
      <w:r w:rsidRPr="00895873">
        <w:rPr>
          <w:rFonts w:ascii="Times New Roman" w:hAnsi="Times New Roman"/>
          <w:color w:val="000000" w:themeColor="text1"/>
        </w:rPr>
        <w:t xml:space="preserve">herself in a professional manner when declining to accept extracurricular duties.  </w:t>
      </w:r>
      <w:r w:rsidR="0088761F" w:rsidRPr="00895873">
        <w:rPr>
          <w:rFonts w:ascii="Times New Roman" w:hAnsi="Times New Roman"/>
          <w:color w:val="000000" w:themeColor="text1"/>
        </w:rPr>
        <w:t>However</w:t>
      </w:r>
      <w:r w:rsidRPr="00895873">
        <w:rPr>
          <w:rFonts w:ascii="Times New Roman" w:hAnsi="Times New Roman"/>
          <w:color w:val="000000" w:themeColor="text1"/>
        </w:rPr>
        <w:t>, a teacher’s failure to perform an assigned non-instructional or extracurricular duty in a competent and professional manner may be considered as a part of the teacher’s evaluation.</w:t>
      </w:r>
    </w:p>
    <w:p w14:paraId="2E536645" w14:textId="77777777" w:rsidR="000351A0" w:rsidRPr="00895873" w:rsidRDefault="000351A0" w:rsidP="00114663">
      <w:pPr>
        <w:jc w:val="both"/>
        <w:rPr>
          <w:color w:val="000000" w:themeColor="text1"/>
        </w:rPr>
      </w:pPr>
    </w:p>
    <w:p w14:paraId="508736D0" w14:textId="77777777" w:rsidR="000351A0" w:rsidRPr="00895873" w:rsidRDefault="000351A0" w:rsidP="000351A0">
      <w:pPr>
        <w:jc w:val="both"/>
        <w:rPr>
          <w:color w:val="000000" w:themeColor="text1"/>
        </w:rPr>
      </w:pPr>
      <w:r w:rsidRPr="00895873">
        <w:rPr>
          <w:color w:val="000000" w:themeColor="text1"/>
        </w:rPr>
        <w:t>Legal References:  G.S. 115C-47(18a), -301.1</w:t>
      </w:r>
      <w:r w:rsidR="004D43C8" w:rsidRPr="00895873">
        <w:rPr>
          <w:color w:val="000000" w:themeColor="text1"/>
        </w:rPr>
        <w:t>; State Board of Education Policy TCP-A-004</w:t>
      </w:r>
    </w:p>
    <w:p w14:paraId="6E4EA9EB" w14:textId="77777777" w:rsidR="000351A0" w:rsidRPr="00895873" w:rsidRDefault="000351A0" w:rsidP="000351A0">
      <w:pPr>
        <w:jc w:val="both"/>
        <w:rPr>
          <w:color w:val="000000" w:themeColor="text1"/>
        </w:rPr>
      </w:pPr>
    </w:p>
    <w:p w14:paraId="5AD98CD6" w14:textId="77777777" w:rsidR="0030637E" w:rsidRPr="00895873" w:rsidRDefault="000351A0" w:rsidP="000351A0">
      <w:pPr>
        <w:jc w:val="both"/>
        <w:rPr>
          <w:color w:val="000000" w:themeColor="text1"/>
        </w:rPr>
      </w:pPr>
      <w:r w:rsidRPr="00895873">
        <w:rPr>
          <w:color w:val="000000" w:themeColor="text1"/>
        </w:rPr>
        <w:t>Cross References:</w:t>
      </w:r>
    </w:p>
    <w:p w14:paraId="66FCE04E" w14:textId="77777777" w:rsidR="005253C8" w:rsidRPr="00895873" w:rsidRDefault="005253C8" w:rsidP="000351A0">
      <w:pPr>
        <w:jc w:val="both"/>
        <w:rPr>
          <w:color w:val="000000" w:themeColor="text1"/>
        </w:rPr>
      </w:pPr>
    </w:p>
    <w:p w14:paraId="0E360620" w14:textId="343B0853" w:rsidR="00A462D6" w:rsidRPr="00895873" w:rsidRDefault="00A462D6" w:rsidP="00A462D6">
      <w:pPr>
        <w:jc w:val="both"/>
        <w:rPr>
          <w:color w:val="000000" w:themeColor="text1"/>
        </w:rPr>
      </w:pPr>
      <w:r w:rsidRPr="00895873">
        <w:rPr>
          <w:color w:val="000000" w:themeColor="text1"/>
        </w:rPr>
        <w:t>Adopt</w:t>
      </w:r>
      <w:r w:rsidR="00F61CF3" w:rsidRPr="00895873">
        <w:rPr>
          <w:color w:val="000000" w:themeColor="text1"/>
        </w:rPr>
        <w:t>ed</w:t>
      </w:r>
      <w:r w:rsidR="0030637E" w:rsidRPr="00895873">
        <w:rPr>
          <w:color w:val="000000" w:themeColor="text1"/>
        </w:rPr>
        <w:t xml:space="preserve">:  </w:t>
      </w:r>
      <w:r w:rsidR="00BE29ED" w:rsidRPr="00895873">
        <w:rPr>
          <w:color w:val="000000" w:themeColor="text1"/>
        </w:rPr>
        <w:t>June 17, 2020</w:t>
      </w:r>
    </w:p>
    <w:p w14:paraId="57BB2AF2" w14:textId="364DCEED" w:rsidR="00895873" w:rsidRPr="00895873" w:rsidRDefault="00895873" w:rsidP="00A462D6">
      <w:pPr>
        <w:jc w:val="both"/>
        <w:rPr>
          <w:color w:val="000000" w:themeColor="text1"/>
        </w:rPr>
      </w:pPr>
      <w:r w:rsidRPr="00895873">
        <w:rPr>
          <w:color w:val="000000" w:themeColor="text1"/>
        </w:rPr>
        <w:t>Revised: July 20, 2022</w:t>
      </w:r>
    </w:p>
    <w:p w14:paraId="4995C1C8" w14:textId="77777777" w:rsidR="00644EBC" w:rsidRPr="00381F6D" w:rsidRDefault="00644EBC" w:rsidP="000351A0">
      <w:pPr>
        <w:jc w:val="both"/>
      </w:pPr>
    </w:p>
    <w:sectPr w:rsidR="00644EBC" w:rsidRPr="00381F6D" w:rsidSect="00280C45">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E8E8" w14:textId="77777777" w:rsidR="007F2692" w:rsidRDefault="007F2692">
      <w:r>
        <w:separator/>
      </w:r>
    </w:p>
  </w:endnote>
  <w:endnote w:type="continuationSeparator" w:id="0">
    <w:p w14:paraId="5FDBAAA3" w14:textId="77777777" w:rsidR="007F2692" w:rsidRDefault="007F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638E" w14:textId="77777777" w:rsidR="00C1197A" w:rsidRDefault="00C1197A" w:rsidP="004D6AAE">
    <w:pPr>
      <w:spacing w:line="240" w:lineRule="exact"/>
      <w:ind w:right="-360"/>
    </w:pPr>
  </w:p>
  <w:p w14:paraId="26E01D99" w14:textId="77777777" w:rsidR="00C1197A" w:rsidRDefault="00A462D6" w:rsidP="004D6AAE">
    <w:pPr>
      <w:spacing w:line="109" w:lineRule="exact"/>
    </w:pPr>
    <w:r>
      <w:rPr>
        <w:i/>
        <w:noProof/>
        <w:snapToGrid/>
        <w:sz w:val="16"/>
      </w:rPr>
      <mc:AlternateContent>
        <mc:Choice Requires="wps">
          <w:drawing>
            <wp:anchor distT="0" distB="0" distL="114300" distR="114300" simplePos="0" relativeHeight="251658240" behindDoc="0" locked="0" layoutInCell="1" allowOverlap="1" wp14:anchorId="25D71BC8" wp14:editId="48518ED7">
              <wp:simplePos x="0" y="0"/>
              <wp:positionH relativeFrom="column">
                <wp:posOffset>0</wp:posOffset>
              </wp:positionH>
              <wp:positionV relativeFrom="paragraph">
                <wp:posOffset>17780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8A6AA"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8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" strokeweight="4.5pt">
              <v:stroke linestyle="thickThin"/>
            </v:line>
          </w:pict>
        </mc:Fallback>
      </mc:AlternateContent>
    </w:r>
  </w:p>
  <w:p w14:paraId="7EDC3658" w14:textId="77777777" w:rsidR="00C1197A" w:rsidRPr="00A462D6" w:rsidRDefault="004D3A64" w:rsidP="00A462D6">
    <w:pPr>
      <w:tabs>
        <w:tab w:val="right" w:pos="9360"/>
      </w:tabs>
      <w:autoSpaceDE w:val="0"/>
      <w:autoSpaceDN w:val="0"/>
      <w:adjustRightInd w:val="0"/>
      <w:ind w:right="720"/>
      <w:jc w:val="both"/>
      <w:rPr>
        <w:szCs w:val="24"/>
      </w:rPr>
    </w:pPr>
    <w:r>
      <w:rPr>
        <w:b/>
      </w:rPr>
      <w:t>NE REGIONAL SCHOOL BOARD OF DIRECTORS POLICY MANUAL</w:t>
    </w:r>
    <w:r w:rsidR="00A462D6">
      <w:rPr>
        <w:b/>
        <w:szCs w:val="24"/>
      </w:rPr>
      <w:tab/>
    </w:r>
    <w:r w:rsidR="00A462D6" w:rsidRPr="00A462D6">
      <w:rPr>
        <w:szCs w:val="24"/>
      </w:rPr>
      <w:t xml:space="preserve">Page </w:t>
    </w:r>
    <w:r w:rsidR="00A462D6" w:rsidRPr="00A462D6">
      <w:rPr>
        <w:szCs w:val="24"/>
      </w:rPr>
      <w:fldChar w:fldCharType="begin"/>
    </w:r>
    <w:r w:rsidR="00A462D6" w:rsidRPr="00A462D6">
      <w:rPr>
        <w:szCs w:val="24"/>
      </w:rPr>
      <w:instrText xml:space="preserve"> PAGE  \* Arabic  \* MERGEFORMAT </w:instrText>
    </w:r>
    <w:r w:rsidR="00A462D6" w:rsidRPr="00A462D6">
      <w:rPr>
        <w:szCs w:val="24"/>
      </w:rPr>
      <w:fldChar w:fldCharType="separate"/>
    </w:r>
    <w:r w:rsidR="002F46C2">
      <w:rPr>
        <w:noProof/>
        <w:szCs w:val="24"/>
      </w:rPr>
      <w:t>3</w:t>
    </w:r>
    <w:r w:rsidR="00A462D6" w:rsidRPr="00A462D6">
      <w:rPr>
        <w:szCs w:val="24"/>
      </w:rPr>
      <w:fldChar w:fldCharType="end"/>
    </w:r>
    <w:r w:rsidR="00A462D6" w:rsidRPr="00A462D6">
      <w:rPr>
        <w:szCs w:val="24"/>
      </w:rPr>
      <w:t xml:space="preserve"> of </w:t>
    </w:r>
    <w:r w:rsidR="00A462D6" w:rsidRPr="00A462D6">
      <w:rPr>
        <w:szCs w:val="24"/>
      </w:rPr>
      <w:fldChar w:fldCharType="begin"/>
    </w:r>
    <w:r w:rsidR="00A462D6" w:rsidRPr="00A462D6">
      <w:rPr>
        <w:szCs w:val="24"/>
      </w:rPr>
      <w:instrText xml:space="preserve"> NUMPAGES  \* Arabic  \* MERGEFORMAT </w:instrText>
    </w:r>
    <w:r w:rsidR="00A462D6" w:rsidRPr="00A462D6">
      <w:rPr>
        <w:szCs w:val="24"/>
      </w:rPr>
      <w:fldChar w:fldCharType="separate"/>
    </w:r>
    <w:r w:rsidR="002F46C2">
      <w:rPr>
        <w:noProof/>
        <w:szCs w:val="24"/>
      </w:rPr>
      <w:t>4</w:t>
    </w:r>
    <w:r w:rsidR="00A462D6" w:rsidRPr="00A462D6">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FE01" w14:textId="77777777" w:rsidR="007F2692" w:rsidRDefault="007F2692">
      <w:r>
        <w:separator/>
      </w:r>
    </w:p>
  </w:footnote>
  <w:footnote w:type="continuationSeparator" w:id="0">
    <w:p w14:paraId="4213AE6D" w14:textId="77777777" w:rsidR="007F2692" w:rsidRDefault="007F2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D1AD" w14:textId="77777777" w:rsidR="00C1197A" w:rsidRDefault="00C1197A" w:rsidP="004D6AAE">
    <w:pPr>
      <w:pStyle w:val="FootnoteText"/>
      <w:rPr>
        <w:i/>
      </w:rPr>
    </w:pPr>
  </w:p>
  <w:p w14:paraId="6530A7B2" w14:textId="77777777" w:rsidR="00C1197A" w:rsidRDefault="00C11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BDF" w14:textId="77777777" w:rsidR="00C1197A" w:rsidRDefault="00C1197A" w:rsidP="00280C45">
    <w:pPr>
      <w:tabs>
        <w:tab w:val="left" w:pos="6840"/>
        <w:tab w:val="right" w:pos="9360"/>
      </w:tabs>
      <w:ind w:firstLine="6840"/>
      <w:rPr>
        <w:rFonts w:ascii="CG Times (W1)" w:hAnsi="CG Times (W1)"/>
      </w:rPr>
    </w:pPr>
    <w:r>
      <w:rPr>
        <w:rFonts w:ascii="CG Times (W1)" w:hAnsi="CG Times (W1)"/>
        <w:i/>
        <w:sz w:val="20"/>
      </w:rPr>
      <w:t>Policy Code:</w:t>
    </w:r>
    <w:r>
      <w:rPr>
        <w:rFonts w:ascii="CG Times (W1)" w:hAnsi="CG Times (W1)"/>
      </w:rPr>
      <w:tab/>
    </w:r>
    <w:r>
      <w:rPr>
        <w:rFonts w:ascii="CG Times (W1)" w:hAnsi="CG Times (W1)"/>
        <w:b/>
      </w:rPr>
      <w:t>7405</w:t>
    </w:r>
  </w:p>
  <w:p w14:paraId="4C9BE6E3" w14:textId="77777777" w:rsidR="00C1197A" w:rsidRDefault="00AE22CA" w:rsidP="00280C45">
    <w:pPr>
      <w:tabs>
        <w:tab w:val="left" w:pos="6840"/>
        <w:tab w:val="right" w:pos="9360"/>
      </w:tabs>
      <w:spacing w:line="109" w:lineRule="exact"/>
      <w:rPr>
        <w:rFonts w:ascii="CG Times (W1)" w:hAnsi="CG Times (W1)"/>
      </w:rPr>
    </w:pPr>
    <w:r>
      <w:rPr>
        <w:rFonts w:ascii="CG Times (W1)" w:hAnsi="CG Times (W1)"/>
        <w:noProof/>
        <w:snapToGrid/>
      </w:rPr>
      <mc:AlternateContent>
        <mc:Choice Requires="wps">
          <w:drawing>
            <wp:anchor distT="0" distB="0" distL="114300" distR="114300" simplePos="0" relativeHeight="251659264" behindDoc="0" locked="0" layoutInCell="0" allowOverlap="1" wp14:anchorId="7BE19702" wp14:editId="186B1DD1">
              <wp:simplePos x="0" y="0"/>
              <wp:positionH relativeFrom="column">
                <wp:posOffset>0</wp:posOffset>
              </wp:positionH>
              <wp:positionV relativeFrom="paragraph">
                <wp:posOffset>38100</wp:posOffset>
              </wp:positionV>
              <wp:extent cx="5943600" cy="0"/>
              <wp:effectExtent l="28575" t="32385" r="28575" b="3429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44D78"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F522D2"/>
    <w:multiLevelType w:val="hybridMultilevel"/>
    <w:tmpl w:val="90DCCE30"/>
    <w:lvl w:ilvl="0" w:tplc="C3064B5C">
      <w:start w:val="1"/>
      <w:numFmt w:val="decimal"/>
      <w:lvlText w:val="%1)"/>
      <w:lvlJc w:val="left"/>
      <w:pPr>
        <w:tabs>
          <w:tab w:val="num" w:pos="2880"/>
        </w:tabs>
        <w:ind w:left="2880" w:hanging="720"/>
      </w:pPr>
      <w:rPr>
        <w:rFonts w:ascii="Times New Roman" w:hAnsi="Times New Roman" w:hint="default"/>
        <w:b w:val="0"/>
        <w:i w:val="0"/>
        <w:sz w:val="24"/>
      </w:rPr>
    </w:lvl>
    <w:lvl w:ilvl="1" w:tplc="90D0025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17F3F"/>
    <w:multiLevelType w:val="hybridMultilevel"/>
    <w:tmpl w:val="9EEE9CBC"/>
    <w:lvl w:ilvl="0" w:tplc="95DEFF8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BC1EB7"/>
    <w:multiLevelType w:val="singleLevel"/>
    <w:tmpl w:val="513A9410"/>
    <w:lvl w:ilvl="0">
      <w:start w:val="2"/>
      <w:numFmt w:val="upperLetter"/>
      <w:pStyle w:val="Heading1"/>
      <w:lvlText w:val="%1."/>
      <w:lvlJc w:val="left"/>
      <w:pPr>
        <w:tabs>
          <w:tab w:val="num" w:pos="720"/>
        </w:tabs>
        <w:ind w:left="720" w:hanging="720"/>
      </w:pPr>
      <w:rPr>
        <w:rFonts w:hint="default"/>
      </w:rPr>
    </w:lvl>
  </w:abstractNum>
  <w:abstractNum w:abstractNumId="4" w15:restartNumberingAfterBreak="0">
    <w:nsid w:val="1D353C9A"/>
    <w:multiLevelType w:val="hybridMultilevel"/>
    <w:tmpl w:val="864C9B10"/>
    <w:lvl w:ilvl="0" w:tplc="AF6A05A8">
      <w:start w:val="1"/>
      <w:numFmt w:val="decimal"/>
      <w:lvlText w:val="%1."/>
      <w:lvlJc w:val="left"/>
      <w:pPr>
        <w:tabs>
          <w:tab w:val="num" w:pos="1440"/>
        </w:tabs>
        <w:ind w:left="1440" w:hanging="720"/>
      </w:pPr>
      <w:rPr>
        <w:rFonts w:ascii="Times New Roman" w:hAnsi="Times New Roman" w:hint="default"/>
        <w:b w:val="0"/>
        <w:i w:val="0"/>
        <w:sz w:val="24"/>
      </w:rPr>
    </w:lvl>
    <w:lvl w:ilvl="1" w:tplc="47B453C0">
      <w:start w:val="1"/>
      <w:numFmt w:val="decimal"/>
      <w:lvlText w:val="%2."/>
      <w:lvlJc w:val="left"/>
      <w:pPr>
        <w:tabs>
          <w:tab w:val="num" w:pos="1440"/>
        </w:tabs>
        <w:ind w:left="1440" w:hanging="72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AB7916"/>
    <w:multiLevelType w:val="hybridMultilevel"/>
    <w:tmpl w:val="CB30A7C6"/>
    <w:lvl w:ilvl="0" w:tplc="3866F4BC">
      <w:start w:val="1"/>
      <w:numFmt w:val="decimal"/>
      <w:lvlText w:val="%1)"/>
      <w:lvlJc w:val="left"/>
      <w:pPr>
        <w:tabs>
          <w:tab w:val="num" w:pos="2880"/>
        </w:tabs>
        <w:ind w:left="288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7344DC"/>
    <w:multiLevelType w:val="multilevel"/>
    <w:tmpl w:val="0B925E42"/>
    <w:lvl w:ilvl="0">
      <w:start w:val="1"/>
      <w:numFmt w:val="decimal"/>
      <w:lvlText w:val="%1)"/>
      <w:lvlJc w:val="left"/>
      <w:pPr>
        <w:tabs>
          <w:tab w:val="num" w:pos="2880"/>
        </w:tabs>
        <w:ind w:left="288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B249E4"/>
    <w:multiLevelType w:val="multilevel"/>
    <w:tmpl w:val="2772860A"/>
    <w:lvl w:ilvl="0">
      <w:start w:val="1"/>
      <w:numFmt w:val="decimal"/>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EE2636"/>
    <w:multiLevelType w:val="hybridMultilevel"/>
    <w:tmpl w:val="C6A8C878"/>
    <w:lvl w:ilvl="0" w:tplc="F454BB4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468D5D79"/>
    <w:multiLevelType w:val="multilevel"/>
    <w:tmpl w:val="14461E3C"/>
    <w:lvl w:ilvl="0">
      <w:start w:val="1"/>
      <w:numFmt w:val="decimal"/>
      <w:lvlText w:val="%1)"/>
      <w:lvlJc w:val="left"/>
      <w:pPr>
        <w:tabs>
          <w:tab w:val="num" w:pos="2880"/>
        </w:tabs>
        <w:ind w:left="288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AC0B4D"/>
    <w:multiLevelType w:val="multilevel"/>
    <w:tmpl w:val="BFE67776"/>
    <w:lvl w:ilvl="0">
      <w:start w:val="1"/>
      <w:numFmt w:val="decimal"/>
      <w:lvlText w:val="%1)"/>
      <w:lvlJc w:val="left"/>
      <w:pPr>
        <w:tabs>
          <w:tab w:val="num" w:pos="2880"/>
        </w:tabs>
        <w:ind w:left="288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EB5B47"/>
    <w:multiLevelType w:val="singleLevel"/>
    <w:tmpl w:val="07A6A6AA"/>
    <w:lvl w:ilvl="0">
      <w:start w:val="4"/>
      <w:numFmt w:val="decimal"/>
      <w:lvlText w:val="(%1)"/>
      <w:lvlJc w:val="left"/>
      <w:pPr>
        <w:tabs>
          <w:tab w:val="num" w:pos="2880"/>
        </w:tabs>
        <w:ind w:left="2880" w:hanging="720"/>
      </w:pPr>
      <w:rPr>
        <w:rFonts w:hint="default"/>
      </w:rPr>
    </w:lvl>
  </w:abstractNum>
  <w:abstractNum w:abstractNumId="18" w15:restartNumberingAfterBreak="0">
    <w:nsid w:val="60EF0089"/>
    <w:multiLevelType w:val="hybridMultilevel"/>
    <w:tmpl w:val="1FE62654"/>
    <w:lvl w:ilvl="0" w:tplc="C1545A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15E1526"/>
    <w:multiLevelType w:val="hybridMultilevel"/>
    <w:tmpl w:val="82B4AE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A404AF"/>
    <w:multiLevelType w:val="singleLevel"/>
    <w:tmpl w:val="C1545A24"/>
    <w:lvl w:ilvl="0">
      <w:start w:val="1"/>
      <w:numFmt w:val="lowerLetter"/>
      <w:lvlText w:val="%1."/>
      <w:lvlJc w:val="left"/>
      <w:pPr>
        <w:tabs>
          <w:tab w:val="num" w:pos="2160"/>
        </w:tabs>
        <w:ind w:left="2160" w:hanging="720"/>
      </w:pPr>
      <w:rPr>
        <w:rFonts w:hint="default"/>
      </w:rPr>
    </w:lvl>
  </w:abstractNum>
  <w:abstractNum w:abstractNumId="21"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766EA9"/>
    <w:multiLevelType w:val="hybridMultilevel"/>
    <w:tmpl w:val="E66A13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780589"/>
    <w:multiLevelType w:val="hybridMultilevel"/>
    <w:tmpl w:val="A0322236"/>
    <w:lvl w:ilvl="0" w:tplc="F6C4639A">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ABE2B85"/>
    <w:multiLevelType w:val="singleLevel"/>
    <w:tmpl w:val="8298A092"/>
    <w:lvl w:ilvl="0">
      <w:start w:val="1"/>
      <w:numFmt w:val="decimal"/>
      <w:lvlText w:val="(%1)"/>
      <w:lvlJc w:val="left"/>
      <w:pPr>
        <w:tabs>
          <w:tab w:val="num" w:pos="2880"/>
        </w:tabs>
        <w:ind w:left="2880" w:hanging="720"/>
      </w:pPr>
      <w:rPr>
        <w:rFonts w:hint="default"/>
      </w:rPr>
    </w:lvl>
  </w:abstractNum>
  <w:num w:numId="1" w16cid:durableId="1867019051">
    <w:abstractNumId w:val="8"/>
  </w:num>
  <w:num w:numId="2" w16cid:durableId="617563502">
    <w:abstractNumId w:val="9"/>
  </w:num>
  <w:num w:numId="3" w16cid:durableId="327558283">
    <w:abstractNumId w:val="26"/>
  </w:num>
  <w:num w:numId="4" w16cid:durableId="1209218860">
    <w:abstractNumId w:val="24"/>
  </w:num>
  <w:num w:numId="5" w16cid:durableId="1562327477">
    <w:abstractNumId w:val="23"/>
  </w:num>
  <w:num w:numId="6" w16cid:durableId="444813271">
    <w:abstractNumId w:val="16"/>
  </w:num>
  <w:num w:numId="7" w16cid:durableId="668100034">
    <w:abstractNumId w:val="14"/>
  </w:num>
  <w:num w:numId="8" w16cid:durableId="836382218">
    <w:abstractNumId w:val="6"/>
  </w:num>
  <w:num w:numId="9" w16cid:durableId="1794129672">
    <w:abstractNumId w:val="11"/>
  </w:num>
  <w:num w:numId="10" w16cid:durableId="1137263231">
    <w:abstractNumId w:val="0"/>
  </w:num>
  <w:num w:numId="11" w16cid:durableId="1412697709">
    <w:abstractNumId w:val="25"/>
  </w:num>
  <w:num w:numId="12" w16cid:durableId="1730763130">
    <w:abstractNumId w:val="21"/>
  </w:num>
  <w:num w:numId="13" w16cid:durableId="1821847704">
    <w:abstractNumId w:val="3"/>
  </w:num>
  <w:num w:numId="14" w16cid:durableId="636103348">
    <w:abstractNumId w:val="20"/>
  </w:num>
  <w:num w:numId="15" w16cid:durableId="139542918">
    <w:abstractNumId w:val="28"/>
  </w:num>
  <w:num w:numId="16" w16cid:durableId="2052147467">
    <w:abstractNumId w:val="17"/>
  </w:num>
  <w:num w:numId="17" w16cid:durableId="979461291">
    <w:abstractNumId w:val="1"/>
  </w:num>
  <w:num w:numId="18" w16cid:durableId="404037837">
    <w:abstractNumId w:val="12"/>
  </w:num>
  <w:num w:numId="19" w16cid:durableId="946157870">
    <w:abstractNumId w:val="7"/>
  </w:num>
  <w:num w:numId="20" w16cid:durableId="2114396319">
    <w:abstractNumId w:val="15"/>
  </w:num>
  <w:num w:numId="21" w16cid:durableId="922378138">
    <w:abstractNumId w:val="5"/>
  </w:num>
  <w:num w:numId="22" w16cid:durableId="705328087">
    <w:abstractNumId w:val="13"/>
  </w:num>
  <w:num w:numId="23" w16cid:durableId="174880773">
    <w:abstractNumId w:val="27"/>
  </w:num>
  <w:num w:numId="24" w16cid:durableId="1387293807">
    <w:abstractNumId w:val="4"/>
  </w:num>
  <w:num w:numId="25" w16cid:durableId="1408304308">
    <w:abstractNumId w:val="10"/>
  </w:num>
  <w:num w:numId="26" w16cid:durableId="1597054360">
    <w:abstractNumId w:val="2"/>
  </w:num>
  <w:num w:numId="27" w16cid:durableId="1388411394">
    <w:abstractNumId w:val="22"/>
  </w:num>
  <w:num w:numId="28" w16cid:durableId="895433014">
    <w:abstractNumId w:val="18"/>
  </w:num>
  <w:num w:numId="29" w16cid:durableId="7109580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351A0"/>
    <w:rsid w:val="00053296"/>
    <w:rsid w:val="00072F60"/>
    <w:rsid w:val="000738AC"/>
    <w:rsid w:val="00076675"/>
    <w:rsid w:val="00076B8E"/>
    <w:rsid w:val="000A1729"/>
    <w:rsid w:val="00105C1F"/>
    <w:rsid w:val="00114663"/>
    <w:rsid w:val="00116017"/>
    <w:rsid w:val="00123937"/>
    <w:rsid w:val="00126F71"/>
    <w:rsid w:val="001420AB"/>
    <w:rsid w:val="00152DC7"/>
    <w:rsid w:val="001564A2"/>
    <w:rsid w:val="00162AFD"/>
    <w:rsid w:val="001D3311"/>
    <w:rsid w:val="001F0D84"/>
    <w:rsid w:val="00204B06"/>
    <w:rsid w:val="00211376"/>
    <w:rsid w:val="00237F67"/>
    <w:rsid w:val="002479B6"/>
    <w:rsid w:val="00260918"/>
    <w:rsid w:val="002621DA"/>
    <w:rsid w:val="00280C45"/>
    <w:rsid w:val="00285A19"/>
    <w:rsid w:val="002A7713"/>
    <w:rsid w:val="002B2385"/>
    <w:rsid w:val="002C0649"/>
    <w:rsid w:val="002F46C2"/>
    <w:rsid w:val="0030637E"/>
    <w:rsid w:val="003071F1"/>
    <w:rsid w:val="00327604"/>
    <w:rsid w:val="0036179D"/>
    <w:rsid w:val="00373F62"/>
    <w:rsid w:val="00381F6D"/>
    <w:rsid w:val="00394EDE"/>
    <w:rsid w:val="003C698E"/>
    <w:rsid w:val="003D1329"/>
    <w:rsid w:val="003E4565"/>
    <w:rsid w:val="004031E5"/>
    <w:rsid w:val="00403BA7"/>
    <w:rsid w:val="0040605B"/>
    <w:rsid w:val="0041273E"/>
    <w:rsid w:val="00435233"/>
    <w:rsid w:val="004413F6"/>
    <w:rsid w:val="004671AC"/>
    <w:rsid w:val="004A0B77"/>
    <w:rsid w:val="004A1B6B"/>
    <w:rsid w:val="004A5F08"/>
    <w:rsid w:val="004B47BE"/>
    <w:rsid w:val="004B5194"/>
    <w:rsid w:val="004D3A64"/>
    <w:rsid w:val="004D43C8"/>
    <w:rsid w:val="004D6AAE"/>
    <w:rsid w:val="004E2827"/>
    <w:rsid w:val="005253C8"/>
    <w:rsid w:val="00541170"/>
    <w:rsid w:val="005425E6"/>
    <w:rsid w:val="005444E1"/>
    <w:rsid w:val="00552CE2"/>
    <w:rsid w:val="00561DA1"/>
    <w:rsid w:val="005651A4"/>
    <w:rsid w:val="00574A2C"/>
    <w:rsid w:val="005A14E4"/>
    <w:rsid w:val="005A35D3"/>
    <w:rsid w:val="005A42F9"/>
    <w:rsid w:val="005A48F5"/>
    <w:rsid w:val="005C4DAD"/>
    <w:rsid w:val="005D7E85"/>
    <w:rsid w:val="005E5E5E"/>
    <w:rsid w:val="006159E8"/>
    <w:rsid w:val="006161E8"/>
    <w:rsid w:val="00631CEE"/>
    <w:rsid w:val="00633299"/>
    <w:rsid w:val="006364B7"/>
    <w:rsid w:val="006430BC"/>
    <w:rsid w:val="00644EBC"/>
    <w:rsid w:val="0066690F"/>
    <w:rsid w:val="006776F6"/>
    <w:rsid w:val="00695176"/>
    <w:rsid w:val="006D6308"/>
    <w:rsid w:val="006D6D16"/>
    <w:rsid w:val="006E7922"/>
    <w:rsid w:val="006F1E51"/>
    <w:rsid w:val="007302B8"/>
    <w:rsid w:val="00745157"/>
    <w:rsid w:val="00761D4F"/>
    <w:rsid w:val="00771ED8"/>
    <w:rsid w:val="007770D3"/>
    <w:rsid w:val="007868CE"/>
    <w:rsid w:val="007C31F1"/>
    <w:rsid w:val="007E1797"/>
    <w:rsid w:val="007E2B09"/>
    <w:rsid w:val="007F2692"/>
    <w:rsid w:val="007F36E5"/>
    <w:rsid w:val="00822085"/>
    <w:rsid w:val="00823FDF"/>
    <w:rsid w:val="008242FF"/>
    <w:rsid w:val="008446B9"/>
    <w:rsid w:val="0088761F"/>
    <w:rsid w:val="00895873"/>
    <w:rsid w:val="008A009D"/>
    <w:rsid w:val="008A0354"/>
    <w:rsid w:val="008A677C"/>
    <w:rsid w:val="009313C2"/>
    <w:rsid w:val="00953C62"/>
    <w:rsid w:val="00961005"/>
    <w:rsid w:val="00966CD7"/>
    <w:rsid w:val="009869D3"/>
    <w:rsid w:val="009A6496"/>
    <w:rsid w:val="009B63AC"/>
    <w:rsid w:val="009E7FB7"/>
    <w:rsid w:val="009F1D84"/>
    <w:rsid w:val="009F5901"/>
    <w:rsid w:val="00A0307B"/>
    <w:rsid w:val="00A044F8"/>
    <w:rsid w:val="00A16E32"/>
    <w:rsid w:val="00A462D6"/>
    <w:rsid w:val="00A50D6F"/>
    <w:rsid w:val="00A53FC4"/>
    <w:rsid w:val="00A57D27"/>
    <w:rsid w:val="00A751A1"/>
    <w:rsid w:val="00A863EC"/>
    <w:rsid w:val="00A876BF"/>
    <w:rsid w:val="00A8773A"/>
    <w:rsid w:val="00A9637F"/>
    <w:rsid w:val="00AD50F2"/>
    <w:rsid w:val="00AE22CA"/>
    <w:rsid w:val="00AF28DF"/>
    <w:rsid w:val="00AF2B37"/>
    <w:rsid w:val="00B01655"/>
    <w:rsid w:val="00B220E0"/>
    <w:rsid w:val="00B2737C"/>
    <w:rsid w:val="00B27679"/>
    <w:rsid w:val="00B32627"/>
    <w:rsid w:val="00B44D47"/>
    <w:rsid w:val="00BE29ED"/>
    <w:rsid w:val="00BF34AD"/>
    <w:rsid w:val="00BF5C06"/>
    <w:rsid w:val="00BF797C"/>
    <w:rsid w:val="00C06C32"/>
    <w:rsid w:val="00C1197A"/>
    <w:rsid w:val="00C14675"/>
    <w:rsid w:val="00C16D0B"/>
    <w:rsid w:val="00C40730"/>
    <w:rsid w:val="00C57E09"/>
    <w:rsid w:val="00C622F9"/>
    <w:rsid w:val="00C71E86"/>
    <w:rsid w:val="00C7503B"/>
    <w:rsid w:val="00CA6CA4"/>
    <w:rsid w:val="00CB0ACF"/>
    <w:rsid w:val="00CC7931"/>
    <w:rsid w:val="00CD4FF0"/>
    <w:rsid w:val="00CE627A"/>
    <w:rsid w:val="00CE7CF8"/>
    <w:rsid w:val="00D02456"/>
    <w:rsid w:val="00D052E7"/>
    <w:rsid w:val="00D07EB1"/>
    <w:rsid w:val="00D16E0A"/>
    <w:rsid w:val="00D30818"/>
    <w:rsid w:val="00D63F30"/>
    <w:rsid w:val="00D85745"/>
    <w:rsid w:val="00D94C5D"/>
    <w:rsid w:val="00DB1D20"/>
    <w:rsid w:val="00DC1609"/>
    <w:rsid w:val="00DC50C0"/>
    <w:rsid w:val="00DC565F"/>
    <w:rsid w:val="00E02A34"/>
    <w:rsid w:val="00E02D28"/>
    <w:rsid w:val="00E131EB"/>
    <w:rsid w:val="00E41E60"/>
    <w:rsid w:val="00E67078"/>
    <w:rsid w:val="00EA7B68"/>
    <w:rsid w:val="00EC5071"/>
    <w:rsid w:val="00ED4D9B"/>
    <w:rsid w:val="00EE021F"/>
    <w:rsid w:val="00EE1658"/>
    <w:rsid w:val="00EE3E74"/>
    <w:rsid w:val="00F22DCD"/>
    <w:rsid w:val="00F32A3E"/>
    <w:rsid w:val="00F404D4"/>
    <w:rsid w:val="00F44F88"/>
    <w:rsid w:val="00F537AC"/>
    <w:rsid w:val="00F53D3E"/>
    <w:rsid w:val="00F60F54"/>
    <w:rsid w:val="00F61CF3"/>
    <w:rsid w:val="00F77650"/>
    <w:rsid w:val="00F80B6A"/>
    <w:rsid w:val="00F8786D"/>
    <w:rsid w:val="00F92740"/>
    <w:rsid w:val="00F92EA1"/>
    <w:rsid w:val="00F9561F"/>
    <w:rsid w:val="00FC39B0"/>
    <w:rsid w:val="00FC5FB0"/>
    <w:rsid w:val="00FC7A09"/>
    <w:rsid w:val="00FD6C88"/>
    <w:rsid w:val="00FE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E1C580"/>
  <w15:docId w15:val="{5E915095-9C14-4944-AFC5-15399075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paragraph" w:styleId="Heading1">
    <w:name w:val="heading 1"/>
    <w:basedOn w:val="Normal"/>
    <w:next w:val="Normal"/>
    <w:qFormat/>
    <w:rsid w:val="000351A0"/>
    <w:pPr>
      <w:keepNext/>
      <w:numPr>
        <w:numId w:val="13"/>
      </w:numPr>
      <w:tabs>
        <w:tab w:val="left" w:pos="-1440"/>
      </w:tabs>
      <w:jc w:val="both"/>
      <w:outlineLvl w:val="0"/>
    </w:pPr>
    <w:rPr>
      <w:rFonts w:ascii="CG Times" w:hAnsi="CG Times"/>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31CEE"/>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BodyTextIndent">
    <w:name w:val="Body Text Indent"/>
    <w:basedOn w:val="Normal"/>
    <w:rsid w:val="000351A0"/>
    <w:pPr>
      <w:tabs>
        <w:tab w:val="left" w:pos="-1440"/>
      </w:tabs>
      <w:ind w:left="720" w:hanging="720"/>
      <w:jc w:val="both"/>
    </w:pPr>
    <w:rPr>
      <w:rFonts w:ascii="CG Times" w:hAnsi="CG Times"/>
    </w:rPr>
  </w:style>
  <w:style w:type="paragraph" w:styleId="BodyTextIndent2">
    <w:name w:val="Body Text Indent 2"/>
    <w:basedOn w:val="Normal"/>
    <w:rsid w:val="000351A0"/>
    <w:pPr>
      <w:tabs>
        <w:tab w:val="left" w:pos="-1440"/>
      </w:tabs>
      <w:ind w:left="1440"/>
      <w:jc w:val="both"/>
    </w:pPr>
    <w:rPr>
      <w:rFonts w:ascii="CG Times" w:hAnsi="CG Times"/>
    </w:rPr>
  </w:style>
  <w:style w:type="character" w:customStyle="1" w:styleId="StyleFootnoteReference14pt">
    <w:name w:val="Style Footnote Reference + 14 pt"/>
    <w:basedOn w:val="FootnoteReference"/>
    <w:rsid w:val="00631CEE"/>
    <w:rPr>
      <w:rFonts w:ascii="Times New Roman" w:hAnsi="Times New Roman"/>
      <w:sz w:val="24"/>
      <w:vertAlign w:val="superscript"/>
    </w:rPr>
  </w:style>
  <w:style w:type="paragraph" w:styleId="Revision">
    <w:name w:val="Revision"/>
    <w:hidden/>
    <w:uiPriority w:val="99"/>
    <w:semiHidden/>
    <w:rsid w:val="00B27679"/>
    <w:rPr>
      <w:snapToGrid w:val="0"/>
      <w:sz w:val="24"/>
    </w:rPr>
  </w:style>
  <w:style w:type="paragraph" w:styleId="ListParagraph">
    <w:name w:val="List Paragraph"/>
    <w:basedOn w:val="Normal"/>
    <w:uiPriority w:val="34"/>
    <w:qFormat/>
    <w:rsid w:val="001420AB"/>
    <w:pPr>
      <w:ind w:left="720"/>
      <w:contextualSpacing/>
    </w:pPr>
  </w:style>
  <w:style w:type="character" w:styleId="CommentReference">
    <w:name w:val="annotation reference"/>
    <w:basedOn w:val="DefaultParagraphFont"/>
    <w:rsid w:val="008A009D"/>
    <w:rPr>
      <w:sz w:val="16"/>
      <w:szCs w:val="16"/>
    </w:rPr>
  </w:style>
  <w:style w:type="paragraph" w:styleId="CommentText">
    <w:name w:val="annotation text"/>
    <w:basedOn w:val="Normal"/>
    <w:link w:val="CommentTextChar"/>
    <w:rsid w:val="008A009D"/>
    <w:rPr>
      <w:sz w:val="20"/>
    </w:rPr>
  </w:style>
  <w:style w:type="character" w:customStyle="1" w:styleId="CommentTextChar">
    <w:name w:val="Comment Text Char"/>
    <w:basedOn w:val="DefaultParagraphFont"/>
    <w:link w:val="CommentText"/>
    <w:rsid w:val="008A009D"/>
    <w:rPr>
      <w:snapToGrid w:val="0"/>
    </w:rPr>
  </w:style>
  <w:style w:type="paragraph" w:styleId="CommentSubject">
    <w:name w:val="annotation subject"/>
    <w:basedOn w:val="CommentText"/>
    <w:next w:val="CommentText"/>
    <w:link w:val="CommentSubjectChar"/>
    <w:rsid w:val="008A009D"/>
    <w:rPr>
      <w:b/>
      <w:bCs/>
    </w:rPr>
  </w:style>
  <w:style w:type="character" w:customStyle="1" w:styleId="CommentSubjectChar">
    <w:name w:val="Comment Subject Char"/>
    <w:basedOn w:val="CommentTextChar"/>
    <w:link w:val="CommentSubject"/>
    <w:rsid w:val="008A009D"/>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E7E70-D500-2247-A7E5-43C35EC4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6</cp:revision>
  <cp:lastPrinted>2015-09-17T21:23:00Z</cp:lastPrinted>
  <dcterms:created xsi:type="dcterms:W3CDTF">2020-03-05T03:00:00Z</dcterms:created>
  <dcterms:modified xsi:type="dcterms:W3CDTF">2022-07-22T01:06:00Z</dcterms:modified>
</cp:coreProperties>
</file>