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E5A6" w14:textId="77777777" w:rsidR="00B3182A" w:rsidRPr="003C1E59" w:rsidRDefault="00B3182A" w:rsidP="00242721">
      <w:pPr>
        <w:tabs>
          <w:tab w:val="left" w:pos="6840"/>
          <w:tab w:val="right" w:pos="9360"/>
        </w:tabs>
        <w:rPr>
          <w:color w:val="000000" w:themeColor="text1"/>
        </w:rPr>
      </w:pPr>
      <w:r w:rsidRPr="003C1E59">
        <w:rPr>
          <w:b/>
          <w:color w:val="000000" w:themeColor="text1"/>
          <w:sz w:val="28"/>
        </w:rPr>
        <w:t>EMPLOYEE CONFLICT OF INTEREST</w:t>
      </w:r>
      <w:r w:rsidRPr="003C1E59">
        <w:rPr>
          <w:color w:val="000000" w:themeColor="text1"/>
          <w:sz w:val="20"/>
        </w:rPr>
        <w:tab/>
      </w:r>
      <w:r w:rsidRPr="003C1E59">
        <w:rPr>
          <w:i/>
          <w:color w:val="000000" w:themeColor="text1"/>
          <w:sz w:val="20"/>
        </w:rPr>
        <w:t>Policy Code:</w:t>
      </w:r>
      <w:r w:rsidRPr="003C1E59">
        <w:rPr>
          <w:color w:val="000000" w:themeColor="text1"/>
        </w:rPr>
        <w:tab/>
      </w:r>
      <w:r w:rsidRPr="003C1E59">
        <w:rPr>
          <w:b/>
          <w:color w:val="000000" w:themeColor="text1"/>
        </w:rPr>
        <w:t>7730</w:t>
      </w:r>
    </w:p>
    <w:p w14:paraId="52E5FA0E" w14:textId="77777777" w:rsidR="009B139D" w:rsidRPr="003C1E59" w:rsidRDefault="004C3B1F" w:rsidP="004C3B1F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3C1E59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B5DB64E" wp14:editId="3527C22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0" t="19050" r="19050" b="381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7CB4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" o:allowincell="f" strokeweight="4.5pt">
                <v:stroke linestyle="thinThick"/>
              </v:line>
            </w:pict>
          </mc:Fallback>
        </mc:AlternateContent>
      </w:r>
    </w:p>
    <w:p w14:paraId="5BB6C260" w14:textId="77777777" w:rsidR="00422F31" w:rsidRPr="003C1E59" w:rsidRDefault="00422F31" w:rsidP="00B3182A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0D4BCE2C" w14:textId="77777777" w:rsidR="004C3B1F" w:rsidRPr="003C1E59" w:rsidRDefault="004C3B1F" w:rsidP="00B3182A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303113AD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  <w:sectPr w:rsidR="00B3182A" w:rsidRPr="003C1E59" w:rsidSect="004C3B1F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5CC9555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Employees are expected to avoid engaging in any conduct that creates or gives the appearance to the public of creating a conflict of interest with</w:t>
      </w:r>
      <w:r w:rsidR="009B139D" w:rsidRPr="003C1E59">
        <w:rPr>
          <w:color w:val="000000" w:themeColor="text1"/>
        </w:rPr>
        <w:t xml:space="preserve"> their</w:t>
      </w:r>
      <w:r w:rsidRPr="003C1E59">
        <w:rPr>
          <w:color w:val="000000" w:themeColor="text1"/>
        </w:rPr>
        <w:t xml:space="preserve"> job responsibilities with </w:t>
      </w:r>
      <w:r w:rsidR="003A2A64" w:rsidRPr="003C1E59">
        <w:rPr>
          <w:color w:val="000000" w:themeColor="text1"/>
        </w:rPr>
        <w:t>NERSBA</w:t>
      </w:r>
      <w:r w:rsidRPr="003C1E59">
        <w:rPr>
          <w:color w:val="000000" w:themeColor="text1"/>
        </w:rPr>
        <w:t xml:space="preserve">.  </w:t>
      </w:r>
      <w:r w:rsidR="009B139D" w:rsidRPr="003C1E59">
        <w:rPr>
          <w:color w:val="000000" w:themeColor="text1"/>
        </w:rPr>
        <w:t xml:space="preserve">Although </w:t>
      </w:r>
      <w:r w:rsidRPr="003C1E59">
        <w:rPr>
          <w:color w:val="000000" w:themeColor="text1"/>
        </w:rPr>
        <w:t>there may be other conflicts of interests, employees must follow board directives in the following areas.</w:t>
      </w:r>
    </w:p>
    <w:p w14:paraId="7489D4A3" w14:textId="77777777" w:rsidR="0022141D" w:rsidRPr="003C1E59" w:rsidRDefault="0022141D" w:rsidP="0022141D">
      <w:pPr>
        <w:tabs>
          <w:tab w:val="left" w:pos="-1440"/>
        </w:tabs>
        <w:jc w:val="both"/>
        <w:rPr>
          <w:color w:val="000000" w:themeColor="text1"/>
        </w:rPr>
      </w:pPr>
    </w:p>
    <w:p w14:paraId="66AF6D98" w14:textId="77777777" w:rsidR="00B3182A" w:rsidRPr="003C1E59" w:rsidRDefault="00B3182A" w:rsidP="000B7E78">
      <w:pPr>
        <w:numPr>
          <w:ilvl w:val="0"/>
          <w:numId w:val="20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b/>
          <w:smallCaps/>
          <w:color w:val="000000" w:themeColor="text1"/>
        </w:rPr>
        <w:t>Financial Interests</w:t>
      </w:r>
    </w:p>
    <w:p w14:paraId="730C4E23" w14:textId="77777777" w:rsidR="0022141D" w:rsidRPr="003C1E59" w:rsidRDefault="0022141D" w:rsidP="0022141D">
      <w:pPr>
        <w:tabs>
          <w:tab w:val="left" w:pos="-1440"/>
        </w:tabs>
        <w:jc w:val="both"/>
        <w:rPr>
          <w:color w:val="000000" w:themeColor="text1"/>
        </w:rPr>
      </w:pPr>
    </w:p>
    <w:p w14:paraId="3A1E8076" w14:textId="77777777" w:rsidR="00B3182A" w:rsidRPr="003C1E59" w:rsidRDefault="00B3182A" w:rsidP="000B7E78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An employee </w:t>
      </w:r>
      <w:r w:rsidR="000B7E78" w:rsidRPr="003C1E59">
        <w:rPr>
          <w:color w:val="000000" w:themeColor="text1"/>
        </w:rPr>
        <w:t xml:space="preserve">shall </w:t>
      </w:r>
      <w:r w:rsidRPr="003C1E59">
        <w:rPr>
          <w:color w:val="000000" w:themeColor="text1"/>
        </w:rPr>
        <w:t xml:space="preserve">not engage in or have a financial interest, directly or indirectly, in any activity that conflicts with duties and responsibilities in </w:t>
      </w:r>
      <w:r w:rsidR="003A2A64" w:rsidRPr="003C1E59">
        <w:rPr>
          <w:color w:val="000000" w:themeColor="text1"/>
        </w:rPr>
        <w:t>NERSBA</w:t>
      </w:r>
      <w:r w:rsidRPr="003C1E59">
        <w:rPr>
          <w:color w:val="000000" w:themeColor="text1"/>
        </w:rPr>
        <w:t xml:space="preserve">.  </w:t>
      </w:r>
    </w:p>
    <w:p w14:paraId="3F331080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250CCBFA" w14:textId="77777777" w:rsidR="00B7658A" w:rsidRPr="003C1E59" w:rsidRDefault="00B7658A" w:rsidP="001A68C6">
      <w:pPr>
        <w:numPr>
          <w:ilvl w:val="1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Contracts with the Board</w:t>
      </w:r>
    </w:p>
    <w:p w14:paraId="76FA089D" w14:textId="77777777" w:rsidR="00B7658A" w:rsidRPr="003C1E59" w:rsidRDefault="00B7658A" w:rsidP="00B7658A">
      <w:pPr>
        <w:tabs>
          <w:tab w:val="left" w:pos="-1440"/>
        </w:tabs>
        <w:jc w:val="both"/>
        <w:rPr>
          <w:color w:val="000000" w:themeColor="text1"/>
        </w:rPr>
      </w:pPr>
    </w:p>
    <w:p w14:paraId="71296438" w14:textId="77777777" w:rsidR="00B7658A" w:rsidRPr="003C1E59" w:rsidRDefault="00B7658A" w:rsidP="003C4902">
      <w:pPr>
        <w:tabs>
          <w:tab w:val="left" w:pos="-1440"/>
        </w:tabs>
        <w:ind w:left="1440"/>
        <w:jc w:val="both"/>
        <w:rPr>
          <w:color w:val="000000" w:themeColor="text1"/>
        </w:rPr>
      </w:pPr>
      <w:r w:rsidRPr="003C1E59">
        <w:rPr>
          <w:color w:val="000000" w:themeColor="text1"/>
        </w:rPr>
        <w:t>An employee shall not do any of the following:</w:t>
      </w:r>
    </w:p>
    <w:p w14:paraId="5BF6BBD7" w14:textId="77777777" w:rsidR="00B7658A" w:rsidRPr="003C1E59" w:rsidRDefault="00B7658A" w:rsidP="00B7658A">
      <w:pPr>
        <w:tabs>
          <w:tab w:val="left" w:pos="-1440"/>
        </w:tabs>
        <w:jc w:val="both"/>
        <w:rPr>
          <w:color w:val="000000" w:themeColor="text1"/>
        </w:rPr>
      </w:pPr>
    </w:p>
    <w:p w14:paraId="23911EEB" w14:textId="77777777" w:rsidR="00B7658A" w:rsidRPr="003C1E59" w:rsidRDefault="00B7658A" w:rsidP="001A68C6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obtain a direct </w:t>
      </w:r>
      <w:r w:rsidR="003B3572" w:rsidRPr="003C1E59">
        <w:rPr>
          <w:color w:val="000000" w:themeColor="text1"/>
        </w:rPr>
        <w:t xml:space="preserve">benefit from a contract that he or </w:t>
      </w:r>
      <w:r w:rsidRPr="003C1E59">
        <w:rPr>
          <w:color w:val="000000" w:themeColor="text1"/>
        </w:rPr>
        <w:t xml:space="preserve">she is involved in making or administering on behalf of the board, unless an exception is allowed pursuant to G.S. 14-234 or other </w:t>
      </w:r>
      <w:proofErr w:type="gramStart"/>
      <w:r w:rsidRPr="003C1E59">
        <w:rPr>
          <w:color w:val="000000" w:themeColor="text1"/>
        </w:rPr>
        <w:t>law;</w:t>
      </w:r>
      <w:proofErr w:type="gramEnd"/>
    </w:p>
    <w:p w14:paraId="115BE1DC" w14:textId="77777777" w:rsidR="00A16C90" w:rsidRPr="003C1E59" w:rsidRDefault="00A16C90" w:rsidP="00A16C90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0CF46926" w14:textId="77777777" w:rsidR="00B7658A" w:rsidRPr="003C1E59" w:rsidRDefault="00B7658A" w:rsidP="003C4902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influence or attempt to influence anyone who is involved in making or administering a contract on behalf of the board; or</w:t>
      </w:r>
    </w:p>
    <w:p w14:paraId="1772A170" w14:textId="77777777" w:rsidR="00A16C90" w:rsidRPr="003C1E59" w:rsidRDefault="00A16C90" w:rsidP="00A16C90">
      <w:pPr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23A7F5DE" w14:textId="77777777" w:rsidR="00B7658A" w:rsidRPr="003C1E59" w:rsidRDefault="00B7658A" w:rsidP="003C4902">
      <w:pPr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solicit or receive any gift, </w:t>
      </w:r>
      <w:r w:rsidR="00DF6273" w:rsidRPr="003C1E59">
        <w:rPr>
          <w:color w:val="000000" w:themeColor="text1"/>
        </w:rPr>
        <w:t xml:space="preserve">favor, </w:t>
      </w:r>
      <w:r w:rsidRPr="003C1E59">
        <w:rPr>
          <w:color w:val="000000" w:themeColor="text1"/>
        </w:rPr>
        <w:t>reward</w:t>
      </w:r>
      <w:r w:rsidR="00FB25C8" w:rsidRPr="003C1E59">
        <w:rPr>
          <w:color w:val="000000" w:themeColor="text1"/>
        </w:rPr>
        <w:t>,</w:t>
      </w:r>
      <w:r w:rsidR="00DF6273" w:rsidRPr="003C1E59">
        <w:rPr>
          <w:color w:val="000000" w:themeColor="text1"/>
        </w:rPr>
        <w:t xml:space="preserve"> service</w:t>
      </w:r>
      <w:r w:rsidR="005A4CA6" w:rsidRPr="003C1E59">
        <w:rPr>
          <w:color w:val="000000" w:themeColor="text1"/>
        </w:rPr>
        <w:t>,</w:t>
      </w:r>
      <w:r w:rsidRPr="003C1E59">
        <w:rPr>
          <w:color w:val="000000" w:themeColor="text1"/>
        </w:rPr>
        <w:t xml:space="preserve"> or promise</w:t>
      </w:r>
      <w:r w:rsidR="00FB25C8" w:rsidRPr="003C1E59">
        <w:rPr>
          <w:color w:val="000000" w:themeColor="text1"/>
        </w:rPr>
        <w:t xml:space="preserve"> of reward, including a promise of future employment</w:t>
      </w:r>
      <w:r w:rsidR="00DE2D62" w:rsidRPr="003C1E59">
        <w:rPr>
          <w:color w:val="000000" w:themeColor="text1"/>
        </w:rPr>
        <w:t>,</w:t>
      </w:r>
      <w:r w:rsidR="0061451D" w:rsidRPr="003C1E59">
        <w:rPr>
          <w:color w:val="000000" w:themeColor="text1"/>
        </w:rPr>
        <w:t xml:space="preserve"> in exchange</w:t>
      </w:r>
      <w:r w:rsidRPr="003C1E59">
        <w:rPr>
          <w:color w:val="000000" w:themeColor="text1"/>
        </w:rPr>
        <w:t xml:space="preserve"> for recommending, influencing</w:t>
      </w:r>
      <w:r w:rsidR="005A4CA6" w:rsidRPr="003C1E59">
        <w:rPr>
          <w:color w:val="000000" w:themeColor="text1"/>
        </w:rPr>
        <w:t xml:space="preserve">, </w:t>
      </w:r>
      <w:r w:rsidRPr="003C1E59">
        <w:rPr>
          <w:color w:val="000000" w:themeColor="text1"/>
        </w:rPr>
        <w:t>or attempting to influence the award of a contract</w:t>
      </w:r>
      <w:r w:rsidR="0080766A" w:rsidRPr="003C1E59">
        <w:rPr>
          <w:color w:val="000000" w:themeColor="text1"/>
        </w:rPr>
        <w:t xml:space="preserve"> by the board</w:t>
      </w:r>
      <w:r w:rsidRPr="003C1E59">
        <w:rPr>
          <w:color w:val="000000" w:themeColor="text1"/>
        </w:rPr>
        <w:t>.</w:t>
      </w:r>
    </w:p>
    <w:p w14:paraId="7D90179E" w14:textId="77777777" w:rsidR="00B7658A" w:rsidRPr="003C1E59" w:rsidRDefault="00B7658A" w:rsidP="00B7658A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1BE6FDAA" w14:textId="77777777" w:rsidR="00B7658A" w:rsidRPr="003C1E59" w:rsidRDefault="00B7658A" w:rsidP="003C4902">
      <w:pPr>
        <w:tabs>
          <w:tab w:val="left" w:pos="-1440"/>
        </w:tabs>
        <w:ind w:left="1440"/>
        <w:jc w:val="both"/>
        <w:rPr>
          <w:color w:val="000000" w:themeColor="text1"/>
        </w:rPr>
      </w:pPr>
      <w:r w:rsidRPr="003C1E59">
        <w:rPr>
          <w:color w:val="000000" w:themeColor="text1"/>
        </w:rPr>
        <w:t>A</w:t>
      </w:r>
      <w:r w:rsidR="00DF51FB" w:rsidRPr="003C1E59">
        <w:rPr>
          <w:color w:val="000000" w:themeColor="text1"/>
        </w:rPr>
        <w:t>n</w:t>
      </w:r>
      <w:r w:rsidRPr="003C1E59">
        <w:rPr>
          <w:color w:val="000000" w:themeColor="text1"/>
        </w:rPr>
        <w:t xml:space="preserve"> employee is involved in administering a contract if </w:t>
      </w:r>
      <w:r w:rsidR="003B3572" w:rsidRPr="003C1E59">
        <w:rPr>
          <w:color w:val="000000" w:themeColor="text1"/>
        </w:rPr>
        <w:t>he or she</w:t>
      </w:r>
      <w:r w:rsidRPr="003C1E59">
        <w:rPr>
          <w:color w:val="000000" w:themeColor="text1"/>
        </w:rPr>
        <w:t xml:space="preserve"> oversees the performance of the contract or has authority to interpret or make decisions regarding the contract.  A</w:t>
      </w:r>
      <w:r w:rsidR="00116E17" w:rsidRPr="003C1E59">
        <w:rPr>
          <w:color w:val="000000" w:themeColor="text1"/>
        </w:rPr>
        <w:t xml:space="preserve">n </w:t>
      </w:r>
      <w:r w:rsidRPr="003C1E59">
        <w:rPr>
          <w:color w:val="000000" w:themeColor="text1"/>
        </w:rPr>
        <w:t xml:space="preserve">employee is involved in making a contract if </w:t>
      </w:r>
      <w:r w:rsidR="003B3572" w:rsidRPr="003C1E59">
        <w:rPr>
          <w:color w:val="000000" w:themeColor="text1"/>
        </w:rPr>
        <w:t>he or she</w:t>
      </w:r>
      <w:r w:rsidRPr="003C1E59">
        <w:rPr>
          <w:color w:val="000000" w:themeColor="text1"/>
        </w:rPr>
        <w:t xml:space="preserve"> participates in the development of specifications or terms of the contract or participates in the preparation or award of the contract.  A</w:t>
      </w:r>
      <w:r w:rsidR="001E5915" w:rsidRPr="003C1E59">
        <w:rPr>
          <w:color w:val="000000" w:themeColor="text1"/>
        </w:rPr>
        <w:t>n</w:t>
      </w:r>
      <w:r w:rsidRPr="003C1E59">
        <w:rPr>
          <w:color w:val="000000" w:themeColor="text1"/>
        </w:rPr>
        <w:t xml:space="preserve"> employee derives a direct benefit from a contract if the employee or </w:t>
      </w:r>
      <w:r w:rsidR="003B3572" w:rsidRPr="003C1E59">
        <w:rPr>
          <w:color w:val="000000" w:themeColor="text1"/>
        </w:rPr>
        <w:t>his or her</w:t>
      </w:r>
      <w:r w:rsidRPr="003C1E59">
        <w:rPr>
          <w:color w:val="000000" w:themeColor="text1"/>
        </w:rPr>
        <w:t xml:space="preserve"> spouse does any of the following</w:t>
      </w:r>
      <w:proofErr w:type="gramStart"/>
      <w:r w:rsidRPr="003C1E59">
        <w:rPr>
          <w:color w:val="000000" w:themeColor="text1"/>
        </w:rPr>
        <w:t>:  (</w:t>
      </w:r>
      <w:proofErr w:type="gramEnd"/>
      <w:r w:rsidRPr="003C1E59">
        <w:rPr>
          <w:color w:val="000000" w:themeColor="text1"/>
        </w:rPr>
        <w:t>1) has more than a 10 percent ownership or other interest in an entity that is a party to the contract; (2) derives any income or commission d</w:t>
      </w:r>
      <w:r w:rsidR="002536D1" w:rsidRPr="003C1E59">
        <w:rPr>
          <w:color w:val="000000" w:themeColor="text1"/>
        </w:rPr>
        <w:t>irectly from the contract; or (</w:t>
      </w:r>
      <w:r w:rsidR="0073469E" w:rsidRPr="003C1E59">
        <w:rPr>
          <w:color w:val="000000" w:themeColor="text1"/>
        </w:rPr>
        <w:t>3</w:t>
      </w:r>
      <w:r w:rsidRPr="003C1E59">
        <w:rPr>
          <w:color w:val="000000" w:themeColor="text1"/>
        </w:rPr>
        <w:t>) acquires property under the contract.</w:t>
      </w:r>
    </w:p>
    <w:p w14:paraId="079E2094" w14:textId="77777777" w:rsidR="00B7658A" w:rsidRPr="003C1E59" w:rsidRDefault="00B7658A" w:rsidP="00B7658A">
      <w:pPr>
        <w:tabs>
          <w:tab w:val="left" w:pos="-1440"/>
        </w:tabs>
        <w:jc w:val="both"/>
        <w:rPr>
          <w:color w:val="000000" w:themeColor="text1"/>
        </w:rPr>
      </w:pPr>
    </w:p>
    <w:p w14:paraId="58547B9F" w14:textId="77777777" w:rsidR="00B7658A" w:rsidRPr="003C1E59" w:rsidRDefault="00B7658A" w:rsidP="003C4902">
      <w:pPr>
        <w:numPr>
          <w:ilvl w:val="1"/>
          <w:numId w:val="16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Non-School Employment</w:t>
      </w:r>
    </w:p>
    <w:p w14:paraId="3C1762E5" w14:textId="77777777" w:rsidR="00B7658A" w:rsidRPr="003C1E59" w:rsidRDefault="00B7658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6839C6C0" w14:textId="77777777" w:rsidR="00B3182A" w:rsidRPr="003C1E59" w:rsidRDefault="00B3182A" w:rsidP="003C4902">
      <w:pPr>
        <w:tabs>
          <w:tab w:val="left" w:pos="-1440"/>
        </w:tabs>
        <w:ind w:left="1440"/>
        <w:jc w:val="both"/>
        <w:rPr>
          <w:color w:val="000000" w:themeColor="text1"/>
        </w:rPr>
      </w:pPr>
      <w:r w:rsidRPr="003C1E59">
        <w:rPr>
          <w:color w:val="000000" w:themeColor="text1"/>
        </w:rPr>
        <w:t>The board recognizes that some employees may pursue additional compensation</w:t>
      </w:r>
      <w:r w:rsidR="009B139D" w:rsidRPr="003C1E59">
        <w:rPr>
          <w:color w:val="000000" w:themeColor="text1"/>
        </w:rPr>
        <w:t xml:space="preserve"> </w:t>
      </w:r>
      <w:r w:rsidR="00D254D9" w:rsidRPr="003C1E59">
        <w:rPr>
          <w:color w:val="000000" w:themeColor="text1"/>
        </w:rPr>
        <w:t>o</w:t>
      </w:r>
      <w:r w:rsidR="009B139D" w:rsidRPr="003C1E59">
        <w:rPr>
          <w:color w:val="000000" w:themeColor="text1"/>
        </w:rPr>
        <w:t>n their own time</w:t>
      </w:r>
      <w:r w:rsidRPr="003C1E59">
        <w:rPr>
          <w:color w:val="000000" w:themeColor="text1"/>
        </w:rPr>
        <w:t xml:space="preserve">.  Any such employee </w:t>
      </w:r>
      <w:r w:rsidR="000B7E78" w:rsidRPr="003C1E59">
        <w:rPr>
          <w:color w:val="000000" w:themeColor="text1"/>
        </w:rPr>
        <w:t xml:space="preserve">shall </w:t>
      </w:r>
      <w:r w:rsidRPr="003C1E59">
        <w:rPr>
          <w:color w:val="000000" w:themeColor="text1"/>
        </w:rPr>
        <w:t>not engage in the following:</w:t>
      </w:r>
    </w:p>
    <w:p w14:paraId="0B8AB29B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62F2ABA3" w14:textId="77777777" w:rsidR="00B3182A" w:rsidRPr="003C1E59" w:rsidRDefault="00B3182A" w:rsidP="001A68C6">
      <w:pPr>
        <w:pStyle w:val="a"/>
        <w:numPr>
          <w:ilvl w:val="0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3C1E59">
        <w:rPr>
          <w:rFonts w:ascii="Times New Roman" w:hAnsi="Times New Roman"/>
          <w:color w:val="000000" w:themeColor="text1"/>
        </w:rPr>
        <w:t>non</w:t>
      </w:r>
      <w:r w:rsidR="003B3572" w:rsidRPr="003C1E59">
        <w:rPr>
          <w:rFonts w:ascii="Times New Roman" w:hAnsi="Times New Roman"/>
          <w:color w:val="000000" w:themeColor="text1"/>
        </w:rPr>
        <w:t>-</w:t>
      </w:r>
      <w:r w:rsidRPr="003C1E59">
        <w:rPr>
          <w:rFonts w:ascii="Times New Roman" w:hAnsi="Times New Roman"/>
          <w:color w:val="000000" w:themeColor="text1"/>
        </w:rPr>
        <w:t xml:space="preserve">school employment </w:t>
      </w:r>
      <w:r w:rsidR="003B3572" w:rsidRPr="003C1E59">
        <w:rPr>
          <w:rFonts w:ascii="Times New Roman" w:hAnsi="Times New Roman"/>
          <w:color w:val="000000" w:themeColor="text1"/>
        </w:rPr>
        <w:t>that</w:t>
      </w:r>
      <w:r w:rsidRPr="003C1E59">
        <w:rPr>
          <w:rFonts w:ascii="Times New Roman" w:hAnsi="Times New Roman"/>
          <w:color w:val="000000" w:themeColor="text1"/>
        </w:rPr>
        <w:t xml:space="preserve"> adversely affects the employee</w:t>
      </w:r>
      <w:r w:rsidR="009B139D" w:rsidRPr="003C1E59">
        <w:rPr>
          <w:rFonts w:ascii="Times New Roman" w:hAnsi="Times New Roman"/>
          <w:color w:val="000000" w:themeColor="text1"/>
        </w:rPr>
        <w:t>’</w:t>
      </w:r>
      <w:r w:rsidRPr="003C1E59">
        <w:rPr>
          <w:rFonts w:ascii="Times New Roman" w:hAnsi="Times New Roman"/>
          <w:color w:val="000000" w:themeColor="text1"/>
        </w:rPr>
        <w:t xml:space="preserve">s availability or effectiveness in fulfilling job </w:t>
      </w:r>
      <w:proofErr w:type="gramStart"/>
      <w:r w:rsidRPr="003C1E59">
        <w:rPr>
          <w:rFonts w:ascii="Times New Roman" w:hAnsi="Times New Roman"/>
          <w:color w:val="000000" w:themeColor="text1"/>
        </w:rPr>
        <w:t>responsibilities;</w:t>
      </w:r>
      <w:proofErr w:type="gramEnd"/>
    </w:p>
    <w:p w14:paraId="12AF896C" w14:textId="77777777" w:rsidR="00B3182A" w:rsidRPr="003C1E59" w:rsidRDefault="00B3182A" w:rsidP="00B7658A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7337BBB7" w14:textId="77777777" w:rsidR="00AD4B5C" w:rsidRPr="003C1E59" w:rsidRDefault="00B3182A" w:rsidP="0073469E">
      <w:pPr>
        <w:pStyle w:val="a"/>
        <w:numPr>
          <w:ilvl w:val="0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3C1E59">
        <w:rPr>
          <w:rFonts w:ascii="Times New Roman" w:hAnsi="Times New Roman"/>
          <w:color w:val="000000" w:themeColor="text1"/>
        </w:rPr>
        <w:lastRenderedPageBreak/>
        <w:t xml:space="preserve">work of any type </w:t>
      </w:r>
      <w:r w:rsidR="003B3572" w:rsidRPr="003C1E59">
        <w:rPr>
          <w:rFonts w:ascii="Times New Roman" w:hAnsi="Times New Roman"/>
          <w:color w:val="000000" w:themeColor="text1"/>
        </w:rPr>
        <w:t>in which</w:t>
      </w:r>
      <w:r w:rsidRPr="003C1E59">
        <w:rPr>
          <w:rFonts w:ascii="Times New Roman" w:hAnsi="Times New Roman"/>
          <w:color w:val="000000" w:themeColor="text1"/>
        </w:rPr>
        <w:t xml:space="preserve"> the sources of information concerning custome</w:t>
      </w:r>
      <w:r w:rsidR="003B3572" w:rsidRPr="003C1E59">
        <w:rPr>
          <w:rFonts w:ascii="Times New Roman" w:hAnsi="Times New Roman"/>
          <w:color w:val="000000" w:themeColor="text1"/>
        </w:rPr>
        <w:t>r, client</w:t>
      </w:r>
      <w:r w:rsidR="005A4CA6" w:rsidRPr="003C1E59">
        <w:rPr>
          <w:rFonts w:ascii="Times New Roman" w:hAnsi="Times New Roman"/>
          <w:color w:val="000000" w:themeColor="text1"/>
        </w:rPr>
        <w:t>,</w:t>
      </w:r>
      <w:r w:rsidR="003B3572" w:rsidRPr="003C1E59">
        <w:rPr>
          <w:rFonts w:ascii="Times New Roman" w:hAnsi="Times New Roman"/>
          <w:color w:val="000000" w:themeColor="text1"/>
        </w:rPr>
        <w:t xml:space="preserve"> or employer originate</w:t>
      </w:r>
      <w:r w:rsidRPr="003C1E59">
        <w:rPr>
          <w:rFonts w:ascii="Times New Roman" w:hAnsi="Times New Roman"/>
          <w:color w:val="000000" w:themeColor="text1"/>
        </w:rPr>
        <w:t xml:space="preserve"> from any information obtained through the </w:t>
      </w:r>
      <w:r w:rsidR="003A2A64" w:rsidRPr="003C1E59">
        <w:rPr>
          <w:rFonts w:ascii="Times New Roman" w:hAnsi="Times New Roman"/>
          <w:color w:val="000000" w:themeColor="text1"/>
        </w:rPr>
        <w:t>NERSBA</w:t>
      </w:r>
      <w:r w:rsidRPr="003C1E59">
        <w:rPr>
          <w:rFonts w:ascii="Times New Roman" w:hAnsi="Times New Roman"/>
          <w:color w:val="000000" w:themeColor="text1"/>
        </w:rPr>
        <w:t xml:space="preserve"> </w:t>
      </w:r>
    </w:p>
    <w:p w14:paraId="3C294042" w14:textId="77777777" w:rsidR="00AD4B5C" w:rsidRPr="003C1E59" w:rsidRDefault="00AD4B5C" w:rsidP="00AD4B5C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  <w:szCs w:val="24"/>
        </w:rPr>
      </w:pPr>
    </w:p>
    <w:p w14:paraId="159309A8" w14:textId="77777777" w:rsidR="00AD4B5C" w:rsidRPr="003C1E59" w:rsidRDefault="00AD4B5C" w:rsidP="0073469E">
      <w:pPr>
        <w:pStyle w:val="a"/>
        <w:numPr>
          <w:ilvl w:val="0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3C1E59">
        <w:rPr>
          <w:rFonts w:ascii="Times New Roman" w:hAnsi="Times New Roman"/>
          <w:color w:val="000000" w:themeColor="text1"/>
          <w:szCs w:val="24"/>
        </w:rPr>
        <w:t xml:space="preserve">work of any type that materially and negatively affects the educational program of </w:t>
      </w:r>
      <w:proofErr w:type="gramStart"/>
      <w:r w:rsidRPr="003C1E59">
        <w:rPr>
          <w:rFonts w:ascii="Times New Roman" w:hAnsi="Times New Roman"/>
          <w:color w:val="000000" w:themeColor="text1"/>
          <w:szCs w:val="24"/>
        </w:rPr>
        <w:t xml:space="preserve">the </w:t>
      </w:r>
      <w:r w:rsidR="003A2A64" w:rsidRPr="003C1E59">
        <w:rPr>
          <w:rFonts w:ascii="Times New Roman" w:hAnsi="Times New Roman"/>
          <w:color w:val="000000" w:themeColor="text1"/>
        </w:rPr>
        <w:t xml:space="preserve"> NERSBA</w:t>
      </w:r>
      <w:proofErr w:type="gramEnd"/>
      <w:r w:rsidRPr="003C1E59">
        <w:rPr>
          <w:rFonts w:ascii="Times New Roman" w:hAnsi="Times New Roman"/>
          <w:color w:val="000000" w:themeColor="text1"/>
          <w:szCs w:val="24"/>
        </w:rPr>
        <w:t>;</w:t>
      </w:r>
    </w:p>
    <w:p w14:paraId="44E6382A" w14:textId="77777777" w:rsidR="00AD4B5C" w:rsidRPr="003C1E59" w:rsidRDefault="00AD4B5C" w:rsidP="003131C7">
      <w:pPr>
        <w:pStyle w:val="a"/>
        <w:ind w:left="0" w:firstLine="0"/>
        <w:jc w:val="both"/>
        <w:rPr>
          <w:rFonts w:ascii="Times New Roman" w:hAnsi="Times New Roman"/>
          <w:color w:val="000000" w:themeColor="text1"/>
          <w:szCs w:val="24"/>
        </w:rPr>
      </w:pPr>
    </w:p>
    <w:p w14:paraId="4F057DB2" w14:textId="7502FB46" w:rsidR="00B3182A" w:rsidRPr="003C1E59" w:rsidRDefault="00AD4B5C" w:rsidP="003131C7">
      <w:pPr>
        <w:pStyle w:val="a"/>
        <w:numPr>
          <w:ilvl w:val="0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3C1E59">
        <w:rPr>
          <w:rFonts w:ascii="Times New Roman" w:hAnsi="Times New Roman"/>
          <w:color w:val="000000" w:themeColor="text1"/>
          <w:szCs w:val="24"/>
        </w:rPr>
        <w:t xml:space="preserve">any type of private business using </w:t>
      </w:r>
      <w:r w:rsidR="003B3572" w:rsidRPr="003C1E59">
        <w:rPr>
          <w:rFonts w:ascii="Times New Roman" w:hAnsi="Times New Roman"/>
          <w:color w:val="000000" w:themeColor="text1"/>
          <w:szCs w:val="24"/>
        </w:rPr>
        <w:t>system</w:t>
      </w:r>
      <w:r w:rsidRPr="003C1E59">
        <w:rPr>
          <w:rFonts w:ascii="Times New Roman" w:hAnsi="Times New Roman"/>
          <w:color w:val="000000" w:themeColor="text1"/>
          <w:szCs w:val="24"/>
        </w:rPr>
        <w:t xml:space="preserve"> facilities, equipment</w:t>
      </w:r>
      <w:r w:rsidR="005A4CA6" w:rsidRPr="003C1E59">
        <w:rPr>
          <w:rFonts w:ascii="Times New Roman" w:hAnsi="Times New Roman"/>
          <w:color w:val="000000" w:themeColor="text1"/>
          <w:szCs w:val="24"/>
        </w:rPr>
        <w:t>,</w:t>
      </w:r>
      <w:r w:rsidR="003131C7" w:rsidRPr="003C1E59">
        <w:rPr>
          <w:rFonts w:ascii="Times New Roman" w:hAnsi="Times New Roman"/>
          <w:color w:val="000000" w:themeColor="text1"/>
          <w:szCs w:val="24"/>
        </w:rPr>
        <w:t xml:space="preserve"> </w:t>
      </w:r>
      <w:r w:rsidRPr="003C1E59">
        <w:rPr>
          <w:rFonts w:ascii="Times New Roman" w:hAnsi="Times New Roman"/>
          <w:color w:val="000000" w:themeColor="text1"/>
          <w:szCs w:val="24"/>
        </w:rPr>
        <w:t xml:space="preserve">or materials, unless prior approval is provided by the </w:t>
      </w:r>
      <w:r w:rsidR="00C440CD" w:rsidRPr="003C1E59">
        <w:rPr>
          <w:rFonts w:ascii="Times New Roman" w:hAnsi="Times New Roman"/>
          <w:color w:val="000000" w:themeColor="text1"/>
          <w:szCs w:val="24"/>
        </w:rPr>
        <w:t>executive director</w:t>
      </w:r>
      <w:r w:rsidRPr="003C1E59">
        <w:rPr>
          <w:rFonts w:ascii="Times New Roman" w:hAnsi="Times New Roman"/>
          <w:color w:val="000000" w:themeColor="text1"/>
          <w:szCs w:val="24"/>
        </w:rPr>
        <w:t xml:space="preserve">; </w:t>
      </w:r>
      <w:r w:rsidR="00B3182A" w:rsidRPr="003C1E59">
        <w:rPr>
          <w:rFonts w:ascii="Times New Roman" w:hAnsi="Times New Roman"/>
          <w:color w:val="000000" w:themeColor="text1"/>
        </w:rPr>
        <w:t>or</w:t>
      </w:r>
    </w:p>
    <w:p w14:paraId="20B3F8B9" w14:textId="77777777" w:rsidR="00B3182A" w:rsidRPr="003C1E59" w:rsidRDefault="00B3182A" w:rsidP="003131C7">
      <w:pPr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35989A1" w14:textId="77777777" w:rsidR="00B3182A" w:rsidRPr="003C1E59" w:rsidRDefault="00B3182A" w:rsidP="003131C7">
      <w:pPr>
        <w:pStyle w:val="a"/>
        <w:numPr>
          <w:ilvl w:val="0"/>
          <w:numId w:val="1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3C1E59">
        <w:rPr>
          <w:rFonts w:ascii="Times New Roman" w:hAnsi="Times New Roman"/>
          <w:color w:val="000000" w:themeColor="text1"/>
        </w:rPr>
        <w:t xml:space="preserve">any type of private business during school time or on school property.  </w:t>
      </w:r>
    </w:p>
    <w:p w14:paraId="0D01B6B7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15CB3A10" w14:textId="4C7FF9A7" w:rsidR="00B3182A" w:rsidRPr="003C1E59" w:rsidRDefault="00AD4B5C" w:rsidP="00C440CD">
      <w:pPr>
        <w:ind w:left="720"/>
        <w:rPr>
          <w:color w:val="000000" w:themeColor="text1"/>
        </w:rPr>
      </w:pPr>
      <w:r w:rsidRPr="003C1E59">
        <w:rPr>
          <w:color w:val="000000" w:themeColor="text1"/>
          <w:szCs w:val="24"/>
        </w:rPr>
        <w:t xml:space="preserve">The </w:t>
      </w:r>
      <w:r w:rsidR="00C440CD" w:rsidRPr="003C1E59">
        <w:rPr>
          <w:color w:val="000000" w:themeColor="text1"/>
        </w:rPr>
        <w:t xml:space="preserve">executive director </w:t>
      </w:r>
      <w:r w:rsidRPr="003C1E59">
        <w:rPr>
          <w:color w:val="000000" w:themeColor="text1"/>
          <w:szCs w:val="24"/>
        </w:rPr>
        <w:t xml:space="preserve">may grant prior approval for work performed under subsections d and e above if such work enhances the employee’s professional ability or professional growth for school-related work.  </w:t>
      </w:r>
      <w:r w:rsidR="00B3182A" w:rsidRPr="003C1E59">
        <w:rPr>
          <w:color w:val="000000" w:themeColor="text1"/>
        </w:rPr>
        <w:t xml:space="preserve">The </w:t>
      </w:r>
      <w:r w:rsidR="00C440CD" w:rsidRPr="003C1E59">
        <w:rPr>
          <w:color w:val="000000" w:themeColor="text1"/>
        </w:rPr>
        <w:t>executive director</w:t>
      </w:r>
      <w:r w:rsidR="00F954D7" w:rsidRPr="003C1E59">
        <w:rPr>
          <w:color w:val="000000" w:themeColor="text1"/>
        </w:rPr>
        <w:t xml:space="preserve"> </w:t>
      </w:r>
      <w:r w:rsidR="00B3182A" w:rsidRPr="003C1E59">
        <w:rPr>
          <w:color w:val="000000" w:themeColor="text1"/>
        </w:rPr>
        <w:t xml:space="preserve">may establish reporting procedures </w:t>
      </w:r>
      <w:r w:rsidR="00846158" w:rsidRPr="003C1E59">
        <w:rPr>
          <w:color w:val="000000" w:themeColor="text1"/>
        </w:rPr>
        <w:t xml:space="preserve">that </w:t>
      </w:r>
      <w:r w:rsidR="00B3182A" w:rsidRPr="003C1E59">
        <w:rPr>
          <w:color w:val="000000" w:themeColor="text1"/>
        </w:rPr>
        <w:t xml:space="preserve">require employees to notify </w:t>
      </w:r>
      <w:r w:rsidR="003A2A64" w:rsidRPr="003C1E59">
        <w:rPr>
          <w:color w:val="000000" w:themeColor="text1"/>
        </w:rPr>
        <w:t>NERSBA</w:t>
      </w:r>
      <w:r w:rsidR="003A2A64" w:rsidRPr="003C1E59" w:rsidDel="003A2A64">
        <w:rPr>
          <w:color w:val="000000" w:themeColor="text1"/>
        </w:rPr>
        <w:t xml:space="preserve"> </w:t>
      </w:r>
      <w:r w:rsidR="00B3182A" w:rsidRPr="003C1E59">
        <w:rPr>
          <w:color w:val="000000" w:themeColor="text1"/>
        </w:rPr>
        <w:t>of any non</w:t>
      </w:r>
      <w:r w:rsidR="003B3572" w:rsidRPr="003C1E59">
        <w:rPr>
          <w:color w:val="000000" w:themeColor="text1"/>
        </w:rPr>
        <w:t>-</w:t>
      </w:r>
      <w:r w:rsidR="00B3182A" w:rsidRPr="003C1E59">
        <w:rPr>
          <w:color w:val="000000" w:themeColor="text1"/>
        </w:rPr>
        <w:t xml:space="preserve">school employment.  </w:t>
      </w:r>
    </w:p>
    <w:p w14:paraId="307F3867" w14:textId="77777777" w:rsidR="0022141D" w:rsidRPr="003C1E59" w:rsidRDefault="0022141D" w:rsidP="0022141D">
      <w:pPr>
        <w:tabs>
          <w:tab w:val="left" w:pos="-1440"/>
        </w:tabs>
        <w:jc w:val="both"/>
        <w:rPr>
          <w:color w:val="000000" w:themeColor="text1"/>
        </w:rPr>
      </w:pPr>
    </w:p>
    <w:p w14:paraId="1BA390ED" w14:textId="77777777" w:rsidR="00B3182A" w:rsidRPr="003C1E59" w:rsidRDefault="00B3182A" w:rsidP="000B7E78">
      <w:pPr>
        <w:numPr>
          <w:ilvl w:val="0"/>
          <w:numId w:val="20"/>
        </w:num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b/>
          <w:smallCaps/>
          <w:color w:val="000000" w:themeColor="text1"/>
        </w:rPr>
        <w:t>Receipt of Gifts</w:t>
      </w:r>
    </w:p>
    <w:p w14:paraId="6CFB8ED7" w14:textId="77777777" w:rsidR="0022141D" w:rsidRPr="003C1E59" w:rsidRDefault="0022141D" w:rsidP="0022141D">
      <w:pPr>
        <w:tabs>
          <w:tab w:val="left" w:pos="-1440"/>
        </w:tabs>
        <w:jc w:val="both"/>
        <w:rPr>
          <w:color w:val="000000" w:themeColor="text1"/>
        </w:rPr>
      </w:pPr>
    </w:p>
    <w:p w14:paraId="09A3B789" w14:textId="77777777" w:rsidR="00F50E1E" w:rsidRPr="003C1E59" w:rsidRDefault="00B3182A" w:rsidP="00F50E1E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No </w:t>
      </w:r>
      <w:r w:rsidR="009B139D" w:rsidRPr="003C1E59">
        <w:rPr>
          <w:color w:val="000000" w:themeColor="text1"/>
        </w:rPr>
        <w:t xml:space="preserve">school employee may accept </w:t>
      </w:r>
      <w:r w:rsidRPr="003C1E59">
        <w:rPr>
          <w:color w:val="000000" w:themeColor="text1"/>
        </w:rPr>
        <w:t xml:space="preserve">gifts from any person or group desiring </w:t>
      </w:r>
      <w:r w:rsidR="00B00CFA" w:rsidRPr="003C1E59">
        <w:rPr>
          <w:color w:val="000000" w:themeColor="text1"/>
        </w:rPr>
        <w:t xml:space="preserve">to do </w:t>
      </w:r>
      <w:r w:rsidRPr="003C1E59">
        <w:rPr>
          <w:color w:val="000000" w:themeColor="text1"/>
        </w:rPr>
        <w:t xml:space="preserve">or doing business with </w:t>
      </w:r>
      <w:r w:rsidR="003A2A64" w:rsidRPr="003C1E59">
        <w:rPr>
          <w:color w:val="000000" w:themeColor="text1"/>
        </w:rPr>
        <w:t>NERSBA</w:t>
      </w:r>
      <w:r w:rsidR="00F068E3" w:rsidRPr="003C1E59">
        <w:rPr>
          <w:color w:val="000000" w:themeColor="text1"/>
        </w:rPr>
        <w:t>,</w:t>
      </w:r>
      <w:r w:rsidRPr="003C1E59">
        <w:rPr>
          <w:color w:val="000000" w:themeColor="text1"/>
        </w:rPr>
        <w:t xml:space="preserve"> </w:t>
      </w:r>
      <w:r w:rsidR="00B00CFA" w:rsidRPr="003C1E59">
        <w:rPr>
          <w:color w:val="000000" w:themeColor="text1"/>
        </w:rPr>
        <w:t>unless such gifts are</w:t>
      </w:r>
      <w:r w:rsidRPr="003C1E59">
        <w:rPr>
          <w:color w:val="000000" w:themeColor="text1"/>
        </w:rPr>
        <w:t xml:space="preserve"> instructional products or advertising items </w:t>
      </w:r>
      <w:r w:rsidR="00651D96" w:rsidRPr="003C1E59">
        <w:rPr>
          <w:color w:val="000000" w:themeColor="text1"/>
        </w:rPr>
        <w:t xml:space="preserve">of nominal value </w:t>
      </w:r>
      <w:r w:rsidR="003B3572" w:rsidRPr="003C1E59">
        <w:rPr>
          <w:color w:val="000000" w:themeColor="text1"/>
        </w:rPr>
        <w:t>that</w:t>
      </w:r>
      <w:r w:rsidRPr="003C1E59">
        <w:rPr>
          <w:color w:val="000000" w:themeColor="text1"/>
        </w:rPr>
        <w:t xml:space="preserve"> are widely distributed.</w:t>
      </w:r>
      <w:r w:rsidR="00F50E1E" w:rsidRPr="003C1E59">
        <w:rPr>
          <w:color w:val="000000" w:themeColor="text1"/>
        </w:rPr>
        <w:t xml:space="preserve">  No school employee may</w:t>
      </w:r>
      <w:r w:rsidR="004E16D2" w:rsidRPr="003C1E59">
        <w:rPr>
          <w:color w:val="000000" w:themeColor="text1"/>
        </w:rPr>
        <w:t xml:space="preserve"> solicit or</w:t>
      </w:r>
      <w:r w:rsidR="00F50E1E" w:rsidRPr="003C1E59">
        <w:rPr>
          <w:color w:val="000000" w:themeColor="text1"/>
        </w:rPr>
        <w:t xml:space="preserve"> accept </w:t>
      </w:r>
      <w:r w:rsidR="00F0668A" w:rsidRPr="003C1E59">
        <w:rPr>
          <w:color w:val="000000" w:themeColor="text1"/>
        </w:rPr>
        <w:t xml:space="preserve">any </w:t>
      </w:r>
      <w:r w:rsidR="00F50E1E" w:rsidRPr="003C1E59">
        <w:rPr>
          <w:color w:val="000000" w:themeColor="text1"/>
        </w:rPr>
        <w:t xml:space="preserve">gifts from </w:t>
      </w:r>
      <w:r w:rsidR="001527D4" w:rsidRPr="003C1E59">
        <w:rPr>
          <w:color w:val="000000" w:themeColor="text1"/>
        </w:rPr>
        <w:t xml:space="preserve">any potential provider of E-rate services or products </w:t>
      </w:r>
      <w:r w:rsidR="008D556C" w:rsidRPr="003C1E59">
        <w:rPr>
          <w:color w:val="000000" w:themeColor="text1"/>
        </w:rPr>
        <w:t>in violation of</w:t>
      </w:r>
      <w:r w:rsidR="004E16D2" w:rsidRPr="003C1E59">
        <w:rPr>
          <w:color w:val="000000" w:themeColor="text1"/>
        </w:rPr>
        <w:t xml:space="preserve"> </w:t>
      </w:r>
      <w:r w:rsidR="008D556C" w:rsidRPr="003C1E59">
        <w:rPr>
          <w:color w:val="000000" w:themeColor="text1"/>
        </w:rPr>
        <w:t>federal</w:t>
      </w:r>
      <w:r w:rsidR="00290A3F" w:rsidRPr="003C1E59">
        <w:rPr>
          <w:color w:val="000000" w:themeColor="text1"/>
        </w:rPr>
        <w:t xml:space="preserve"> </w:t>
      </w:r>
      <w:r w:rsidR="004E16D2" w:rsidRPr="003C1E59">
        <w:rPr>
          <w:color w:val="000000" w:themeColor="text1"/>
        </w:rPr>
        <w:t>gifting rules</w:t>
      </w:r>
      <w:r w:rsidR="00F50E1E" w:rsidRPr="003C1E59">
        <w:rPr>
          <w:color w:val="000000" w:themeColor="text1"/>
        </w:rPr>
        <w:t>.</w:t>
      </w:r>
    </w:p>
    <w:p w14:paraId="68C4A5C2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5B17FD02" w14:textId="77777777" w:rsidR="00BA0AF1" w:rsidRPr="003C1E59" w:rsidRDefault="00B3182A" w:rsidP="00BA0AF1">
      <w:pPr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Legal References:  G.S. </w:t>
      </w:r>
      <w:r w:rsidR="00AD4B5C" w:rsidRPr="003C1E59">
        <w:rPr>
          <w:color w:val="000000" w:themeColor="text1"/>
        </w:rPr>
        <w:t>14-234</w:t>
      </w:r>
      <w:r w:rsidR="009B139D" w:rsidRPr="003C1E59">
        <w:rPr>
          <w:color w:val="000000" w:themeColor="text1"/>
        </w:rPr>
        <w:t xml:space="preserve">, </w:t>
      </w:r>
      <w:r w:rsidR="00AD4B5C" w:rsidRPr="003C1E59">
        <w:rPr>
          <w:color w:val="000000" w:themeColor="text1"/>
        </w:rPr>
        <w:t xml:space="preserve">-234.1; </w:t>
      </w:r>
      <w:r w:rsidRPr="003C1E59">
        <w:rPr>
          <w:color w:val="000000" w:themeColor="text1"/>
        </w:rPr>
        <w:t>115C-47(18)</w:t>
      </w:r>
      <w:r w:rsidR="001E5915" w:rsidRPr="003C1E59">
        <w:rPr>
          <w:color w:val="000000" w:themeColor="text1"/>
        </w:rPr>
        <w:t>; 133-32</w:t>
      </w:r>
      <w:r w:rsidR="00BA0AF1" w:rsidRPr="003C1E59">
        <w:rPr>
          <w:color w:val="000000" w:themeColor="text1"/>
        </w:rPr>
        <w:t>; 47 C.F.R. 54.503; FCC Sixth Report and Order 10-175</w:t>
      </w:r>
    </w:p>
    <w:p w14:paraId="42522765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64BE1638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 xml:space="preserve">Cross References:  </w:t>
      </w:r>
      <w:r w:rsidR="00AD4B5C" w:rsidRPr="003C1E59">
        <w:rPr>
          <w:color w:val="000000" w:themeColor="text1"/>
        </w:rPr>
        <w:t>Board Member Conflict of Interest (policy 2121)</w:t>
      </w:r>
    </w:p>
    <w:p w14:paraId="6B675BF3" w14:textId="77777777" w:rsidR="00B3182A" w:rsidRPr="003C1E59" w:rsidRDefault="00B3182A" w:rsidP="00B3182A">
      <w:pPr>
        <w:tabs>
          <w:tab w:val="left" w:pos="-1440"/>
        </w:tabs>
        <w:jc w:val="both"/>
        <w:rPr>
          <w:color w:val="000000" w:themeColor="text1"/>
        </w:rPr>
      </w:pPr>
    </w:p>
    <w:p w14:paraId="773F71E9" w14:textId="03492305" w:rsidR="0039662E" w:rsidRPr="003C1E59" w:rsidRDefault="0039662E" w:rsidP="0039662E">
      <w:pPr>
        <w:widowControl/>
        <w:tabs>
          <w:tab w:val="left" w:pos="-1440"/>
          <w:tab w:val="left" w:pos="108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Adopt</w:t>
      </w:r>
      <w:r w:rsidR="00AD4B5C" w:rsidRPr="003C1E59">
        <w:rPr>
          <w:color w:val="000000" w:themeColor="text1"/>
        </w:rPr>
        <w:t xml:space="preserve">ed:  </w:t>
      </w:r>
      <w:r w:rsidR="00E722AD" w:rsidRPr="003C1E59">
        <w:rPr>
          <w:color w:val="000000" w:themeColor="text1"/>
        </w:rPr>
        <w:t>June 17, 2020</w:t>
      </w:r>
    </w:p>
    <w:p w14:paraId="27D12AD2" w14:textId="52E3067F" w:rsidR="00C440CD" w:rsidRPr="003C1E59" w:rsidRDefault="00C440CD" w:rsidP="0039662E">
      <w:pPr>
        <w:widowControl/>
        <w:tabs>
          <w:tab w:val="left" w:pos="-1440"/>
          <w:tab w:val="left" w:pos="1080"/>
        </w:tabs>
        <w:jc w:val="both"/>
        <w:rPr>
          <w:color w:val="000000" w:themeColor="text1"/>
        </w:rPr>
      </w:pPr>
      <w:r w:rsidRPr="003C1E59">
        <w:rPr>
          <w:color w:val="000000" w:themeColor="text1"/>
        </w:rPr>
        <w:t>Revised:</w:t>
      </w:r>
      <w:r w:rsidR="003C1E59" w:rsidRPr="003C1E59">
        <w:rPr>
          <w:color w:val="000000" w:themeColor="text1"/>
        </w:rPr>
        <w:t xml:space="preserve"> July 20, 2022</w:t>
      </w:r>
    </w:p>
    <w:p w14:paraId="5801E291" w14:textId="77777777" w:rsidR="008C6033" w:rsidRPr="003C4902" w:rsidRDefault="008C6033" w:rsidP="004C3B1F">
      <w:pPr>
        <w:jc w:val="both"/>
      </w:pPr>
    </w:p>
    <w:sectPr w:rsidR="008C6033" w:rsidRPr="003C4902" w:rsidSect="00242721">
      <w:headerReference w:type="even" r:id="rId10"/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A5F" w14:textId="77777777" w:rsidR="00580236" w:rsidRDefault="00580236">
      <w:r>
        <w:separator/>
      </w:r>
    </w:p>
  </w:endnote>
  <w:endnote w:type="continuationSeparator" w:id="0">
    <w:p w14:paraId="5C484EB3" w14:textId="77777777" w:rsidR="00580236" w:rsidRDefault="005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48F2" w14:textId="77777777" w:rsidR="00526AE8" w:rsidRDefault="00526AE8" w:rsidP="0017268A">
    <w:pPr>
      <w:spacing w:line="240" w:lineRule="exact"/>
      <w:ind w:right="-360"/>
    </w:pPr>
  </w:p>
  <w:p w14:paraId="1A2946BB" w14:textId="77777777" w:rsidR="00526AE8" w:rsidRDefault="0039662E" w:rsidP="0017268A">
    <w:pPr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73B1B" wp14:editId="40A36A74">
              <wp:simplePos x="0" y="0"/>
              <wp:positionH relativeFrom="column">
                <wp:posOffset>-3810</wp:posOffset>
              </wp:positionH>
              <wp:positionV relativeFrom="paragraph">
                <wp:posOffset>635</wp:posOffset>
              </wp:positionV>
              <wp:extent cx="5943600" cy="0"/>
              <wp:effectExtent l="0" t="19050" r="19050" b="381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E1B2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05pt" to="467.7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" strokeweight="4.5pt">
              <v:stroke linestyle="thickThin"/>
            </v:line>
          </w:pict>
        </mc:Fallback>
      </mc:AlternateContent>
    </w:r>
  </w:p>
  <w:p w14:paraId="3C8B2D1B" w14:textId="77777777" w:rsidR="00526AE8" w:rsidRPr="0039662E" w:rsidRDefault="001816A5" w:rsidP="0039662E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</w:rPr>
      <w:t>NE REGIONAL SCHOOL BOARD OF DIRECTORS POLICY MANUAL</w:t>
    </w:r>
    <w:r w:rsidR="0039662E">
      <w:rPr>
        <w:b/>
        <w:szCs w:val="24"/>
      </w:rPr>
      <w:tab/>
    </w:r>
    <w:r w:rsidR="0039662E" w:rsidRPr="0039662E">
      <w:rPr>
        <w:szCs w:val="24"/>
      </w:rPr>
      <w:t xml:space="preserve">Page </w:t>
    </w:r>
    <w:r w:rsidR="0039662E" w:rsidRPr="0039662E">
      <w:rPr>
        <w:szCs w:val="24"/>
      </w:rPr>
      <w:fldChar w:fldCharType="begin"/>
    </w:r>
    <w:r w:rsidR="0039662E" w:rsidRPr="0039662E">
      <w:rPr>
        <w:szCs w:val="24"/>
      </w:rPr>
      <w:instrText xml:space="preserve"> PAGE  \* Arabic  \* MERGEFORMAT </w:instrText>
    </w:r>
    <w:r w:rsidR="0039662E" w:rsidRPr="0039662E">
      <w:rPr>
        <w:szCs w:val="24"/>
      </w:rPr>
      <w:fldChar w:fldCharType="separate"/>
    </w:r>
    <w:r w:rsidR="00F954D7">
      <w:rPr>
        <w:noProof/>
        <w:szCs w:val="24"/>
      </w:rPr>
      <w:t>2</w:t>
    </w:r>
    <w:r w:rsidR="0039662E" w:rsidRPr="0039662E">
      <w:rPr>
        <w:szCs w:val="24"/>
      </w:rPr>
      <w:fldChar w:fldCharType="end"/>
    </w:r>
    <w:r w:rsidR="0039662E" w:rsidRPr="0039662E">
      <w:rPr>
        <w:szCs w:val="24"/>
      </w:rPr>
      <w:t xml:space="preserve"> of </w:t>
    </w:r>
    <w:r w:rsidR="0039662E" w:rsidRPr="0039662E">
      <w:rPr>
        <w:szCs w:val="24"/>
      </w:rPr>
      <w:fldChar w:fldCharType="begin"/>
    </w:r>
    <w:r w:rsidR="0039662E" w:rsidRPr="0039662E">
      <w:rPr>
        <w:szCs w:val="24"/>
      </w:rPr>
      <w:instrText xml:space="preserve"> NUMPAGES  \* Arabic  \* MERGEFORMAT </w:instrText>
    </w:r>
    <w:r w:rsidR="0039662E" w:rsidRPr="0039662E">
      <w:rPr>
        <w:szCs w:val="24"/>
      </w:rPr>
      <w:fldChar w:fldCharType="separate"/>
    </w:r>
    <w:r w:rsidR="00F954D7">
      <w:rPr>
        <w:noProof/>
        <w:szCs w:val="24"/>
      </w:rPr>
      <w:t>2</w:t>
    </w:r>
    <w:r w:rsidR="0039662E" w:rsidRPr="0039662E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FAC1" w14:textId="77777777" w:rsidR="00580236" w:rsidRDefault="00580236">
      <w:r>
        <w:separator/>
      </w:r>
    </w:p>
  </w:footnote>
  <w:footnote w:type="continuationSeparator" w:id="0">
    <w:p w14:paraId="37674B23" w14:textId="77777777" w:rsidR="00580236" w:rsidRDefault="0058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53C4" w14:textId="77777777" w:rsidR="00526AE8" w:rsidRPr="00601FC1" w:rsidRDefault="00526AE8" w:rsidP="00E81902">
    <w:pPr>
      <w:rPr>
        <w:i/>
        <w:sz w:val="20"/>
      </w:rPr>
    </w:pPr>
  </w:p>
  <w:p w14:paraId="76E1612A" w14:textId="77777777" w:rsidR="00526AE8" w:rsidRPr="00D14E40" w:rsidRDefault="00526AE8" w:rsidP="00172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7301" w14:textId="77777777" w:rsidR="00526AE8" w:rsidRDefault="00526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AA76" w14:textId="77777777" w:rsidR="00526AE8" w:rsidRPr="001259DD" w:rsidRDefault="00526AE8" w:rsidP="003B3572">
    <w:pPr>
      <w:tabs>
        <w:tab w:val="left" w:pos="6840"/>
        <w:tab w:val="right" w:pos="9360"/>
      </w:tabs>
      <w:ind w:firstLine="6840"/>
    </w:pPr>
    <w:r w:rsidRPr="001259DD">
      <w:rPr>
        <w:i/>
        <w:sz w:val="20"/>
      </w:rPr>
      <w:t>Policy Code:</w:t>
    </w:r>
    <w:r w:rsidRPr="001259DD">
      <w:tab/>
    </w:r>
    <w:r w:rsidRPr="001259DD">
      <w:rPr>
        <w:b/>
      </w:rPr>
      <w:t>7730</w:t>
    </w:r>
  </w:p>
  <w:p w14:paraId="0BDA6A1B" w14:textId="77777777" w:rsidR="00526AE8" w:rsidRPr="001259DD" w:rsidRDefault="002D74EF" w:rsidP="0017268A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37B07E" wp14:editId="6B7AAF22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5943600" cy="0"/>
              <wp:effectExtent l="0" t="19050" r="19050" b="3810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8397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E5EB" w14:textId="77777777" w:rsidR="00526AE8" w:rsidRDefault="00526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93E43"/>
    <w:multiLevelType w:val="multilevel"/>
    <w:tmpl w:val="EE14F74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8A1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213F6E"/>
    <w:multiLevelType w:val="hybridMultilevel"/>
    <w:tmpl w:val="FB7A1FAC"/>
    <w:lvl w:ilvl="0" w:tplc="8A7E933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D7AC9ED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42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744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0D0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3424C7"/>
    <w:multiLevelType w:val="hybridMultilevel"/>
    <w:tmpl w:val="EE14F740"/>
    <w:lvl w:ilvl="0" w:tplc="66CC15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4A3174"/>
    <w:multiLevelType w:val="hybridMultilevel"/>
    <w:tmpl w:val="DCB22948"/>
    <w:lvl w:ilvl="0" w:tplc="66CC15D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18B5C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1A2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1B2CB0"/>
    <w:multiLevelType w:val="hybridMultilevel"/>
    <w:tmpl w:val="509844CC"/>
    <w:lvl w:ilvl="0" w:tplc="989400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B1F6D"/>
    <w:multiLevelType w:val="hybridMultilevel"/>
    <w:tmpl w:val="A1CCC1A4"/>
    <w:lvl w:ilvl="0" w:tplc="0D724B9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06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34604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361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71470F"/>
    <w:multiLevelType w:val="multilevel"/>
    <w:tmpl w:val="A4C219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4110C"/>
    <w:multiLevelType w:val="hybridMultilevel"/>
    <w:tmpl w:val="D53AC7FE"/>
    <w:lvl w:ilvl="0" w:tplc="46464CC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F5CCC"/>
    <w:multiLevelType w:val="hybridMultilevel"/>
    <w:tmpl w:val="990C0E18"/>
    <w:lvl w:ilvl="0" w:tplc="6BCAB34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</w:rPr>
    </w:lvl>
    <w:lvl w:ilvl="1" w:tplc="29B0C3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C5E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320108">
    <w:abstractNumId w:val="13"/>
  </w:num>
  <w:num w:numId="2" w16cid:durableId="1627393916">
    <w:abstractNumId w:val="4"/>
  </w:num>
  <w:num w:numId="3" w16cid:durableId="98068268">
    <w:abstractNumId w:val="14"/>
  </w:num>
  <w:num w:numId="4" w16cid:durableId="1343511177">
    <w:abstractNumId w:val="2"/>
  </w:num>
  <w:num w:numId="5" w16cid:durableId="1780376046">
    <w:abstractNumId w:val="0"/>
  </w:num>
  <w:num w:numId="6" w16cid:durableId="1744643567">
    <w:abstractNumId w:val="10"/>
  </w:num>
  <w:num w:numId="7" w16cid:durableId="1182667390">
    <w:abstractNumId w:val="6"/>
  </w:num>
  <w:num w:numId="8" w16cid:durableId="1514957942">
    <w:abstractNumId w:val="15"/>
  </w:num>
  <w:num w:numId="9" w16cid:durableId="1093090806">
    <w:abstractNumId w:val="19"/>
  </w:num>
  <w:num w:numId="10" w16cid:durableId="1404988563">
    <w:abstractNumId w:val="5"/>
  </w:num>
  <w:num w:numId="11" w16cid:durableId="1183082107">
    <w:abstractNumId w:val="9"/>
  </w:num>
  <w:num w:numId="12" w16cid:durableId="34934516">
    <w:abstractNumId w:val="7"/>
  </w:num>
  <w:num w:numId="13" w16cid:durableId="1579903298">
    <w:abstractNumId w:val="8"/>
  </w:num>
  <w:num w:numId="14" w16cid:durableId="1602255933">
    <w:abstractNumId w:val="12"/>
  </w:num>
  <w:num w:numId="15" w16cid:durableId="1550190218">
    <w:abstractNumId w:val="3"/>
  </w:num>
  <w:num w:numId="16" w16cid:durableId="1564174225">
    <w:abstractNumId w:val="18"/>
  </w:num>
  <w:num w:numId="17" w16cid:durableId="1610118118">
    <w:abstractNumId w:val="16"/>
  </w:num>
  <w:num w:numId="18" w16cid:durableId="632254711">
    <w:abstractNumId w:val="1"/>
  </w:num>
  <w:num w:numId="19" w16cid:durableId="1871450121">
    <w:abstractNumId w:val="11"/>
  </w:num>
  <w:num w:numId="20" w16cid:durableId="2045249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B"/>
    <w:rsid w:val="00000F0A"/>
    <w:rsid w:val="00020973"/>
    <w:rsid w:val="00021445"/>
    <w:rsid w:val="00053030"/>
    <w:rsid w:val="00053596"/>
    <w:rsid w:val="00084F4E"/>
    <w:rsid w:val="00087FD0"/>
    <w:rsid w:val="000A4EDF"/>
    <w:rsid w:val="000A72F9"/>
    <w:rsid w:val="000B7E78"/>
    <w:rsid w:val="000E710E"/>
    <w:rsid w:val="0011481A"/>
    <w:rsid w:val="00116E17"/>
    <w:rsid w:val="001259DD"/>
    <w:rsid w:val="001527D4"/>
    <w:rsid w:val="001552BC"/>
    <w:rsid w:val="0016329E"/>
    <w:rsid w:val="0017268A"/>
    <w:rsid w:val="001816A5"/>
    <w:rsid w:val="0018193F"/>
    <w:rsid w:val="001905DB"/>
    <w:rsid w:val="001A68C6"/>
    <w:rsid w:val="001B3F79"/>
    <w:rsid w:val="001B4470"/>
    <w:rsid w:val="001E5915"/>
    <w:rsid w:val="0022141D"/>
    <w:rsid w:val="00223CAB"/>
    <w:rsid w:val="00232C27"/>
    <w:rsid w:val="00242721"/>
    <w:rsid w:val="002536D1"/>
    <w:rsid w:val="00290A3F"/>
    <w:rsid w:val="00295D3E"/>
    <w:rsid w:val="002D50F3"/>
    <w:rsid w:val="002D74EF"/>
    <w:rsid w:val="00311B04"/>
    <w:rsid w:val="003131C7"/>
    <w:rsid w:val="00326756"/>
    <w:rsid w:val="00355C1C"/>
    <w:rsid w:val="00376087"/>
    <w:rsid w:val="0039662E"/>
    <w:rsid w:val="003A2A64"/>
    <w:rsid w:val="003B3572"/>
    <w:rsid w:val="003C1E59"/>
    <w:rsid w:val="003C4902"/>
    <w:rsid w:val="003D19EB"/>
    <w:rsid w:val="003F0F48"/>
    <w:rsid w:val="00422F31"/>
    <w:rsid w:val="0042600C"/>
    <w:rsid w:val="00436ECF"/>
    <w:rsid w:val="004568F1"/>
    <w:rsid w:val="00464556"/>
    <w:rsid w:val="00497F14"/>
    <w:rsid w:val="004C3B1F"/>
    <w:rsid w:val="004D19BE"/>
    <w:rsid w:val="004E16D2"/>
    <w:rsid w:val="005141EB"/>
    <w:rsid w:val="00523051"/>
    <w:rsid w:val="00526AE8"/>
    <w:rsid w:val="00561BFB"/>
    <w:rsid w:val="00580236"/>
    <w:rsid w:val="005820DC"/>
    <w:rsid w:val="00590C6C"/>
    <w:rsid w:val="005A4CA6"/>
    <w:rsid w:val="005B55B6"/>
    <w:rsid w:val="00600BD9"/>
    <w:rsid w:val="00601FC1"/>
    <w:rsid w:val="006043FD"/>
    <w:rsid w:val="0061451D"/>
    <w:rsid w:val="00637D9C"/>
    <w:rsid w:val="00651D96"/>
    <w:rsid w:val="00673352"/>
    <w:rsid w:val="00692C78"/>
    <w:rsid w:val="006A7B96"/>
    <w:rsid w:val="006B5B21"/>
    <w:rsid w:val="006C02B3"/>
    <w:rsid w:val="0073469E"/>
    <w:rsid w:val="00741E1D"/>
    <w:rsid w:val="0074633F"/>
    <w:rsid w:val="007659E7"/>
    <w:rsid w:val="00774B15"/>
    <w:rsid w:val="007E02B4"/>
    <w:rsid w:val="00805AA8"/>
    <w:rsid w:val="0080766A"/>
    <w:rsid w:val="00827BDF"/>
    <w:rsid w:val="00840A2F"/>
    <w:rsid w:val="00846158"/>
    <w:rsid w:val="008C46E8"/>
    <w:rsid w:val="008C6033"/>
    <w:rsid w:val="008D45AC"/>
    <w:rsid w:val="008D556C"/>
    <w:rsid w:val="009449E0"/>
    <w:rsid w:val="00945124"/>
    <w:rsid w:val="009609D1"/>
    <w:rsid w:val="00961081"/>
    <w:rsid w:val="009A1DC3"/>
    <w:rsid w:val="009A6E97"/>
    <w:rsid w:val="009B139D"/>
    <w:rsid w:val="00A00A30"/>
    <w:rsid w:val="00A01E58"/>
    <w:rsid w:val="00A16C90"/>
    <w:rsid w:val="00A42A27"/>
    <w:rsid w:val="00A51F1E"/>
    <w:rsid w:val="00A930CA"/>
    <w:rsid w:val="00AA00F1"/>
    <w:rsid w:val="00AA0BB2"/>
    <w:rsid w:val="00AB2CDB"/>
    <w:rsid w:val="00AC4112"/>
    <w:rsid w:val="00AD4B5C"/>
    <w:rsid w:val="00B00CFA"/>
    <w:rsid w:val="00B27CED"/>
    <w:rsid w:val="00B3182A"/>
    <w:rsid w:val="00B600E0"/>
    <w:rsid w:val="00B643FE"/>
    <w:rsid w:val="00B7658A"/>
    <w:rsid w:val="00B868BA"/>
    <w:rsid w:val="00BA0AF1"/>
    <w:rsid w:val="00BA204B"/>
    <w:rsid w:val="00BA34EE"/>
    <w:rsid w:val="00C20E78"/>
    <w:rsid w:val="00C22EEC"/>
    <w:rsid w:val="00C25EE3"/>
    <w:rsid w:val="00C35471"/>
    <w:rsid w:val="00C36664"/>
    <w:rsid w:val="00C440CD"/>
    <w:rsid w:val="00C66856"/>
    <w:rsid w:val="00C83B95"/>
    <w:rsid w:val="00CB3650"/>
    <w:rsid w:val="00CD0AB4"/>
    <w:rsid w:val="00D254D9"/>
    <w:rsid w:val="00D930C3"/>
    <w:rsid w:val="00DD74BC"/>
    <w:rsid w:val="00DE2D62"/>
    <w:rsid w:val="00DE3F5F"/>
    <w:rsid w:val="00DF51FB"/>
    <w:rsid w:val="00DF6273"/>
    <w:rsid w:val="00E349F6"/>
    <w:rsid w:val="00E456D7"/>
    <w:rsid w:val="00E472BB"/>
    <w:rsid w:val="00E71D6E"/>
    <w:rsid w:val="00E722AD"/>
    <w:rsid w:val="00E81902"/>
    <w:rsid w:val="00EB0AE9"/>
    <w:rsid w:val="00ED472E"/>
    <w:rsid w:val="00EE4357"/>
    <w:rsid w:val="00EF5292"/>
    <w:rsid w:val="00F03066"/>
    <w:rsid w:val="00F0668A"/>
    <w:rsid w:val="00F068E3"/>
    <w:rsid w:val="00F33615"/>
    <w:rsid w:val="00F50E1E"/>
    <w:rsid w:val="00F55DAA"/>
    <w:rsid w:val="00F737D6"/>
    <w:rsid w:val="00F857B1"/>
    <w:rsid w:val="00F954D7"/>
    <w:rsid w:val="00FA1914"/>
    <w:rsid w:val="00FB25C8"/>
    <w:rsid w:val="00FC48AC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E8A515"/>
  <w15:docId w15:val="{BDD2AB87-1AF7-4D49-BC26-933A705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2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1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82A"/>
  </w:style>
  <w:style w:type="paragraph" w:styleId="Header">
    <w:name w:val="header"/>
    <w:basedOn w:val="Normal"/>
    <w:rsid w:val="00B3182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3C4902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semiHidden/>
    <w:rsid w:val="00B3182A"/>
    <w:rPr>
      <w:sz w:val="20"/>
    </w:rPr>
  </w:style>
  <w:style w:type="paragraph" w:customStyle="1" w:styleId="a">
    <w:name w:val="_"/>
    <w:basedOn w:val="Normal"/>
    <w:rsid w:val="00B3182A"/>
    <w:pPr>
      <w:ind w:left="720" w:hanging="720"/>
    </w:pPr>
    <w:rPr>
      <w:rFonts w:ascii="CG Times" w:hAnsi="CG Times"/>
    </w:rPr>
  </w:style>
  <w:style w:type="paragraph" w:styleId="BalloonText">
    <w:name w:val="Balloon Text"/>
    <w:basedOn w:val="Normal"/>
    <w:semiHidden/>
    <w:rsid w:val="00AD4B5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rsid w:val="003C4902"/>
    <w:rPr>
      <w:rFonts w:ascii="Times New Roman" w:hAnsi="Times New Roman"/>
      <w:sz w:val="24"/>
      <w:vertAlign w:val="superscript"/>
    </w:rPr>
  </w:style>
  <w:style w:type="paragraph" w:styleId="Revision">
    <w:name w:val="Revision"/>
    <w:hidden/>
    <w:uiPriority w:val="99"/>
    <w:semiHidden/>
    <w:rsid w:val="00637D9C"/>
    <w:rPr>
      <w:snapToGrid w:val="0"/>
      <w:sz w:val="24"/>
    </w:rPr>
  </w:style>
  <w:style w:type="character" w:styleId="CommentReference">
    <w:name w:val="annotation reference"/>
    <w:rsid w:val="00DD74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4BC"/>
    <w:rPr>
      <w:sz w:val="20"/>
    </w:rPr>
  </w:style>
  <w:style w:type="character" w:customStyle="1" w:styleId="CommentTextChar">
    <w:name w:val="Comment Text Char"/>
    <w:link w:val="CommentText"/>
    <w:rsid w:val="00DD74B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D74BC"/>
    <w:rPr>
      <w:b/>
      <w:bCs/>
    </w:rPr>
  </w:style>
  <w:style w:type="character" w:customStyle="1" w:styleId="CommentSubjectChar">
    <w:name w:val="Comment Subject Char"/>
    <w:link w:val="CommentSubject"/>
    <w:rsid w:val="00DD74BC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8A90-9785-0F4E-9EBC-018256AE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CONFLICT OF INTEREST</vt:lpstr>
    </vt:vector>
  </TitlesOfParts>
  <Company>The University of North Carolina at Chapel Hill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CONFLICT OF INTEREST</dc:title>
  <dc:creator>Janine Murphy</dc:creator>
  <cp:lastModifiedBy>Larry Price</cp:lastModifiedBy>
  <cp:revision>5</cp:revision>
  <cp:lastPrinted>2012-06-20T17:10:00Z</cp:lastPrinted>
  <dcterms:created xsi:type="dcterms:W3CDTF">2020-03-10T01:27:00Z</dcterms:created>
  <dcterms:modified xsi:type="dcterms:W3CDTF">2022-07-22T01:21:00Z</dcterms:modified>
</cp:coreProperties>
</file>