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2E5C" w14:textId="77777777" w:rsidR="00075F7C" w:rsidRPr="00725D4B" w:rsidRDefault="00833413" w:rsidP="00075F7C">
      <w:pPr>
        <w:tabs>
          <w:tab w:val="left" w:pos="6840"/>
          <w:tab w:val="right" w:pos="9360"/>
        </w:tabs>
        <w:rPr>
          <w:b/>
          <w:color w:val="000000" w:themeColor="text1"/>
          <w:sz w:val="28"/>
        </w:rPr>
      </w:pPr>
      <w:r w:rsidRPr="00725D4B">
        <w:rPr>
          <w:b/>
          <w:color w:val="000000" w:themeColor="text1"/>
          <w:sz w:val="28"/>
        </w:rPr>
        <w:t xml:space="preserve">PROFESSIONAL </w:t>
      </w:r>
      <w:r w:rsidR="00075F7C" w:rsidRPr="00725D4B">
        <w:rPr>
          <w:b/>
          <w:color w:val="000000" w:themeColor="text1"/>
          <w:sz w:val="28"/>
        </w:rPr>
        <w:t>EMPLOYEES:</w:t>
      </w:r>
    </w:p>
    <w:p w14:paraId="2EF3317A" w14:textId="77777777" w:rsidR="00075F7C" w:rsidRPr="00725D4B" w:rsidRDefault="00075F7C" w:rsidP="00075F7C">
      <w:pPr>
        <w:tabs>
          <w:tab w:val="left" w:pos="6840"/>
          <w:tab w:val="right" w:pos="9360"/>
        </w:tabs>
        <w:rPr>
          <w:color w:val="000000" w:themeColor="text1"/>
        </w:rPr>
      </w:pPr>
      <w:r w:rsidRPr="00725D4B">
        <w:rPr>
          <w:b/>
          <w:color w:val="000000" w:themeColor="text1"/>
          <w:sz w:val="28"/>
        </w:rPr>
        <w:t>DEMOTION AND DISMISSAL</w:t>
      </w:r>
      <w:r w:rsidRPr="00725D4B">
        <w:rPr>
          <w:color w:val="000000" w:themeColor="text1"/>
          <w:sz w:val="20"/>
        </w:rPr>
        <w:tab/>
      </w:r>
      <w:r w:rsidRPr="00725D4B">
        <w:rPr>
          <w:i/>
          <w:color w:val="000000" w:themeColor="text1"/>
          <w:sz w:val="20"/>
        </w:rPr>
        <w:t>Policy Code:</w:t>
      </w:r>
      <w:r w:rsidRPr="00725D4B">
        <w:rPr>
          <w:color w:val="000000" w:themeColor="text1"/>
        </w:rPr>
        <w:tab/>
      </w:r>
      <w:r w:rsidRPr="00725D4B">
        <w:rPr>
          <w:b/>
          <w:color w:val="000000" w:themeColor="text1"/>
        </w:rPr>
        <w:t>7930</w:t>
      </w:r>
    </w:p>
    <w:p w14:paraId="42BDD5AF" w14:textId="77777777" w:rsidR="00075F7C" w:rsidRPr="00725D4B" w:rsidRDefault="00075F7C" w:rsidP="00075F7C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</w:p>
    <w:p w14:paraId="07BB758A" w14:textId="77777777" w:rsidR="00075F7C" w:rsidRPr="00725D4B" w:rsidRDefault="005C061E" w:rsidP="00075F7C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  <w:r w:rsidRPr="00725D4B">
        <w:rPr>
          <w:noProof/>
          <w:snapToGrid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62962B82" wp14:editId="360FF843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43600" cy="0"/>
                <wp:effectExtent l="0" t="19050" r="19050" b="381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DAEC" id="Line 3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-.15pt" to="468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wMQywEAAHsDAAAOAAAAZHJzL2Uyb0RvYy54bWysU01z2yAQvXem/4HhXktO6r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3D98F63E" w14:textId="77777777" w:rsidR="000F3DCF" w:rsidRPr="00725D4B" w:rsidRDefault="000F3DCF" w:rsidP="00075F7C">
      <w:pPr>
        <w:tabs>
          <w:tab w:val="left" w:pos="-1440"/>
        </w:tabs>
        <w:jc w:val="both"/>
        <w:rPr>
          <w:color w:val="000000" w:themeColor="text1"/>
        </w:rPr>
        <w:sectPr w:rsidR="000F3DCF" w:rsidRPr="00725D4B" w:rsidSect="00C05706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02B6A76" w14:textId="77777777" w:rsidR="00075F7C" w:rsidRPr="00725D4B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0CA004B7" w14:textId="19701FFD" w:rsidR="00075F7C" w:rsidRPr="00725D4B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  <w:r w:rsidRPr="00725D4B">
        <w:rPr>
          <w:color w:val="000000" w:themeColor="text1"/>
        </w:rPr>
        <w:t xml:space="preserve">The board recognizes that an effective </w:t>
      </w:r>
      <w:r w:rsidR="00000980" w:rsidRPr="00725D4B">
        <w:rPr>
          <w:color w:val="000000" w:themeColor="text1"/>
        </w:rPr>
        <w:t xml:space="preserve">professional </w:t>
      </w:r>
      <w:r w:rsidRPr="00725D4B">
        <w:rPr>
          <w:color w:val="000000" w:themeColor="text1"/>
        </w:rPr>
        <w:t xml:space="preserve">staff is critical to the smooth operations of the school and to creating a learning environment where students </w:t>
      </w:r>
      <w:proofErr w:type="gramStart"/>
      <w:r w:rsidR="00237AE9" w:rsidRPr="00725D4B">
        <w:rPr>
          <w:color w:val="000000" w:themeColor="text1"/>
        </w:rPr>
        <w:t>are able to</w:t>
      </w:r>
      <w:proofErr w:type="gramEnd"/>
      <w:r w:rsidRPr="00725D4B">
        <w:rPr>
          <w:color w:val="000000" w:themeColor="text1"/>
        </w:rPr>
        <w:t xml:space="preserve"> succeed.  When a </w:t>
      </w:r>
      <w:r w:rsidR="00000980" w:rsidRPr="00725D4B">
        <w:rPr>
          <w:color w:val="000000" w:themeColor="text1"/>
        </w:rPr>
        <w:t xml:space="preserve">licensed </w:t>
      </w:r>
      <w:r w:rsidRPr="00725D4B">
        <w:rPr>
          <w:color w:val="000000" w:themeColor="text1"/>
        </w:rPr>
        <w:t xml:space="preserve">employee is unable or unwilling to meet performance expectations, the </w:t>
      </w:r>
      <w:r w:rsidR="00A10F50" w:rsidRPr="00725D4B">
        <w:rPr>
          <w:color w:val="000000" w:themeColor="text1"/>
        </w:rPr>
        <w:t xml:space="preserve">executive director </w:t>
      </w:r>
      <w:r w:rsidRPr="00725D4B">
        <w:rPr>
          <w:color w:val="000000" w:themeColor="text1"/>
        </w:rPr>
        <w:t xml:space="preserve">should consider whether dismissal or demotion is appropriate.  </w:t>
      </w:r>
    </w:p>
    <w:p w14:paraId="71E19DC5" w14:textId="77777777" w:rsidR="00075F7C" w:rsidRPr="00725D4B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776E7EBB" w14:textId="0F73EF66" w:rsidR="00075F7C" w:rsidRPr="00725D4B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  <w:r w:rsidRPr="00725D4B">
        <w:rPr>
          <w:color w:val="000000" w:themeColor="text1"/>
        </w:rPr>
        <w:t xml:space="preserve">Evaluators of </w:t>
      </w:r>
      <w:r w:rsidR="002B11EF" w:rsidRPr="00725D4B">
        <w:rPr>
          <w:color w:val="000000" w:themeColor="text1"/>
        </w:rPr>
        <w:t xml:space="preserve">licensed </w:t>
      </w:r>
      <w:r w:rsidRPr="00725D4B">
        <w:rPr>
          <w:color w:val="000000" w:themeColor="text1"/>
        </w:rPr>
        <w:t>employees are expected to follow polic</w:t>
      </w:r>
      <w:r w:rsidR="00BB0674" w:rsidRPr="00725D4B">
        <w:rPr>
          <w:color w:val="000000" w:themeColor="text1"/>
        </w:rPr>
        <w:t>y 7810, Evaluation of Licensed Employees,</w:t>
      </w:r>
      <w:r w:rsidRPr="00725D4B">
        <w:rPr>
          <w:color w:val="000000" w:themeColor="text1"/>
        </w:rPr>
        <w:t xml:space="preserve"> </w:t>
      </w:r>
      <w:r w:rsidR="00BB0674" w:rsidRPr="00725D4B">
        <w:rPr>
          <w:color w:val="000000" w:themeColor="text1"/>
        </w:rPr>
        <w:t>policy 7820, P</w:t>
      </w:r>
      <w:r w:rsidRPr="00725D4B">
        <w:rPr>
          <w:color w:val="000000" w:themeColor="text1"/>
        </w:rPr>
        <w:t xml:space="preserve">ersonnel </w:t>
      </w:r>
      <w:r w:rsidR="00BB0674" w:rsidRPr="00725D4B">
        <w:rPr>
          <w:color w:val="000000" w:themeColor="text1"/>
        </w:rPr>
        <w:t>F</w:t>
      </w:r>
      <w:r w:rsidRPr="00725D4B">
        <w:rPr>
          <w:color w:val="000000" w:themeColor="text1"/>
        </w:rPr>
        <w:t>iles</w:t>
      </w:r>
      <w:r w:rsidR="00EB1B95" w:rsidRPr="00725D4B">
        <w:rPr>
          <w:color w:val="000000" w:themeColor="text1"/>
        </w:rPr>
        <w:t xml:space="preserve">, and policy 7811, </w:t>
      </w:r>
      <w:r w:rsidR="005F6470" w:rsidRPr="00725D4B">
        <w:rPr>
          <w:color w:val="000000" w:themeColor="text1"/>
        </w:rPr>
        <w:t>Plans for Growth and Improvement of Licensed Employees</w:t>
      </w:r>
      <w:r w:rsidRPr="00725D4B">
        <w:rPr>
          <w:color w:val="000000" w:themeColor="text1"/>
        </w:rPr>
        <w:t xml:space="preserve">.  </w:t>
      </w:r>
      <w:r w:rsidR="00120898" w:rsidRPr="00725D4B">
        <w:rPr>
          <w:color w:val="000000" w:themeColor="text1"/>
        </w:rPr>
        <w:t>The</w:t>
      </w:r>
      <w:r w:rsidRPr="00725D4B">
        <w:rPr>
          <w:color w:val="000000" w:themeColor="text1"/>
        </w:rPr>
        <w:t xml:space="preserve"> </w:t>
      </w:r>
      <w:r w:rsidR="00A10F50" w:rsidRPr="00725D4B">
        <w:rPr>
          <w:color w:val="000000" w:themeColor="text1"/>
        </w:rPr>
        <w:t xml:space="preserve">executive director </w:t>
      </w:r>
      <w:r w:rsidR="00120898" w:rsidRPr="00725D4B">
        <w:rPr>
          <w:color w:val="000000" w:themeColor="text1"/>
        </w:rPr>
        <w:t xml:space="preserve">should </w:t>
      </w:r>
      <w:r w:rsidRPr="00725D4B">
        <w:rPr>
          <w:color w:val="000000" w:themeColor="text1"/>
        </w:rPr>
        <w:t>carefully document</w:t>
      </w:r>
      <w:r w:rsidR="002039D4" w:rsidRPr="00725D4B">
        <w:rPr>
          <w:color w:val="000000" w:themeColor="text1"/>
        </w:rPr>
        <w:t>ed evidence concerning a person’</w:t>
      </w:r>
      <w:r w:rsidRPr="00725D4B">
        <w:rPr>
          <w:color w:val="000000" w:themeColor="text1"/>
        </w:rPr>
        <w:t xml:space="preserve">s inadequacies and lack of competencies when such </w:t>
      </w:r>
      <w:r w:rsidR="009F4CF3" w:rsidRPr="00725D4B">
        <w:rPr>
          <w:color w:val="000000" w:themeColor="text1"/>
        </w:rPr>
        <w:t>deficienc</w:t>
      </w:r>
      <w:r w:rsidR="002250CE" w:rsidRPr="00725D4B">
        <w:rPr>
          <w:color w:val="000000" w:themeColor="text1"/>
        </w:rPr>
        <w:t>i</w:t>
      </w:r>
      <w:r w:rsidR="009F4CF3" w:rsidRPr="00725D4B">
        <w:rPr>
          <w:color w:val="000000" w:themeColor="text1"/>
        </w:rPr>
        <w:t>es</w:t>
      </w:r>
      <w:r w:rsidRPr="00725D4B">
        <w:rPr>
          <w:color w:val="000000" w:themeColor="text1"/>
        </w:rPr>
        <w:t xml:space="preserve"> ha</w:t>
      </w:r>
      <w:r w:rsidR="009D2728" w:rsidRPr="00725D4B">
        <w:rPr>
          <w:color w:val="000000" w:themeColor="text1"/>
        </w:rPr>
        <w:t>ve</w:t>
      </w:r>
      <w:r w:rsidRPr="00725D4B">
        <w:rPr>
          <w:color w:val="000000" w:themeColor="text1"/>
        </w:rPr>
        <w:t xml:space="preserve"> led to the recommendation and contemplation of dismissal or demotion.  These documents also should show ways in which the evaluator has endeavored to help the employee become a more effective professional.  In the interest of </w:t>
      </w:r>
      <w:r w:rsidR="00120898" w:rsidRPr="00725D4B">
        <w:rPr>
          <w:color w:val="000000" w:themeColor="text1"/>
        </w:rPr>
        <w:t xml:space="preserve">scholars </w:t>
      </w:r>
      <w:r w:rsidRPr="00725D4B">
        <w:rPr>
          <w:color w:val="000000" w:themeColor="text1"/>
        </w:rPr>
        <w:t xml:space="preserve">and the welfare of </w:t>
      </w:r>
      <w:r w:rsidR="00120898" w:rsidRPr="00725D4B">
        <w:rPr>
          <w:color w:val="000000" w:themeColor="text1"/>
        </w:rPr>
        <w:t>NERSBA</w:t>
      </w:r>
      <w:r w:rsidRPr="00725D4B">
        <w:rPr>
          <w:color w:val="000000" w:themeColor="text1"/>
        </w:rPr>
        <w:t>, dismissal or demotion may be pursued regardless of whether the evaluator has met these expectations</w:t>
      </w:r>
      <w:r w:rsidR="005F6470" w:rsidRPr="00725D4B">
        <w:rPr>
          <w:color w:val="000000" w:themeColor="text1"/>
        </w:rPr>
        <w:t xml:space="preserve"> and regardless of whether the employee has first been placed on a growth plan or mandatory improvement plan</w:t>
      </w:r>
      <w:r w:rsidRPr="00725D4B">
        <w:rPr>
          <w:color w:val="000000" w:themeColor="text1"/>
        </w:rPr>
        <w:t>, so long as the legal grounds for seeking dismissal or demotion can be sufficiently demonstrated.</w:t>
      </w:r>
    </w:p>
    <w:p w14:paraId="6500C8FD" w14:textId="77777777" w:rsidR="00075F7C" w:rsidRPr="00725D4B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6A2B71E4" w14:textId="77777777" w:rsidR="000F3DCF" w:rsidRPr="00725D4B" w:rsidRDefault="00075F7C" w:rsidP="000F3DCF">
      <w:pPr>
        <w:tabs>
          <w:tab w:val="left" w:pos="-1440"/>
        </w:tabs>
        <w:jc w:val="both"/>
        <w:rPr>
          <w:color w:val="000000" w:themeColor="text1"/>
          <w:u w:val="double"/>
        </w:rPr>
      </w:pPr>
      <w:r w:rsidRPr="00725D4B">
        <w:rPr>
          <w:color w:val="000000" w:themeColor="text1"/>
        </w:rPr>
        <w:t xml:space="preserve">All </w:t>
      </w:r>
      <w:r w:rsidR="00B553B8" w:rsidRPr="00725D4B">
        <w:rPr>
          <w:color w:val="000000" w:themeColor="text1"/>
        </w:rPr>
        <w:t xml:space="preserve">legally required </w:t>
      </w:r>
      <w:r w:rsidRPr="00725D4B">
        <w:rPr>
          <w:color w:val="000000" w:themeColor="text1"/>
        </w:rPr>
        <w:t>procedures will be followed in the dismissal or demotion of employees.</w:t>
      </w:r>
      <w:r w:rsidR="000F3DCF" w:rsidRPr="00725D4B">
        <w:rPr>
          <w:color w:val="000000" w:themeColor="text1"/>
        </w:rPr>
        <w:t xml:space="preserve">  </w:t>
      </w:r>
      <w:r w:rsidR="000F3DCF" w:rsidRPr="00725D4B">
        <w:rPr>
          <w:color w:val="000000" w:themeColor="text1"/>
          <w:szCs w:val="24"/>
        </w:rPr>
        <w:t xml:space="preserve">Career </w:t>
      </w:r>
      <w:r w:rsidR="000A2E2B" w:rsidRPr="00725D4B">
        <w:rPr>
          <w:color w:val="000000" w:themeColor="text1"/>
          <w:szCs w:val="24"/>
        </w:rPr>
        <w:t>status teachers</w:t>
      </w:r>
      <w:r w:rsidR="00B553B8" w:rsidRPr="00725D4B">
        <w:rPr>
          <w:color w:val="000000" w:themeColor="text1"/>
          <w:szCs w:val="24"/>
        </w:rPr>
        <w:t>,</w:t>
      </w:r>
      <w:r w:rsidR="000F3DCF" w:rsidRPr="00725D4B">
        <w:rPr>
          <w:color w:val="000000" w:themeColor="text1"/>
          <w:szCs w:val="24"/>
        </w:rPr>
        <w:t xml:space="preserve"> </w:t>
      </w:r>
      <w:r w:rsidR="00CF003E" w:rsidRPr="00725D4B">
        <w:rPr>
          <w:color w:val="000000" w:themeColor="text1"/>
          <w:szCs w:val="24"/>
        </w:rPr>
        <w:t>non-career status teachers</w:t>
      </w:r>
      <w:r w:rsidR="000F3DCF" w:rsidRPr="00725D4B">
        <w:rPr>
          <w:color w:val="000000" w:themeColor="text1"/>
          <w:szCs w:val="24"/>
        </w:rPr>
        <w:t xml:space="preserve"> during the term</w:t>
      </w:r>
      <w:r w:rsidR="002547B6" w:rsidRPr="00725D4B">
        <w:rPr>
          <w:color w:val="000000" w:themeColor="text1"/>
          <w:szCs w:val="24"/>
        </w:rPr>
        <w:t>s</w:t>
      </w:r>
      <w:r w:rsidR="000F3DCF" w:rsidRPr="00725D4B">
        <w:rPr>
          <w:color w:val="000000" w:themeColor="text1"/>
          <w:szCs w:val="24"/>
        </w:rPr>
        <w:t xml:space="preserve"> of their contracts</w:t>
      </w:r>
      <w:r w:rsidR="00211609" w:rsidRPr="00725D4B">
        <w:rPr>
          <w:color w:val="000000" w:themeColor="text1"/>
          <w:szCs w:val="24"/>
        </w:rPr>
        <w:t>,</w:t>
      </w:r>
      <w:r w:rsidR="000F3DCF" w:rsidRPr="00725D4B">
        <w:rPr>
          <w:color w:val="000000" w:themeColor="text1"/>
          <w:szCs w:val="24"/>
        </w:rPr>
        <w:t xml:space="preserve"> </w:t>
      </w:r>
      <w:r w:rsidR="00B553B8" w:rsidRPr="00725D4B">
        <w:rPr>
          <w:color w:val="000000" w:themeColor="text1"/>
          <w:szCs w:val="24"/>
        </w:rPr>
        <w:t>and school administrators during the term</w:t>
      </w:r>
      <w:r w:rsidR="002547B6" w:rsidRPr="00725D4B">
        <w:rPr>
          <w:color w:val="000000" w:themeColor="text1"/>
          <w:szCs w:val="24"/>
        </w:rPr>
        <w:t>s</w:t>
      </w:r>
      <w:r w:rsidR="00B553B8" w:rsidRPr="00725D4B">
        <w:rPr>
          <w:color w:val="000000" w:themeColor="text1"/>
          <w:szCs w:val="24"/>
        </w:rPr>
        <w:t xml:space="preserve"> of their contracts </w:t>
      </w:r>
      <w:r w:rsidR="00C25A62" w:rsidRPr="00725D4B">
        <w:rPr>
          <w:color w:val="000000" w:themeColor="text1"/>
          <w:szCs w:val="24"/>
        </w:rPr>
        <w:t xml:space="preserve">may </w:t>
      </w:r>
      <w:r w:rsidR="000F3DCF" w:rsidRPr="00725D4B">
        <w:rPr>
          <w:color w:val="000000" w:themeColor="text1"/>
          <w:szCs w:val="24"/>
        </w:rPr>
        <w:t xml:space="preserve">be dismissed </w:t>
      </w:r>
      <w:r w:rsidR="002C6CC9" w:rsidRPr="00725D4B">
        <w:rPr>
          <w:color w:val="000000" w:themeColor="text1"/>
          <w:szCs w:val="24"/>
        </w:rPr>
        <w:t xml:space="preserve">only </w:t>
      </w:r>
      <w:r w:rsidR="000F3DCF" w:rsidRPr="00725D4B">
        <w:rPr>
          <w:color w:val="000000" w:themeColor="text1"/>
          <w:szCs w:val="24"/>
        </w:rPr>
        <w:t>for the following reasons:</w:t>
      </w:r>
    </w:p>
    <w:p w14:paraId="1FBD2BD2" w14:textId="77777777" w:rsidR="000F3DCF" w:rsidRPr="00725D4B" w:rsidRDefault="000F3DCF" w:rsidP="000F3DCF">
      <w:pPr>
        <w:tabs>
          <w:tab w:val="left" w:pos="-1440"/>
        </w:tabs>
        <w:jc w:val="both"/>
        <w:rPr>
          <w:color w:val="000000" w:themeColor="text1"/>
          <w:u w:val="double"/>
        </w:rPr>
      </w:pPr>
    </w:p>
    <w:p w14:paraId="3746D1A9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>inadequate performance</w:t>
      </w:r>
      <w:r w:rsidR="005F6470" w:rsidRPr="00725D4B">
        <w:rPr>
          <w:color w:val="000000" w:themeColor="text1"/>
          <w:szCs w:val="24"/>
        </w:rPr>
        <w:t xml:space="preserve">, </w:t>
      </w:r>
      <w:r w:rsidR="000A3935" w:rsidRPr="00725D4B">
        <w:rPr>
          <w:color w:val="000000" w:themeColor="text1"/>
          <w:szCs w:val="24"/>
        </w:rPr>
        <w:t xml:space="preserve">as </w:t>
      </w:r>
      <w:r w:rsidR="005F6470" w:rsidRPr="00725D4B">
        <w:rPr>
          <w:color w:val="000000" w:themeColor="text1"/>
          <w:szCs w:val="24"/>
        </w:rPr>
        <w:t xml:space="preserve">defined </w:t>
      </w:r>
      <w:r w:rsidR="000A3935" w:rsidRPr="00725D4B">
        <w:rPr>
          <w:color w:val="000000" w:themeColor="text1"/>
          <w:szCs w:val="24"/>
        </w:rPr>
        <w:t xml:space="preserve">by the applicable state </w:t>
      </w:r>
      <w:proofErr w:type="gramStart"/>
      <w:r w:rsidR="000A3935" w:rsidRPr="00725D4B">
        <w:rPr>
          <w:color w:val="000000" w:themeColor="text1"/>
          <w:szCs w:val="24"/>
        </w:rPr>
        <w:t>statute</w:t>
      </w:r>
      <w:r w:rsidRPr="00725D4B">
        <w:rPr>
          <w:color w:val="000000" w:themeColor="text1"/>
          <w:szCs w:val="24"/>
        </w:rPr>
        <w:t>;</w:t>
      </w:r>
      <w:proofErr w:type="gramEnd"/>
    </w:p>
    <w:p w14:paraId="32E606FA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3DA682B5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proofErr w:type="gramStart"/>
      <w:r w:rsidRPr="00725D4B">
        <w:rPr>
          <w:color w:val="000000" w:themeColor="text1"/>
          <w:szCs w:val="24"/>
        </w:rPr>
        <w:t>immorality;</w:t>
      </w:r>
      <w:proofErr w:type="gramEnd"/>
    </w:p>
    <w:p w14:paraId="37F12415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39021AA9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proofErr w:type="gramStart"/>
      <w:r w:rsidRPr="00725D4B">
        <w:rPr>
          <w:color w:val="000000" w:themeColor="text1"/>
          <w:szCs w:val="24"/>
        </w:rPr>
        <w:t>insubordination;</w:t>
      </w:r>
      <w:proofErr w:type="gramEnd"/>
    </w:p>
    <w:p w14:paraId="20C5A7DA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59C52398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 xml:space="preserve">neglect of </w:t>
      </w:r>
      <w:proofErr w:type="gramStart"/>
      <w:r w:rsidRPr="00725D4B">
        <w:rPr>
          <w:color w:val="000000" w:themeColor="text1"/>
          <w:szCs w:val="24"/>
        </w:rPr>
        <w:t>duty;</w:t>
      </w:r>
      <w:proofErr w:type="gramEnd"/>
    </w:p>
    <w:p w14:paraId="7AF37068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682C3F17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 xml:space="preserve">physical or mental </w:t>
      </w:r>
      <w:proofErr w:type="gramStart"/>
      <w:r w:rsidRPr="00725D4B">
        <w:rPr>
          <w:color w:val="000000" w:themeColor="text1"/>
          <w:szCs w:val="24"/>
        </w:rPr>
        <w:t>incapacity;</w:t>
      </w:r>
      <w:proofErr w:type="gramEnd"/>
    </w:p>
    <w:p w14:paraId="047D3232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51FB5DA9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>habitual or excessive use of alcohol or non-medical use of a controlled substance as defined in Article 5</w:t>
      </w:r>
      <w:r w:rsidR="00211609" w:rsidRPr="00725D4B">
        <w:rPr>
          <w:color w:val="000000" w:themeColor="text1"/>
          <w:szCs w:val="24"/>
        </w:rPr>
        <w:t>,</w:t>
      </w:r>
      <w:r w:rsidR="00D461AA" w:rsidRPr="00725D4B">
        <w:rPr>
          <w:color w:val="000000" w:themeColor="text1"/>
          <w:szCs w:val="24"/>
        </w:rPr>
        <w:t xml:space="preserve"> </w:t>
      </w:r>
      <w:r w:rsidRPr="00725D4B">
        <w:rPr>
          <w:color w:val="000000" w:themeColor="text1"/>
          <w:szCs w:val="24"/>
        </w:rPr>
        <w:t xml:space="preserve">Chapter 90 of the General </w:t>
      </w:r>
      <w:proofErr w:type="gramStart"/>
      <w:r w:rsidRPr="00725D4B">
        <w:rPr>
          <w:color w:val="000000" w:themeColor="text1"/>
          <w:szCs w:val="24"/>
        </w:rPr>
        <w:t>Statutes;</w:t>
      </w:r>
      <w:proofErr w:type="gramEnd"/>
    </w:p>
    <w:p w14:paraId="334510C2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7BA0BFAF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 xml:space="preserve">conviction of a felony or a crime involving moral </w:t>
      </w:r>
      <w:proofErr w:type="gramStart"/>
      <w:r w:rsidRPr="00725D4B">
        <w:rPr>
          <w:color w:val="000000" w:themeColor="text1"/>
          <w:szCs w:val="24"/>
        </w:rPr>
        <w:t>turpitude;</w:t>
      </w:r>
      <w:proofErr w:type="gramEnd"/>
    </w:p>
    <w:p w14:paraId="60E69B47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09DFD2A1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>advocating the overthrow of the government of the United States or of the state of North Carolina by force, violence</w:t>
      </w:r>
      <w:r w:rsidR="002D4DB9" w:rsidRPr="00725D4B">
        <w:rPr>
          <w:color w:val="000000" w:themeColor="text1"/>
          <w:szCs w:val="24"/>
        </w:rPr>
        <w:t>,</w:t>
      </w:r>
      <w:r w:rsidRPr="00725D4B">
        <w:rPr>
          <w:color w:val="000000" w:themeColor="text1"/>
          <w:szCs w:val="24"/>
        </w:rPr>
        <w:t xml:space="preserve"> or other unlawful </w:t>
      </w:r>
      <w:proofErr w:type="gramStart"/>
      <w:r w:rsidRPr="00725D4B">
        <w:rPr>
          <w:color w:val="000000" w:themeColor="text1"/>
          <w:szCs w:val="24"/>
        </w:rPr>
        <w:t>means;</w:t>
      </w:r>
      <w:proofErr w:type="gramEnd"/>
    </w:p>
    <w:p w14:paraId="6AA02A2D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1D7EE953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>failure to fulfill the duties and responsibilities imposed upon teachers</w:t>
      </w:r>
      <w:r w:rsidR="007E59FA" w:rsidRPr="00725D4B">
        <w:rPr>
          <w:color w:val="000000" w:themeColor="text1"/>
          <w:szCs w:val="24"/>
        </w:rPr>
        <w:t xml:space="preserve"> or school administrators</w:t>
      </w:r>
      <w:r w:rsidRPr="00725D4B">
        <w:rPr>
          <w:color w:val="000000" w:themeColor="text1"/>
          <w:szCs w:val="24"/>
        </w:rPr>
        <w:t xml:space="preserve"> by the General </w:t>
      </w:r>
      <w:proofErr w:type="gramStart"/>
      <w:r w:rsidRPr="00725D4B">
        <w:rPr>
          <w:color w:val="000000" w:themeColor="text1"/>
          <w:szCs w:val="24"/>
        </w:rPr>
        <w:t>Statutes;</w:t>
      </w:r>
      <w:proofErr w:type="gramEnd"/>
    </w:p>
    <w:p w14:paraId="28C9DAFD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62E2DA79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 xml:space="preserve">failure to comply with such reasonable requirements as the board may </w:t>
      </w:r>
      <w:proofErr w:type="gramStart"/>
      <w:r w:rsidRPr="00725D4B">
        <w:rPr>
          <w:color w:val="000000" w:themeColor="text1"/>
          <w:szCs w:val="24"/>
        </w:rPr>
        <w:t>prescribe;</w:t>
      </w:r>
      <w:proofErr w:type="gramEnd"/>
    </w:p>
    <w:p w14:paraId="33E4477F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5797B06C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 xml:space="preserve">any </w:t>
      </w:r>
      <w:proofErr w:type="gramStart"/>
      <w:r w:rsidRPr="00725D4B">
        <w:rPr>
          <w:color w:val="000000" w:themeColor="text1"/>
          <w:szCs w:val="24"/>
        </w:rPr>
        <w:t>cause</w:t>
      </w:r>
      <w:proofErr w:type="gramEnd"/>
      <w:r w:rsidRPr="00725D4B">
        <w:rPr>
          <w:color w:val="000000" w:themeColor="text1"/>
          <w:szCs w:val="24"/>
        </w:rPr>
        <w:t xml:space="preserve"> </w:t>
      </w:r>
      <w:r w:rsidR="00C25A62" w:rsidRPr="00725D4B">
        <w:rPr>
          <w:color w:val="000000" w:themeColor="text1"/>
          <w:szCs w:val="24"/>
        </w:rPr>
        <w:t xml:space="preserve">that </w:t>
      </w:r>
      <w:r w:rsidRPr="00725D4B">
        <w:rPr>
          <w:color w:val="000000" w:themeColor="text1"/>
          <w:szCs w:val="24"/>
        </w:rPr>
        <w:t xml:space="preserve">constitutes grounds for the revocation of </w:t>
      </w:r>
      <w:r w:rsidR="00211609" w:rsidRPr="00725D4B">
        <w:rPr>
          <w:color w:val="000000" w:themeColor="text1"/>
          <w:szCs w:val="24"/>
        </w:rPr>
        <w:t>a</w:t>
      </w:r>
      <w:r w:rsidR="007E59FA" w:rsidRPr="00725D4B">
        <w:rPr>
          <w:color w:val="000000" w:themeColor="text1"/>
          <w:szCs w:val="24"/>
        </w:rPr>
        <w:t>n employee’s</w:t>
      </w:r>
      <w:r w:rsidR="00211609" w:rsidRPr="00725D4B">
        <w:rPr>
          <w:color w:val="000000" w:themeColor="text1"/>
          <w:szCs w:val="24"/>
        </w:rPr>
        <w:t xml:space="preserve"> </w:t>
      </w:r>
      <w:r w:rsidRPr="00725D4B">
        <w:rPr>
          <w:color w:val="000000" w:themeColor="text1"/>
          <w:szCs w:val="24"/>
        </w:rPr>
        <w:t>teaching</w:t>
      </w:r>
      <w:r w:rsidR="001B7AA2" w:rsidRPr="00725D4B">
        <w:rPr>
          <w:color w:val="000000" w:themeColor="text1"/>
          <w:szCs w:val="24"/>
        </w:rPr>
        <w:t xml:space="preserve"> </w:t>
      </w:r>
      <w:r w:rsidR="007E59FA" w:rsidRPr="00725D4B">
        <w:rPr>
          <w:color w:val="000000" w:themeColor="text1"/>
          <w:szCs w:val="24"/>
        </w:rPr>
        <w:t xml:space="preserve">or school administrator </w:t>
      </w:r>
      <w:r w:rsidR="00C25756" w:rsidRPr="00725D4B">
        <w:rPr>
          <w:color w:val="000000" w:themeColor="text1"/>
          <w:szCs w:val="24"/>
        </w:rPr>
        <w:t>license</w:t>
      </w:r>
      <w:r w:rsidRPr="00725D4B">
        <w:rPr>
          <w:color w:val="000000" w:themeColor="text1"/>
          <w:szCs w:val="24"/>
        </w:rPr>
        <w:t>;</w:t>
      </w:r>
    </w:p>
    <w:p w14:paraId="7157FE8A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57CCF622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 xml:space="preserve">a justifiable decrease in the number of positions due to </w:t>
      </w:r>
      <w:r w:rsidR="009F6081" w:rsidRPr="00725D4B">
        <w:rPr>
          <w:color w:val="000000" w:themeColor="text1"/>
          <w:szCs w:val="24"/>
        </w:rPr>
        <w:t xml:space="preserve">school </w:t>
      </w:r>
      <w:proofErr w:type="gramStart"/>
      <w:r w:rsidRPr="00725D4B">
        <w:rPr>
          <w:color w:val="000000" w:themeColor="text1"/>
          <w:szCs w:val="24"/>
        </w:rPr>
        <w:t>reorganization</w:t>
      </w:r>
      <w:r w:rsidR="007E59FA" w:rsidRPr="00725D4B">
        <w:rPr>
          <w:color w:val="000000" w:themeColor="text1"/>
          <w:szCs w:val="24"/>
        </w:rPr>
        <w:t>,</w:t>
      </w:r>
      <w:r w:rsidRPr="00725D4B">
        <w:rPr>
          <w:color w:val="000000" w:themeColor="text1"/>
          <w:szCs w:val="24"/>
        </w:rPr>
        <w:t xml:space="preserve">  decreased</w:t>
      </w:r>
      <w:proofErr w:type="gramEnd"/>
      <w:r w:rsidRPr="00725D4B">
        <w:rPr>
          <w:color w:val="000000" w:themeColor="text1"/>
          <w:szCs w:val="24"/>
        </w:rPr>
        <w:t xml:space="preserve"> enrollment</w:t>
      </w:r>
      <w:r w:rsidR="007E59FA" w:rsidRPr="00725D4B">
        <w:rPr>
          <w:color w:val="000000" w:themeColor="text1"/>
          <w:szCs w:val="24"/>
        </w:rPr>
        <w:t>, or decreased funding,</w:t>
      </w:r>
      <w:r w:rsidRPr="00725D4B">
        <w:rPr>
          <w:color w:val="000000" w:themeColor="text1"/>
          <w:szCs w:val="24"/>
        </w:rPr>
        <w:t xml:space="preserve"> provided that there is full compliance with other statutory requirements;</w:t>
      </w:r>
    </w:p>
    <w:p w14:paraId="6D0B55E2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66EAAFA4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 xml:space="preserve">failure to maintain one’s </w:t>
      </w:r>
      <w:r w:rsidR="00C25756" w:rsidRPr="00725D4B">
        <w:rPr>
          <w:color w:val="000000" w:themeColor="text1"/>
          <w:szCs w:val="24"/>
        </w:rPr>
        <w:t xml:space="preserve">license </w:t>
      </w:r>
      <w:r w:rsidRPr="00725D4B">
        <w:rPr>
          <w:color w:val="000000" w:themeColor="text1"/>
          <w:szCs w:val="24"/>
        </w:rPr>
        <w:t xml:space="preserve">in current </w:t>
      </w:r>
      <w:proofErr w:type="gramStart"/>
      <w:r w:rsidRPr="00725D4B">
        <w:rPr>
          <w:color w:val="000000" w:themeColor="text1"/>
          <w:szCs w:val="24"/>
        </w:rPr>
        <w:t>status;</w:t>
      </w:r>
      <w:proofErr w:type="gramEnd"/>
    </w:p>
    <w:p w14:paraId="54612030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2D1CA3B6" w14:textId="77777777" w:rsidR="000F3DCF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  <w:szCs w:val="24"/>
        </w:rPr>
      </w:pPr>
      <w:r w:rsidRPr="00725D4B">
        <w:rPr>
          <w:color w:val="000000" w:themeColor="text1"/>
          <w:szCs w:val="24"/>
        </w:rPr>
        <w:t xml:space="preserve">failure to repay money owed to the </w:t>
      </w:r>
      <w:r w:rsidR="00F07DDF" w:rsidRPr="00725D4B">
        <w:rPr>
          <w:color w:val="000000" w:themeColor="text1"/>
          <w:szCs w:val="24"/>
        </w:rPr>
        <w:t>s</w:t>
      </w:r>
      <w:r w:rsidRPr="00725D4B">
        <w:rPr>
          <w:color w:val="000000" w:themeColor="text1"/>
          <w:szCs w:val="24"/>
        </w:rPr>
        <w:t>tate in accordance with the provisions of Article 60, Chapter 143 of the General Statutes; and</w:t>
      </w:r>
    </w:p>
    <w:p w14:paraId="3EC14187" w14:textId="77777777" w:rsidR="00BE6548" w:rsidRPr="00725D4B" w:rsidRDefault="00BE6548" w:rsidP="00BE6548">
      <w:pPr>
        <w:jc w:val="both"/>
        <w:rPr>
          <w:color w:val="000000" w:themeColor="text1"/>
          <w:szCs w:val="24"/>
        </w:rPr>
      </w:pPr>
    </w:p>
    <w:p w14:paraId="16FBABAA" w14:textId="77777777" w:rsidR="00075F7C" w:rsidRPr="00725D4B" w:rsidRDefault="000F3DCF" w:rsidP="000F3DCF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color w:val="000000" w:themeColor="text1"/>
        </w:rPr>
      </w:pPr>
      <w:r w:rsidRPr="00725D4B">
        <w:rPr>
          <w:color w:val="000000" w:themeColor="text1"/>
          <w:szCs w:val="24"/>
        </w:rPr>
        <w:t>providing false information or knowingly omitting a material fact on an application for employment or in response to a pre-employment inquiry.</w:t>
      </w:r>
    </w:p>
    <w:p w14:paraId="4FF56782" w14:textId="77777777" w:rsidR="007D2A83" w:rsidRPr="00725D4B" w:rsidRDefault="007D2A83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1490BC66" w14:textId="77777777" w:rsidR="00C53648" w:rsidRPr="00725D4B" w:rsidRDefault="007F7D18" w:rsidP="00075F7C">
      <w:pPr>
        <w:tabs>
          <w:tab w:val="left" w:pos="-1440"/>
        </w:tabs>
        <w:jc w:val="both"/>
        <w:rPr>
          <w:color w:val="000000" w:themeColor="text1"/>
        </w:rPr>
      </w:pPr>
      <w:r w:rsidRPr="00725D4B">
        <w:rPr>
          <w:color w:val="000000" w:themeColor="text1"/>
        </w:rPr>
        <w:t>Resignation by a</w:t>
      </w:r>
      <w:r w:rsidR="00C53648" w:rsidRPr="00725D4B">
        <w:rPr>
          <w:color w:val="000000" w:themeColor="text1"/>
        </w:rPr>
        <w:t xml:space="preserve"> </w:t>
      </w:r>
      <w:r w:rsidR="00880350" w:rsidRPr="00725D4B">
        <w:rPr>
          <w:color w:val="000000" w:themeColor="text1"/>
        </w:rPr>
        <w:t>teacher</w:t>
      </w:r>
      <w:r w:rsidR="00C53648" w:rsidRPr="00725D4B">
        <w:rPr>
          <w:color w:val="000000" w:themeColor="text1"/>
        </w:rPr>
        <w:t xml:space="preserve"> who has been recommended for dismissal under </w:t>
      </w:r>
      <w:r w:rsidR="00880350" w:rsidRPr="00725D4B">
        <w:rPr>
          <w:color w:val="000000" w:themeColor="text1"/>
        </w:rPr>
        <w:t>the applicable state statute</w:t>
      </w:r>
      <w:r w:rsidR="00C53648" w:rsidRPr="00725D4B">
        <w:rPr>
          <w:color w:val="000000" w:themeColor="text1"/>
        </w:rPr>
        <w:t xml:space="preserve"> </w:t>
      </w:r>
      <w:r w:rsidR="00F9184C" w:rsidRPr="00725D4B">
        <w:rPr>
          <w:color w:val="000000" w:themeColor="text1"/>
        </w:rPr>
        <w:t>is subject to the provisions of policy 7900, Resignation.</w:t>
      </w:r>
    </w:p>
    <w:p w14:paraId="0F984430" w14:textId="77777777" w:rsidR="00C53648" w:rsidRPr="00725D4B" w:rsidRDefault="00C53648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5F7CA294" w14:textId="77777777" w:rsidR="00A2569F" w:rsidRPr="00725D4B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  <w:r w:rsidRPr="00725D4B">
        <w:rPr>
          <w:color w:val="000000" w:themeColor="text1"/>
        </w:rPr>
        <w:t xml:space="preserve">Legal References:  G.S. </w:t>
      </w:r>
      <w:r w:rsidR="008B032C" w:rsidRPr="00725D4B">
        <w:rPr>
          <w:color w:val="000000" w:themeColor="text1"/>
        </w:rPr>
        <w:t xml:space="preserve">90 art. 5; </w:t>
      </w:r>
      <w:r w:rsidRPr="00725D4B">
        <w:rPr>
          <w:color w:val="000000" w:themeColor="text1"/>
        </w:rPr>
        <w:t>115C</w:t>
      </w:r>
      <w:r w:rsidRPr="00725D4B">
        <w:rPr>
          <w:color w:val="000000" w:themeColor="text1"/>
        </w:rPr>
        <w:noBreakHyphen/>
      </w:r>
      <w:r w:rsidR="00B553B8" w:rsidRPr="00725D4B">
        <w:rPr>
          <w:color w:val="000000" w:themeColor="text1"/>
        </w:rPr>
        <w:t xml:space="preserve">287.1, </w:t>
      </w:r>
      <w:r w:rsidR="008B032C" w:rsidRPr="00725D4B">
        <w:rPr>
          <w:color w:val="000000" w:themeColor="text1"/>
        </w:rPr>
        <w:t xml:space="preserve">-307, </w:t>
      </w:r>
      <w:r w:rsidR="00B553B8" w:rsidRPr="00725D4B">
        <w:rPr>
          <w:color w:val="000000" w:themeColor="text1"/>
        </w:rPr>
        <w:t>-</w:t>
      </w:r>
      <w:r w:rsidRPr="00725D4B">
        <w:rPr>
          <w:color w:val="000000" w:themeColor="text1"/>
        </w:rPr>
        <w:t>325</w:t>
      </w:r>
      <w:r w:rsidR="009F437E" w:rsidRPr="00725D4B">
        <w:rPr>
          <w:color w:val="000000" w:themeColor="text1"/>
        </w:rPr>
        <w:t xml:space="preserve"> (applicable to career status teachers)</w:t>
      </w:r>
      <w:r w:rsidR="00EB1B95" w:rsidRPr="00725D4B">
        <w:rPr>
          <w:color w:val="000000" w:themeColor="text1"/>
        </w:rPr>
        <w:t>,</w:t>
      </w:r>
    </w:p>
    <w:p w14:paraId="4B75E9FF" w14:textId="77777777" w:rsidR="00075F7C" w:rsidRPr="00725D4B" w:rsidRDefault="00414F02" w:rsidP="00075F7C">
      <w:pPr>
        <w:tabs>
          <w:tab w:val="left" w:pos="-1440"/>
        </w:tabs>
        <w:jc w:val="both"/>
        <w:rPr>
          <w:color w:val="000000" w:themeColor="text1"/>
        </w:rPr>
      </w:pPr>
      <w:r w:rsidRPr="00725D4B">
        <w:rPr>
          <w:color w:val="000000" w:themeColor="text1"/>
        </w:rPr>
        <w:t>-325.1</w:t>
      </w:r>
      <w:r w:rsidR="000A2E2B" w:rsidRPr="00725D4B">
        <w:rPr>
          <w:color w:val="000000" w:themeColor="text1"/>
        </w:rPr>
        <w:t xml:space="preserve"> </w:t>
      </w:r>
      <w:r w:rsidR="009F437E" w:rsidRPr="00725D4B">
        <w:rPr>
          <w:i/>
          <w:color w:val="000000" w:themeColor="text1"/>
        </w:rPr>
        <w:t>et seq.</w:t>
      </w:r>
      <w:r w:rsidR="00A40096" w:rsidRPr="00725D4B">
        <w:rPr>
          <w:i/>
          <w:color w:val="000000" w:themeColor="text1"/>
        </w:rPr>
        <w:t xml:space="preserve"> </w:t>
      </w:r>
      <w:r w:rsidR="00A2569F" w:rsidRPr="00725D4B">
        <w:rPr>
          <w:color w:val="000000" w:themeColor="text1"/>
        </w:rPr>
        <w:t>(applicable to non-career status teachers),</w:t>
      </w:r>
      <w:r w:rsidR="009F437E" w:rsidRPr="00725D4B">
        <w:rPr>
          <w:i/>
          <w:color w:val="000000" w:themeColor="text1"/>
        </w:rPr>
        <w:t xml:space="preserve"> </w:t>
      </w:r>
      <w:r w:rsidR="00EB1B95" w:rsidRPr="00725D4B">
        <w:rPr>
          <w:color w:val="000000" w:themeColor="text1"/>
        </w:rPr>
        <w:t>-333, -333.1</w:t>
      </w:r>
      <w:r w:rsidR="00211609" w:rsidRPr="00725D4B">
        <w:rPr>
          <w:color w:val="000000" w:themeColor="text1"/>
        </w:rPr>
        <w:t>;</w:t>
      </w:r>
      <w:r w:rsidR="00075F7C" w:rsidRPr="00725D4B">
        <w:rPr>
          <w:color w:val="000000" w:themeColor="text1"/>
        </w:rPr>
        <w:t xml:space="preserve"> </w:t>
      </w:r>
      <w:r w:rsidR="003A23CE" w:rsidRPr="00725D4B">
        <w:rPr>
          <w:color w:val="000000" w:themeColor="text1"/>
        </w:rPr>
        <w:t xml:space="preserve">143 art. 60; </w:t>
      </w:r>
      <w:r w:rsidR="00075F7C" w:rsidRPr="00725D4B">
        <w:rPr>
          <w:color w:val="000000" w:themeColor="text1"/>
        </w:rPr>
        <w:t>16 N</w:t>
      </w:r>
      <w:r w:rsidR="00BF7110" w:rsidRPr="00725D4B">
        <w:rPr>
          <w:color w:val="000000" w:themeColor="text1"/>
        </w:rPr>
        <w:t>.</w:t>
      </w:r>
      <w:r w:rsidR="00075F7C" w:rsidRPr="00725D4B">
        <w:rPr>
          <w:color w:val="000000" w:themeColor="text1"/>
        </w:rPr>
        <w:t>C</w:t>
      </w:r>
      <w:r w:rsidR="00BF7110" w:rsidRPr="00725D4B">
        <w:rPr>
          <w:color w:val="000000" w:themeColor="text1"/>
        </w:rPr>
        <w:t>.</w:t>
      </w:r>
      <w:r w:rsidR="00075F7C" w:rsidRPr="00725D4B">
        <w:rPr>
          <w:color w:val="000000" w:themeColor="text1"/>
        </w:rPr>
        <w:t>A</w:t>
      </w:r>
      <w:r w:rsidR="00BF7110" w:rsidRPr="00725D4B">
        <w:rPr>
          <w:color w:val="000000" w:themeColor="text1"/>
        </w:rPr>
        <w:t>.</w:t>
      </w:r>
      <w:r w:rsidR="00075F7C" w:rsidRPr="00725D4B">
        <w:rPr>
          <w:color w:val="000000" w:themeColor="text1"/>
        </w:rPr>
        <w:t>C</w:t>
      </w:r>
      <w:r w:rsidR="00BF7110" w:rsidRPr="00725D4B">
        <w:rPr>
          <w:color w:val="000000" w:themeColor="text1"/>
        </w:rPr>
        <w:t>.</w:t>
      </w:r>
      <w:r w:rsidR="00075F7C" w:rsidRPr="00725D4B">
        <w:rPr>
          <w:color w:val="000000" w:themeColor="text1"/>
        </w:rPr>
        <w:t xml:space="preserve"> 6C</w:t>
      </w:r>
      <w:r w:rsidR="00BE6548" w:rsidRPr="00725D4B">
        <w:rPr>
          <w:color w:val="000000" w:themeColor="text1"/>
        </w:rPr>
        <w:t xml:space="preserve"> </w:t>
      </w:r>
      <w:r w:rsidR="00075F7C" w:rsidRPr="00725D4B">
        <w:rPr>
          <w:color w:val="000000" w:themeColor="text1"/>
        </w:rPr>
        <w:t>.0502</w:t>
      </w:r>
    </w:p>
    <w:p w14:paraId="059EBA80" w14:textId="77777777" w:rsidR="00075F7C" w:rsidRPr="00725D4B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35657254" w14:textId="77777777" w:rsidR="00075F7C" w:rsidRPr="00725D4B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  <w:r w:rsidRPr="00725D4B">
        <w:rPr>
          <w:color w:val="000000" w:themeColor="text1"/>
        </w:rPr>
        <w:t xml:space="preserve">Cross References:  </w:t>
      </w:r>
      <w:r w:rsidR="00C25A62" w:rsidRPr="00725D4B">
        <w:rPr>
          <w:color w:val="000000" w:themeColor="text1"/>
        </w:rPr>
        <w:t xml:space="preserve">Professional </w:t>
      </w:r>
      <w:r w:rsidR="00BF7110" w:rsidRPr="00725D4B">
        <w:rPr>
          <w:color w:val="000000" w:themeColor="text1"/>
        </w:rPr>
        <w:t xml:space="preserve">and Staff </w:t>
      </w:r>
      <w:r w:rsidR="00C25A62" w:rsidRPr="00725D4B">
        <w:rPr>
          <w:color w:val="000000" w:themeColor="text1"/>
        </w:rPr>
        <w:t xml:space="preserve">Development (policy 1610/7800), </w:t>
      </w:r>
      <w:r w:rsidRPr="00725D4B">
        <w:rPr>
          <w:color w:val="000000" w:themeColor="text1"/>
        </w:rPr>
        <w:t xml:space="preserve">Staff Responsibilities (policy 7300), Job Descriptions (policy 7400), Evaluation of Licensed Employees (policy 7810), </w:t>
      </w:r>
      <w:r w:rsidR="00EB1B95" w:rsidRPr="00725D4B">
        <w:rPr>
          <w:color w:val="000000" w:themeColor="text1"/>
        </w:rPr>
        <w:t xml:space="preserve">Plans </w:t>
      </w:r>
      <w:r w:rsidR="0020388A" w:rsidRPr="00725D4B">
        <w:rPr>
          <w:color w:val="000000" w:themeColor="text1"/>
        </w:rPr>
        <w:t xml:space="preserve">for </w:t>
      </w:r>
      <w:r w:rsidR="002C13AE" w:rsidRPr="00725D4B">
        <w:rPr>
          <w:color w:val="000000" w:themeColor="text1"/>
        </w:rPr>
        <w:t xml:space="preserve">Growth and Improvement of </w:t>
      </w:r>
      <w:r w:rsidR="0020388A" w:rsidRPr="00725D4B">
        <w:rPr>
          <w:color w:val="000000" w:themeColor="text1"/>
        </w:rPr>
        <w:t xml:space="preserve">Licensed Employees </w:t>
      </w:r>
      <w:r w:rsidR="00EB1B95" w:rsidRPr="00725D4B">
        <w:rPr>
          <w:color w:val="000000" w:themeColor="text1"/>
        </w:rPr>
        <w:t xml:space="preserve">(policy 7811), </w:t>
      </w:r>
      <w:r w:rsidRPr="00725D4B">
        <w:rPr>
          <w:color w:val="000000" w:themeColor="text1"/>
        </w:rPr>
        <w:t xml:space="preserve">Personnel Files (policy 7820), </w:t>
      </w:r>
      <w:r w:rsidR="00E02A49" w:rsidRPr="00725D4B">
        <w:rPr>
          <w:color w:val="000000" w:themeColor="text1"/>
        </w:rPr>
        <w:t>Resignation</w:t>
      </w:r>
      <w:r w:rsidR="007B7EE8" w:rsidRPr="00725D4B">
        <w:rPr>
          <w:color w:val="000000" w:themeColor="text1"/>
        </w:rPr>
        <w:t xml:space="preserve"> (policy 7900), </w:t>
      </w:r>
      <w:r w:rsidR="00C25451" w:rsidRPr="00725D4B">
        <w:rPr>
          <w:color w:val="000000" w:themeColor="text1"/>
        </w:rPr>
        <w:t xml:space="preserve">Non-Career Status </w:t>
      </w:r>
      <w:r w:rsidR="003E7934" w:rsidRPr="00725D4B">
        <w:rPr>
          <w:color w:val="000000" w:themeColor="text1"/>
        </w:rPr>
        <w:t>Teachers: Nonrenewal (policy 7950)</w:t>
      </w:r>
    </w:p>
    <w:p w14:paraId="0FDFD257" w14:textId="77777777" w:rsidR="00075F7C" w:rsidRPr="00725D4B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18951492" w14:textId="6DB3DE4A" w:rsidR="00075F7C" w:rsidRPr="00725D4B" w:rsidRDefault="00A3580C" w:rsidP="00075F7C">
      <w:pPr>
        <w:tabs>
          <w:tab w:val="left" w:pos="-1440"/>
        </w:tabs>
        <w:jc w:val="both"/>
        <w:rPr>
          <w:color w:val="000000" w:themeColor="text1"/>
        </w:rPr>
      </w:pPr>
      <w:r w:rsidRPr="00725D4B">
        <w:rPr>
          <w:color w:val="000000" w:themeColor="text1"/>
        </w:rPr>
        <w:t>Adopt</w:t>
      </w:r>
      <w:r w:rsidR="008F0682" w:rsidRPr="00725D4B">
        <w:rPr>
          <w:color w:val="000000" w:themeColor="text1"/>
        </w:rPr>
        <w:t>ed</w:t>
      </w:r>
      <w:r w:rsidR="00075F7C" w:rsidRPr="00725D4B">
        <w:rPr>
          <w:color w:val="000000" w:themeColor="text1"/>
        </w:rPr>
        <w:t xml:space="preserve">:  </w:t>
      </w:r>
      <w:r w:rsidR="002232C8" w:rsidRPr="00725D4B">
        <w:rPr>
          <w:color w:val="000000" w:themeColor="text1"/>
        </w:rPr>
        <w:t>June 17, 2020</w:t>
      </w:r>
    </w:p>
    <w:p w14:paraId="2863AC9A" w14:textId="50E839E1" w:rsidR="00725D4B" w:rsidRPr="00725D4B" w:rsidRDefault="00725D4B" w:rsidP="00075F7C">
      <w:pPr>
        <w:tabs>
          <w:tab w:val="left" w:pos="-1440"/>
        </w:tabs>
        <w:jc w:val="both"/>
        <w:rPr>
          <w:color w:val="000000" w:themeColor="text1"/>
        </w:rPr>
      </w:pPr>
      <w:r w:rsidRPr="00725D4B">
        <w:rPr>
          <w:color w:val="000000" w:themeColor="text1"/>
        </w:rPr>
        <w:t>Revised: July 20, 2022</w:t>
      </w:r>
    </w:p>
    <w:p w14:paraId="2A42EB06" w14:textId="77777777" w:rsidR="008F0682" w:rsidRPr="00A47C57" w:rsidRDefault="008F0682" w:rsidP="00075F7C">
      <w:pPr>
        <w:tabs>
          <w:tab w:val="left" w:pos="-1440"/>
        </w:tabs>
        <w:jc w:val="both"/>
      </w:pPr>
    </w:p>
    <w:p w14:paraId="643F11AE" w14:textId="77777777" w:rsidR="008F0682" w:rsidRPr="00A47C57" w:rsidRDefault="008F0682" w:rsidP="00075F7C">
      <w:pPr>
        <w:tabs>
          <w:tab w:val="left" w:pos="-1440"/>
        </w:tabs>
        <w:jc w:val="both"/>
      </w:pPr>
    </w:p>
    <w:sectPr w:rsidR="008F0682" w:rsidRPr="00A47C57" w:rsidSect="00C05706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1083" w14:textId="77777777" w:rsidR="002B015B" w:rsidRDefault="002B015B">
      <w:r>
        <w:separator/>
      </w:r>
    </w:p>
  </w:endnote>
  <w:endnote w:type="continuationSeparator" w:id="0">
    <w:p w14:paraId="7221ADBD" w14:textId="77777777" w:rsidR="002B015B" w:rsidRDefault="002B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539A" w14:textId="77777777" w:rsidR="00990136" w:rsidRDefault="00990136" w:rsidP="00357912">
    <w:pPr>
      <w:spacing w:line="240" w:lineRule="exact"/>
    </w:pPr>
  </w:p>
  <w:p w14:paraId="522E0127" w14:textId="77777777" w:rsidR="00990136" w:rsidRDefault="00A3580C" w:rsidP="00357912">
    <w:pPr>
      <w:spacing w:line="109" w:lineRule="exact"/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D9EEE8B" wp14:editId="45321F94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5943600" cy="0"/>
              <wp:effectExtent l="0" t="19050" r="19050" b="381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E70A0" id="Line 5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.35pt" to="468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49EF1693" w14:textId="77777777" w:rsidR="00990136" w:rsidRDefault="00D15730" w:rsidP="00A3580C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  <w:r>
      <w:rPr>
        <w:b/>
      </w:rPr>
      <w:t>NE REGIONAL SCHOOL BOARD OF DIRECTORS POLICY MANUAL</w:t>
    </w:r>
    <w:r w:rsidR="00A3580C">
      <w:rPr>
        <w:b/>
        <w:szCs w:val="24"/>
      </w:rPr>
      <w:tab/>
    </w:r>
    <w:r w:rsidR="00A3580C">
      <w:rPr>
        <w:szCs w:val="24"/>
      </w:rPr>
      <w:t xml:space="preserve">Page </w:t>
    </w:r>
    <w:r w:rsidR="00A3580C">
      <w:rPr>
        <w:szCs w:val="24"/>
      </w:rPr>
      <w:fldChar w:fldCharType="begin"/>
    </w:r>
    <w:r w:rsidR="00A3580C">
      <w:rPr>
        <w:szCs w:val="24"/>
      </w:rPr>
      <w:instrText xml:space="preserve"> PAGE  \* Arabic  \* MERGEFORMAT </w:instrText>
    </w:r>
    <w:r w:rsidR="00A3580C">
      <w:rPr>
        <w:szCs w:val="24"/>
      </w:rPr>
      <w:fldChar w:fldCharType="separate"/>
    </w:r>
    <w:r w:rsidR="0020546A">
      <w:rPr>
        <w:noProof/>
        <w:szCs w:val="24"/>
      </w:rPr>
      <w:t>1</w:t>
    </w:r>
    <w:r w:rsidR="00A3580C">
      <w:rPr>
        <w:szCs w:val="24"/>
      </w:rPr>
      <w:fldChar w:fldCharType="end"/>
    </w:r>
    <w:r w:rsidR="00A3580C">
      <w:rPr>
        <w:szCs w:val="24"/>
      </w:rPr>
      <w:t xml:space="preserve"> of </w:t>
    </w:r>
    <w:r w:rsidR="00A3580C">
      <w:rPr>
        <w:szCs w:val="24"/>
      </w:rPr>
      <w:fldChar w:fldCharType="begin"/>
    </w:r>
    <w:r w:rsidR="00A3580C">
      <w:rPr>
        <w:szCs w:val="24"/>
      </w:rPr>
      <w:instrText xml:space="preserve"> NUMPAGES  \* Arabic  \* MERGEFORMAT </w:instrText>
    </w:r>
    <w:r w:rsidR="00A3580C">
      <w:rPr>
        <w:szCs w:val="24"/>
      </w:rPr>
      <w:fldChar w:fldCharType="separate"/>
    </w:r>
    <w:r w:rsidR="0020546A">
      <w:rPr>
        <w:noProof/>
        <w:szCs w:val="24"/>
      </w:rPr>
      <w:t>2</w:t>
    </w:r>
    <w:r w:rsidR="00A3580C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7291" w14:textId="77777777" w:rsidR="002B015B" w:rsidRDefault="002B015B">
      <w:r>
        <w:separator/>
      </w:r>
    </w:p>
  </w:footnote>
  <w:footnote w:type="continuationSeparator" w:id="0">
    <w:p w14:paraId="10781EF0" w14:textId="77777777" w:rsidR="002B015B" w:rsidRDefault="002B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9667" w14:textId="77777777" w:rsidR="00990136" w:rsidRPr="008B032C" w:rsidRDefault="00990136" w:rsidP="000F3DCF">
    <w:pPr>
      <w:tabs>
        <w:tab w:val="left" w:pos="6840"/>
        <w:tab w:val="right" w:pos="9360"/>
      </w:tabs>
    </w:pPr>
    <w:r w:rsidRPr="008B032C">
      <w:rPr>
        <w:sz w:val="20"/>
      </w:rPr>
      <w:tab/>
    </w:r>
    <w:r w:rsidRPr="008B032C">
      <w:rPr>
        <w:i/>
        <w:sz w:val="20"/>
      </w:rPr>
      <w:t>Policy Code:</w:t>
    </w:r>
    <w:r w:rsidRPr="008B032C">
      <w:tab/>
    </w:r>
    <w:r w:rsidRPr="008B032C">
      <w:rPr>
        <w:b/>
      </w:rPr>
      <w:t>7930</w:t>
    </w:r>
  </w:p>
  <w:p w14:paraId="4F53BB45" w14:textId="77777777" w:rsidR="00990136" w:rsidRPr="008B032C" w:rsidRDefault="005C061E" w:rsidP="000F3DCF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EF24121" wp14:editId="1EB94E61">
              <wp:simplePos x="0" y="0"/>
              <wp:positionH relativeFrom="column">
                <wp:posOffset>0</wp:posOffset>
              </wp:positionH>
              <wp:positionV relativeFrom="paragraph">
                <wp:posOffset>33654</wp:posOffset>
              </wp:positionV>
              <wp:extent cx="5943600" cy="0"/>
              <wp:effectExtent l="0" t="19050" r="1905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98850" id="Line 4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2.65pt" to="468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" o:allowincell="f" strokeweight="4.5pt">
              <v:stroke linestyle="thinThick"/>
            </v:line>
          </w:pict>
        </mc:Fallback>
      </mc:AlternateContent>
    </w:r>
  </w:p>
  <w:p w14:paraId="5A441557" w14:textId="77777777" w:rsidR="00990136" w:rsidRPr="008B032C" w:rsidRDefault="00990136" w:rsidP="00F0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80C32"/>
    <w:multiLevelType w:val="hybridMultilevel"/>
    <w:tmpl w:val="2AAC7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68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BB"/>
    <w:rsid w:val="00000980"/>
    <w:rsid w:val="000020DE"/>
    <w:rsid w:val="00011BD8"/>
    <w:rsid w:val="0006504A"/>
    <w:rsid w:val="00070013"/>
    <w:rsid w:val="00073DDE"/>
    <w:rsid w:val="00075F7C"/>
    <w:rsid w:val="00095AA9"/>
    <w:rsid w:val="000A2E2B"/>
    <w:rsid w:val="000A3935"/>
    <w:rsid w:val="000E1DA9"/>
    <w:rsid w:val="000F3DCF"/>
    <w:rsid w:val="00120898"/>
    <w:rsid w:val="00120E8C"/>
    <w:rsid w:val="00122CE0"/>
    <w:rsid w:val="00157DAB"/>
    <w:rsid w:val="001602AA"/>
    <w:rsid w:val="00171492"/>
    <w:rsid w:val="0019615C"/>
    <w:rsid w:val="001A1668"/>
    <w:rsid w:val="001B7AA2"/>
    <w:rsid w:val="001E45D1"/>
    <w:rsid w:val="0020388A"/>
    <w:rsid w:val="002039D4"/>
    <w:rsid w:val="0020546A"/>
    <w:rsid w:val="00206279"/>
    <w:rsid w:val="00207F58"/>
    <w:rsid w:val="00211609"/>
    <w:rsid w:val="002232C8"/>
    <w:rsid w:val="002250CE"/>
    <w:rsid w:val="00231B83"/>
    <w:rsid w:val="002365C4"/>
    <w:rsid w:val="00237AE9"/>
    <w:rsid w:val="002429B2"/>
    <w:rsid w:val="00247D32"/>
    <w:rsid w:val="002547B6"/>
    <w:rsid w:val="00270646"/>
    <w:rsid w:val="00297EA2"/>
    <w:rsid w:val="002A6B94"/>
    <w:rsid w:val="002B015B"/>
    <w:rsid w:val="002B11EF"/>
    <w:rsid w:val="002C13AE"/>
    <w:rsid w:val="002C3795"/>
    <w:rsid w:val="002C6CC9"/>
    <w:rsid w:val="002D4DB9"/>
    <w:rsid w:val="00343861"/>
    <w:rsid w:val="00357912"/>
    <w:rsid w:val="003659D1"/>
    <w:rsid w:val="00380441"/>
    <w:rsid w:val="00395327"/>
    <w:rsid w:val="003A23CE"/>
    <w:rsid w:val="003B2322"/>
    <w:rsid w:val="003E6AB1"/>
    <w:rsid w:val="003E742C"/>
    <w:rsid w:val="003E7934"/>
    <w:rsid w:val="004051D4"/>
    <w:rsid w:val="00410191"/>
    <w:rsid w:val="00414F02"/>
    <w:rsid w:val="00437BFA"/>
    <w:rsid w:val="004623A7"/>
    <w:rsid w:val="00493A09"/>
    <w:rsid w:val="00493EA2"/>
    <w:rsid w:val="004A5E2E"/>
    <w:rsid w:val="004B5C3F"/>
    <w:rsid w:val="004D018E"/>
    <w:rsid w:val="004D1853"/>
    <w:rsid w:val="004D21E7"/>
    <w:rsid w:val="004D2D93"/>
    <w:rsid w:val="005244EC"/>
    <w:rsid w:val="005279DB"/>
    <w:rsid w:val="00532D0A"/>
    <w:rsid w:val="0056416E"/>
    <w:rsid w:val="00573835"/>
    <w:rsid w:val="00574E24"/>
    <w:rsid w:val="005772F8"/>
    <w:rsid w:val="005B3C60"/>
    <w:rsid w:val="005C061E"/>
    <w:rsid w:val="005C47AD"/>
    <w:rsid w:val="005E6033"/>
    <w:rsid w:val="005F4DE3"/>
    <w:rsid w:val="005F6470"/>
    <w:rsid w:val="005F6D4B"/>
    <w:rsid w:val="005F77C3"/>
    <w:rsid w:val="0060792A"/>
    <w:rsid w:val="00611F78"/>
    <w:rsid w:val="0061531B"/>
    <w:rsid w:val="00684A52"/>
    <w:rsid w:val="006B3C48"/>
    <w:rsid w:val="006B5B21"/>
    <w:rsid w:val="006E36EA"/>
    <w:rsid w:val="006F3A14"/>
    <w:rsid w:val="006F4508"/>
    <w:rsid w:val="00700ADD"/>
    <w:rsid w:val="00702E33"/>
    <w:rsid w:val="007131FF"/>
    <w:rsid w:val="0072137B"/>
    <w:rsid w:val="00725D4B"/>
    <w:rsid w:val="0076456B"/>
    <w:rsid w:val="007662E7"/>
    <w:rsid w:val="007774A5"/>
    <w:rsid w:val="007B2A17"/>
    <w:rsid w:val="007B7AB0"/>
    <w:rsid w:val="007B7EE8"/>
    <w:rsid w:val="007D2A83"/>
    <w:rsid w:val="007D5A08"/>
    <w:rsid w:val="007E03EC"/>
    <w:rsid w:val="007E34A0"/>
    <w:rsid w:val="007E59FA"/>
    <w:rsid w:val="007E6670"/>
    <w:rsid w:val="007F3FCA"/>
    <w:rsid w:val="007F7D18"/>
    <w:rsid w:val="00827BDF"/>
    <w:rsid w:val="00833413"/>
    <w:rsid w:val="00846255"/>
    <w:rsid w:val="00847A05"/>
    <w:rsid w:val="00854C11"/>
    <w:rsid w:val="00880350"/>
    <w:rsid w:val="0089487D"/>
    <w:rsid w:val="00895993"/>
    <w:rsid w:val="008A5C7E"/>
    <w:rsid w:val="008B032C"/>
    <w:rsid w:val="008B6556"/>
    <w:rsid w:val="008C6033"/>
    <w:rsid w:val="008E2216"/>
    <w:rsid w:val="008F0682"/>
    <w:rsid w:val="008F6926"/>
    <w:rsid w:val="00934BF2"/>
    <w:rsid w:val="00942D36"/>
    <w:rsid w:val="00945124"/>
    <w:rsid w:val="00990136"/>
    <w:rsid w:val="009C0306"/>
    <w:rsid w:val="009D176D"/>
    <w:rsid w:val="009D2728"/>
    <w:rsid w:val="009F437E"/>
    <w:rsid w:val="009F4CF3"/>
    <w:rsid w:val="009F5171"/>
    <w:rsid w:val="009F6081"/>
    <w:rsid w:val="00A10F50"/>
    <w:rsid w:val="00A2569F"/>
    <w:rsid w:val="00A3580C"/>
    <w:rsid w:val="00A40096"/>
    <w:rsid w:val="00A45767"/>
    <w:rsid w:val="00A47C57"/>
    <w:rsid w:val="00A509ED"/>
    <w:rsid w:val="00A50E2F"/>
    <w:rsid w:val="00A518DF"/>
    <w:rsid w:val="00A605AC"/>
    <w:rsid w:val="00A731F1"/>
    <w:rsid w:val="00A7445C"/>
    <w:rsid w:val="00A75D3B"/>
    <w:rsid w:val="00A800ED"/>
    <w:rsid w:val="00A97504"/>
    <w:rsid w:val="00A97645"/>
    <w:rsid w:val="00AA207A"/>
    <w:rsid w:val="00AB279C"/>
    <w:rsid w:val="00AC07C6"/>
    <w:rsid w:val="00AD39A7"/>
    <w:rsid w:val="00AD5E84"/>
    <w:rsid w:val="00AE678A"/>
    <w:rsid w:val="00B27968"/>
    <w:rsid w:val="00B553B8"/>
    <w:rsid w:val="00B60B87"/>
    <w:rsid w:val="00B678B5"/>
    <w:rsid w:val="00B942EC"/>
    <w:rsid w:val="00BB0674"/>
    <w:rsid w:val="00BC15E3"/>
    <w:rsid w:val="00BE6548"/>
    <w:rsid w:val="00BF7110"/>
    <w:rsid w:val="00BF7FA2"/>
    <w:rsid w:val="00C045D3"/>
    <w:rsid w:val="00C05706"/>
    <w:rsid w:val="00C25451"/>
    <w:rsid w:val="00C25756"/>
    <w:rsid w:val="00C25A62"/>
    <w:rsid w:val="00C466CE"/>
    <w:rsid w:val="00C53648"/>
    <w:rsid w:val="00C614D6"/>
    <w:rsid w:val="00C71D7A"/>
    <w:rsid w:val="00C95917"/>
    <w:rsid w:val="00CA4DDA"/>
    <w:rsid w:val="00CB1EDF"/>
    <w:rsid w:val="00CC19B1"/>
    <w:rsid w:val="00CC513F"/>
    <w:rsid w:val="00CC74FC"/>
    <w:rsid w:val="00CF003E"/>
    <w:rsid w:val="00D15730"/>
    <w:rsid w:val="00D461AA"/>
    <w:rsid w:val="00D94DBF"/>
    <w:rsid w:val="00DC68FD"/>
    <w:rsid w:val="00DD2987"/>
    <w:rsid w:val="00DD3596"/>
    <w:rsid w:val="00DE237A"/>
    <w:rsid w:val="00DF14D7"/>
    <w:rsid w:val="00DF7A4E"/>
    <w:rsid w:val="00E02A49"/>
    <w:rsid w:val="00E13E06"/>
    <w:rsid w:val="00E219FA"/>
    <w:rsid w:val="00E43E6C"/>
    <w:rsid w:val="00E472BB"/>
    <w:rsid w:val="00E53DF3"/>
    <w:rsid w:val="00E60226"/>
    <w:rsid w:val="00E622BE"/>
    <w:rsid w:val="00E83B2D"/>
    <w:rsid w:val="00E85469"/>
    <w:rsid w:val="00EA6C4B"/>
    <w:rsid w:val="00EB1B95"/>
    <w:rsid w:val="00ED52C3"/>
    <w:rsid w:val="00EE4F47"/>
    <w:rsid w:val="00F07DDF"/>
    <w:rsid w:val="00F4182C"/>
    <w:rsid w:val="00F65E93"/>
    <w:rsid w:val="00F9184C"/>
    <w:rsid w:val="00F91AB3"/>
    <w:rsid w:val="00FC4125"/>
    <w:rsid w:val="00FC57CB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E05BED"/>
  <w15:docId w15:val="{63DE1ECA-D592-423B-BC2F-8AF62271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7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75F7C"/>
  </w:style>
  <w:style w:type="paragraph" w:styleId="FootnoteText">
    <w:name w:val="footnote text"/>
    <w:basedOn w:val="Normal"/>
    <w:semiHidden/>
    <w:rsid w:val="00075F7C"/>
    <w:rPr>
      <w:sz w:val="20"/>
    </w:rPr>
  </w:style>
  <w:style w:type="paragraph" w:styleId="Footer">
    <w:name w:val="footer"/>
    <w:basedOn w:val="Normal"/>
    <w:rsid w:val="00075F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5F7C"/>
  </w:style>
  <w:style w:type="paragraph" w:styleId="Header">
    <w:name w:val="header"/>
    <w:basedOn w:val="Normal"/>
    <w:rsid w:val="00075F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7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7AE9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7B7EE8"/>
    <w:rPr>
      <w:snapToGrid w:val="0"/>
      <w:sz w:val="24"/>
    </w:rPr>
  </w:style>
  <w:style w:type="character" w:styleId="CommentReference">
    <w:name w:val="annotation reference"/>
    <w:basedOn w:val="DefaultParagraphFont"/>
    <w:rsid w:val="005279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79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79D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27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9DB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D3BD-96E4-7841-98B8-456E573E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EMPLOYEES:</vt:lpstr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EMPLOYEES:</dc:title>
  <dc:creator>Elyse McCoy</dc:creator>
  <cp:lastModifiedBy>Larry Price</cp:lastModifiedBy>
  <cp:revision>5</cp:revision>
  <cp:lastPrinted>2014-03-26T18:51:00Z</cp:lastPrinted>
  <dcterms:created xsi:type="dcterms:W3CDTF">2020-03-10T01:59:00Z</dcterms:created>
  <dcterms:modified xsi:type="dcterms:W3CDTF">2022-07-22T01:34:00Z</dcterms:modified>
</cp:coreProperties>
</file>