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85FC" w14:textId="77777777" w:rsidR="00C46B5E" w:rsidRPr="00912DB3" w:rsidRDefault="00C46B5E" w:rsidP="00C46B5E">
      <w:pPr>
        <w:tabs>
          <w:tab w:val="left" w:pos="6840"/>
          <w:tab w:val="right" w:pos="9360"/>
        </w:tabs>
        <w:rPr>
          <w:b/>
          <w:color w:val="000000" w:themeColor="text1"/>
          <w:sz w:val="28"/>
        </w:rPr>
      </w:pPr>
      <w:r w:rsidRPr="00912DB3">
        <w:rPr>
          <w:b/>
          <w:color w:val="000000" w:themeColor="text1"/>
          <w:sz w:val="28"/>
        </w:rPr>
        <w:t xml:space="preserve">GRANTS AND </w:t>
      </w:r>
    </w:p>
    <w:p w14:paraId="3C701546" w14:textId="77777777" w:rsidR="00C46B5E" w:rsidRPr="00912DB3" w:rsidRDefault="00C46B5E" w:rsidP="00C46B5E">
      <w:pPr>
        <w:tabs>
          <w:tab w:val="left" w:pos="6840"/>
          <w:tab w:val="right" w:pos="9360"/>
        </w:tabs>
        <w:rPr>
          <w:color w:val="000000" w:themeColor="text1"/>
        </w:rPr>
      </w:pPr>
      <w:r w:rsidRPr="00912DB3">
        <w:rPr>
          <w:b/>
          <w:color w:val="000000" w:themeColor="text1"/>
          <w:sz w:val="28"/>
        </w:rPr>
        <w:t>FUNDING FOR SPECIAL PROJECTS</w:t>
      </w:r>
      <w:r w:rsidRPr="00912DB3">
        <w:rPr>
          <w:color w:val="000000" w:themeColor="text1"/>
          <w:sz w:val="28"/>
        </w:rPr>
        <w:tab/>
      </w:r>
      <w:r w:rsidRPr="00912DB3">
        <w:rPr>
          <w:i/>
          <w:color w:val="000000" w:themeColor="text1"/>
          <w:sz w:val="20"/>
        </w:rPr>
        <w:t>Policy Code:</w:t>
      </w:r>
      <w:r w:rsidRPr="00912DB3">
        <w:rPr>
          <w:color w:val="000000" w:themeColor="text1"/>
          <w:sz w:val="20"/>
        </w:rPr>
        <w:tab/>
      </w:r>
      <w:r w:rsidRPr="00912DB3">
        <w:rPr>
          <w:b/>
          <w:color w:val="000000" w:themeColor="text1"/>
        </w:rPr>
        <w:t>8210</w:t>
      </w:r>
    </w:p>
    <w:p w14:paraId="32ECFAAB" w14:textId="77777777" w:rsidR="00C46B5E" w:rsidRPr="00912DB3" w:rsidRDefault="00C46B5E" w:rsidP="00C46B5E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</w:p>
    <w:p w14:paraId="48593C9A" w14:textId="77777777" w:rsidR="00C46B5E" w:rsidRPr="00912DB3" w:rsidRDefault="004368C0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516C47" wp14:editId="67B3D73A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943600" cy="0"/>
                <wp:effectExtent l="28575" t="33655" r="28575" b="3302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498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" o:allowincell="f" strokeweight="4.5pt">
                <v:stroke linestyle="thinThick"/>
              </v:line>
            </w:pict>
          </mc:Fallback>
        </mc:AlternateContent>
      </w:r>
    </w:p>
    <w:p w14:paraId="2276A88E" w14:textId="77777777" w:rsidR="00F87B6A" w:rsidRPr="00912DB3" w:rsidRDefault="00F87B6A" w:rsidP="00C46B5E">
      <w:pPr>
        <w:tabs>
          <w:tab w:val="left" w:pos="-1440"/>
        </w:tabs>
        <w:jc w:val="both"/>
        <w:rPr>
          <w:color w:val="000000" w:themeColor="text1"/>
        </w:rPr>
        <w:sectPr w:rsidR="00F87B6A" w:rsidRPr="00912DB3" w:rsidSect="00DB0F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D2D0370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</w:p>
    <w:p w14:paraId="02E9ADD7" w14:textId="58FDA1B6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 xml:space="preserve">To fulfill the educational goals of the board, the board will seek as many sources of revenue as possible.  </w:t>
      </w:r>
      <w:r w:rsidR="00CD5627" w:rsidRPr="00912DB3">
        <w:rPr>
          <w:color w:val="000000" w:themeColor="text1"/>
        </w:rPr>
        <w:t>Where appropriate, the</w:t>
      </w:r>
      <w:r w:rsidR="00912DB3" w:rsidRPr="00912DB3">
        <w:rPr>
          <w:color w:val="000000" w:themeColor="text1"/>
        </w:rPr>
        <w:t xml:space="preserve"> </w:t>
      </w:r>
      <w:r w:rsidR="002C69B5" w:rsidRPr="00912DB3">
        <w:rPr>
          <w:color w:val="000000" w:themeColor="text1"/>
        </w:rPr>
        <w:t xml:space="preserve">executive director </w:t>
      </w:r>
      <w:r w:rsidR="00CD5627" w:rsidRPr="00912DB3">
        <w:rPr>
          <w:color w:val="000000" w:themeColor="text1"/>
        </w:rPr>
        <w:t xml:space="preserve">is directed to </w:t>
      </w:r>
      <w:r w:rsidRPr="00912DB3">
        <w:rPr>
          <w:color w:val="000000" w:themeColor="text1"/>
        </w:rPr>
        <w:t xml:space="preserve">seek public and private grants and funding for special projects as a source of supplemental funding.  Employees also are encouraged to learn about special funding opportunities and to participate in the development of </w:t>
      </w:r>
      <w:r w:rsidR="002C5D1E" w:rsidRPr="00912DB3">
        <w:rPr>
          <w:color w:val="000000" w:themeColor="text1"/>
        </w:rPr>
        <w:t>proposals to obtain the funding.</w:t>
      </w:r>
      <w:r w:rsidRPr="00912DB3">
        <w:rPr>
          <w:color w:val="000000" w:themeColor="text1"/>
        </w:rPr>
        <w:t xml:space="preserve"> </w:t>
      </w:r>
    </w:p>
    <w:p w14:paraId="59BED5E3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</w:p>
    <w:p w14:paraId="09205BEF" w14:textId="77777777" w:rsidR="004368C0" w:rsidRPr="00912DB3" w:rsidRDefault="00C46B5E" w:rsidP="004368C0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 xml:space="preserve">All applications for grants or specially funded projects </w:t>
      </w:r>
      <w:r w:rsidR="00E91CE1" w:rsidRPr="00912DB3">
        <w:rPr>
          <w:color w:val="000000" w:themeColor="text1"/>
        </w:rPr>
        <w:t>must</w:t>
      </w:r>
      <w:r w:rsidRPr="00912DB3">
        <w:rPr>
          <w:color w:val="000000" w:themeColor="text1"/>
        </w:rPr>
        <w:t xml:space="preserve"> be </w:t>
      </w:r>
      <w:r w:rsidR="00CD5627" w:rsidRPr="00912DB3">
        <w:rPr>
          <w:color w:val="000000" w:themeColor="text1"/>
        </w:rPr>
        <w:t>consistent</w:t>
      </w:r>
      <w:r w:rsidRPr="00912DB3">
        <w:rPr>
          <w:color w:val="000000" w:themeColor="text1"/>
        </w:rPr>
        <w:t xml:space="preserve"> with the educational goals of the board.  </w:t>
      </w:r>
      <w:r w:rsidR="004368C0" w:rsidRPr="00912DB3">
        <w:rPr>
          <w:color w:val="000000" w:themeColor="text1"/>
        </w:rPr>
        <w:t xml:space="preserve">Contracts with non-governmental funding entities must be consistent with </w:t>
      </w:r>
      <w:r w:rsidR="00154CC6" w:rsidRPr="00912DB3">
        <w:rPr>
          <w:color w:val="000000" w:themeColor="text1"/>
        </w:rPr>
        <w:t>G.S. 147, art. 6E</w:t>
      </w:r>
      <w:r w:rsidR="00CC03E5" w:rsidRPr="00912DB3">
        <w:rPr>
          <w:color w:val="000000" w:themeColor="text1"/>
        </w:rPr>
        <w:t xml:space="preserve"> and art. 6G</w:t>
      </w:r>
      <w:r w:rsidR="004368C0" w:rsidRPr="00912DB3">
        <w:rPr>
          <w:color w:val="000000" w:themeColor="text1"/>
        </w:rPr>
        <w:t>.</w:t>
      </w:r>
    </w:p>
    <w:p w14:paraId="39738A9C" w14:textId="77777777" w:rsidR="004368C0" w:rsidRPr="00912DB3" w:rsidRDefault="004368C0" w:rsidP="004368C0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 xml:space="preserve"> </w:t>
      </w:r>
    </w:p>
    <w:p w14:paraId="209951A6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 xml:space="preserve">When required by the funding agency, the proposals will be presented for board approval.  The board </w:t>
      </w:r>
      <w:r w:rsidR="00E91CE1" w:rsidRPr="00912DB3">
        <w:rPr>
          <w:color w:val="000000" w:themeColor="text1"/>
        </w:rPr>
        <w:t>must</w:t>
      </w:r>
      <w:r w:rsidR="00CD5627" w:rsidRPr="00912DB3">
        <w:rPr>
          <w:color w:val="000000" w:themeColor="text1"/>
        </w:rPr>
        <w:t xml:space="preserve"> </w:t>
      </w:r>
      <w:r w:rsidRPr="00912DB3">
        <w:rPr>
          <w:color w:val="000000" w:themeColor="text1"/>
        </w:rPr>
        <w:t>be notified of all funds awarded.</w:t>
      </w:r>
      <w:r w:rsidR="004368C0" w:rsidRPr="00912DB3">
        <w:rPr>
          <w:color w:val="000000" w:themeColor="text1"/>
        </w:rPr>
        <w:t xml:space="preserve">  </w:t>
      </w:r>
    </w:p>
    <w:p w14:paraId="34DE1204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</w:p>
    <w:p w14:paraId="4665EC95" w14:textId="61690FE3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 xml:space="preserve">The </w:t>
      </w:r>
      <w:r w:rsidR="002C69B5" w:rsidRPr="00912DB3">
        <w:rPr>
          <w:color w:val="000000" w:themeColor="text1"/>
        </w:rPr>
        <w:t>executive director</w:t>
      </w:r>
      <w:r w:rsidR="0062721C" w:rsidRPr="00912DB3">
        <w:rPr>
          <w:color w:val="000000" w:themeColor="text1"/>
        </w:rPr>
        <w:t xml:space="preserve"> </w:t>
      </w:r>
      <w:r w:rsidR="00CD5627" w:rsidRPr="00912DB3">
        <w:rPr>
          <w:color w:val="000000" w:themeColor="text1"/>
        </w:rPr>
        <w:t xml:space="preserve">shall </w:t>
      </w:r>
      <w:r w:rsidRPr="00912DB3">
        <w:rPr>
          <w:color w:val="000000" w:themeColor="text1"/>
        </w:rPr>
        <w:t>establish any procedures necessary to develop an efficient and effective process for seeking special funding.</w:t>
      </w:r>
    </w:p>
    <w:p w14:paraId="4F31F4C2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</w:p>
    <w:p w14:paraId="4A878E24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 xml:space="preserve">Legal References:  G.S. </w:t>
      </w:r>
      <w:r w:rsidR="00154CC6" w:rsidRPr="00912DB3">
        <w:rPr>
          <w:color w:val="000000" w:themeColor="text1"/>
        </w:rPr>
        <w:t>147 art. 6E</w:t>
      </w:r>
      <w:r w:rsidR="00CC03E5" w:rsidRPr="00912DB3">
        <w:rPr>
          <w:color w:val="000000" w:themeColor="text1"/>
        </w:rPr>
        <w:t>, art. 6G</w:t>
      </w:r>
    </w:p>
    <w:p w14:paraId="4D64E8D9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</w:p>
    <w:p w14:paraId="3345AAA5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 xml:space="preserve">Cross References:  </w:t>
      </w:r>
      <w:r w:rsidR="00281777" w:rsidRPr="00912DB3">
        <w:rPr>
          <w:color w:val="000000" w:themeColor="text1"/>
        </w:rPr>
        <w:t>Federal Grant Administration (policy 8305)</w:t>
      </w:r>
    </w:p>
    <w:p w14:paraId="12B03F4E" w14:textId="77777777" w:rsidR="00C46B5E" w:rsidRPr="00912DB3" w:rsidRDefault="00C46B5E" w:rsidP="00C46B5E">
      <w:pPr>
        <w:tabs>
          <w:tab w:val="left" w:pos="-1440"/>
        </w:tabs>
        <w:jc w:val="both"/>
        <w:rPr>
          <w:color w:val="000000" w:themeColor="text1"/>
        </w:rPr>
      </w:pPr>
    </w:p>
    <w:p w14:paraId="0E795221" w14:textId="61469A49" w:rsidR="00C46B5E" w:rsidRPr="00912DB3" w:rsidRDefault="007F1F1A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>Adopt</w:t>
      </w:r>
      <w:r w:rsidR="00D72A21" w:rsidRPr="00912DB3">
        <w:rPr>
          <w:color w:val="000000" w:themeColor="text1"/>
        </w:rPr>
        <w:t>ed</w:t>
      </w:r>
      <w:r w:rsidR="00C46B5E" w:rsidRPr="00912DB3">
        <w:rPr>
          <w:color w:val="000000" w:themeColor="text1"/>
        </w:rPr>
        <w:t>:</w:t>
      </w:r>
      <w:r w:rsidR="002311DA" w:rsidRPr="00912DB3">
        <w:rPr>
          <w:color w:val="000000" w:themeColor="text1"/>
        </w:rPr>
        <w:t xml:space="preserve"> May 27, 2020</w:t>
      </w:r>
    </w:p>
    <w:p w14:paraId="6C99CA85" w14:textId="4C44799E" w:rsidR="002C69B5" w:rsidRPr="00912DB3" w:rsidRDefault="002C69B5" w:rsidP="00C46B5E">
      <w:pPr>
        <w:tabs>
          <w:tab w:val="left" w:pos="-1440"/>
        </w:tabs>
        <w:jc w:val="both"/>
        <w:rPr>
          <w:color w:val="000000" w:themeColor="text1"/>
        </w:rPr>
      </w:pPr>
      <w:r w:rsidRPr="00912DB3">
        <w:rPr>
          <w:color w:val="000000" w:themeColor="text1"/>
        </w:rPr>
        <w:t>Revised:</w:t>
      </w:r>
      <w:r w:rsidR="00912DB3" w:rsidRPr="00912DB3">
        <w:rPr>
          <w:color w:val="000000" w:themeColor="text1"/>
        </w:rPr>
        <w:t xml:space="preserve"> July 20, 2022</w:t>
      </w:r>
    </w:p>
    <w:p w14:paraId="5F5077B4" w14:textId="77777777" w:rsidR="00D72A21" w:rsidRDefault="00D72A21" w:rsidP="00C46B5E">
      <w:pPr>
        <w:tabs>
          <w:tab w:val="left" w:pos="-1440"/>
        </w:tabs>
        <w:jc w:val="both"/>
      </w:pPr>
    </w:p>
    <w:p w14:paraId="2D0D2BAE" w14:textId="77777777" w:rsidR="00CC7931" w:rsidRPr="00FF13C3" w:rsidRDefault="00CC7931" w:rsidP="003D1329"/>
    <w:sectPr w:rsidR="00CC7931" w:rsidRPr="00FF13C3" w:rsidSect="002311D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733D" w14:textId="77777777" w:rsidR="009B023E" w:rsidRDefault="009B023E">
      <w:r>
        <w:separator/>
      </w:r>
    </w:p>
  </w:endnote>
  <w:endnote w:type="continuationSeparator" w:id="0">
    <w:p w14:paraId="102E4E0F" w14:textId="77777777" w:rsidR="009B023E" w:rsidRDefault="009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2B3B" w14:textId="77777777" w:rsidR="0062721C" w:rsidRDefault="00627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6FB6" w14:textId="77777777" w:rsidR="004D6AAE" w:rsidRDefault="004D6AAE" w:rsidP="004D6AAE">
    <w:pPr>
      <w:spacing w:line="240" w:lineRule="exact"/>
      <w:ind w:right="-360"/>
    </w:pPr>
  </w:p>
  <w:p w14:paraId="186F7AD4" w14:textId="77777777" w:rsidR="004D6AAE" w:rsidRDefault="007B1DE0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E732B" wp14:editId="36851C6D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2BA9E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07C7C51A" w14:textId="77777777" w:rsidR="004D6AAE" w:rsidRPr="007B1DE0" w:rsidRDefault="0062721C" w:rsidP="007B1DE0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CA2C13">
      <w:rPr>
        <w:b/>
        <w:szCs w:val="24"/>
      </w:rPr>
      <w:t>NE REGIONAL SCHOOL BOARD OF DIRECTORS POLICY MANUAL</w:t>
    </w:r>
    <w:r w:rsidR="007B1DE0">
      <w:rPr>
        <w:b/>
        <w:szCs w:val="24"/>
      </w:rPr>
      <w:tab/>
    </w:r>
    <w:r w:rsidR="007B1DE0" w:rsidRPr="007B1DE0">
      <w:rPr>
        <w:szCs w:val="24"/>
      </w:rPr>
      <w:t xml:space="preserve">Page </w:t>
    </w:r>
    <w:r w:rsidR="007B1DE0" w:rsidRPr="007B1DE0">
      <w:rPr>
        <w:bCs/>
        <w:szCs w:val="24"/>
      </w:rPr>
      <w:fldChar w:fldCharType="begin"/>
    </w:r>
    <w:r w:rsidR="007B1DE0" w:rsidRPr="007B1DE0">
      <w:rPr>
        <w:bCs/>
        <w:szCs w:val="24"/>
      </w:rPr>
      <w:instrText xml:space="preserve"> PAGE  \* Arabic  \* MERGEFORMAT </w:instrText>
    </w:r>
    <w:r w:rsidR="007B1DE0" w:rsidRPr="007B1DE0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7B1DE0" w:rsidRPr="007B1DE0">
      <w:rPr>
        <w:bCs/>
        <w:szCs w:val="24"/>
      </w:rPr>
      <w:fldChar w:fldCharType="end"/>
    </w:r>
    <w:r w:rsidR="007B1DE0" w:rsidRPr="007B1DE0">
      <w:rPr>
        <w:szCs w:val="24"/>
      </w:rPr>
      <w:t xml:space="preserve"> of </w:t>
    </w:r>
    <w:r w:rsidR="007B1DE0" w:rsidRPr="007B1DE0">
      <w:rPr>
        <w:bCs/>
        <w:szCs w:val="24"/>
      </w:rPr>
      <w:fldChar w:fldCharType="begin"/>
    </w:r>
    <w:r w:rsidR="007B1DE0" w:rsidRPr="007B1DE0">
      <w:rPr>
        <w:bCs/>
        <w:szCs w:val="24"/>
      </w:rPr>
      <w:instrText xml:space="preserve"> NUMPAGES  \* Arabic  \* MERGEFORMAT </w:instrText>
    </w:r>
    <w:r w:rsidR="007B1DE0" w:rsidRPr="007B1DE0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7B1DE0" w:rsidRPr="007B1DE0"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BEFF" w14:textId="77777777" w:rsidR="0062721C" w:rsidRDefault="0062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84E0" w14:textId="77777777" w:rsidR="009B023E" w:rsidRDefault="009B023E">
      <w:r>
        <w:separator/>
      </w:r>
    </w:p>
  </w:footnote>
  <w:footnote w:type="continuationSeparator" w:id="0">
    <w:p w14:paraId="12523265" w14:textId="77777777" w:rsidR="009B023E" w:rsidRDefault="009B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F478" w14:textId="77777777" w:rsidR="0062721C" w:rsidRDefault="00627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43B1" w14:textId="77777777" w:rsidR="0062721C" w:rsidRDefault="00627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C7AC" w14:textId="77777777" w:rsidR="0062721C" w:rsidRDefault="00627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784053">
    <w:abstractNumId w:val="2"/>
  </w:num>
  <w:num w:numId="2" w16cid:durableId="943154945">
    <w:abstractNumId w:val="3"/>
  </w:num>
  <w:num w:numId="3" w16cid:durableId="1181162087">
    <w:abstractNumId w:val="11"/>
  </w:num>
  <w:num w:numId="4" w16cid:durableId="1597667620">
    <w:abstractNumId w:val="9"/>
  </w:num>
  <w:num w:numId="5" w16cid:durableId="1700741130">
    <w:abstractNumId w:val="8"/>
  </w:num>
  <w:num w:numId="6" w16cid:durableId="1730883120">
    <w:abstractNumId w:val="6"/>
  </w:num>
  <w:num w:numId="7" w16cid:durableId="845899584">
    <w:abstractNumId w:val="5"/>
  </w:num>
  <w:num w:numId="8" w16cid:durableId="1620146057">
    <w:abstractNumId w:val="1"/>
  </w:num>
  <w:num w:numId="9" w16cid:durableId="898633560">
    <w:abstractNumId w:val="4"/>
  </w:num>
  <w:num w:numId="10" w16cid:durableId="1160341174">
    <w:abstractNumId w:val="0"/>
  </w:num>
  <w:num w:numId="11" w16cid:durableId="894969424">
    <w:abstractNumId w:val="10"/>
  </w:num>
  <w:num w:numId="12" w16cid:durableId="663583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738AC"/>
    <w:rsid w:val="00076675"/>
    <w:rsid w:val="000C4F5F"/>
    <w:rsid w:val="00112435"/>
    <w:rsid w:val="00126AC0"/>
    <w:rsid w:val="00154CC6"/>
    <w:rsid w:val="001D3311"/>
    <w:rsid w:val="001F0D84"/>
    <w:rsid w:val="001F4A2C"/>
    <w:rsid w:val="0020244C"/>
    <w:rsid w:val="002311DA"/>
    <w:rsid w:val="002567AB"/>
    <w:rsid w:val="00277D80"/>
    <w:rsid w:val="00281777"/>
    <w:rsid w:val="002A7713"/>
    <w:rsid w:val="002B2385"/>
    <w:rsid w:val="002B51D8"/>
    <w:rsid w:val="002C5D1E"/>
    <w:rsid w:val="002C69B5"/>
    <w:rsid w:val="0030363C"/>
    <w:rsid w:val="003C698E"/>
    <w:rsid w:val="003D1329"/>
    <w:rsid w:val="004031E5"/>
    <w:rsid w:val="004113C4"/>
    <w:rsid w:val="004368C0"/>
    <w:rsid w:val="004D6AAE"/>
    <w:rsid w:val="004D7FB3"/>
    <w:rsid w:val="005C4DAD"/>
    <w:rsid w:val="005C707F"/>
    <w:rsid w:val="006159E8"/>
    <w:rsid w:val="0062721C"/>
    <w:rsid w:val="00633299"/>
    <w:rsid w:val="0063529F"/>
    <w:rsid w:val="006F3915"/>
    <w:rsid w:val="00716033"/>
    <w:rsid w:val="00745157"/>
    <w:rsid w:val="00776540"/>
    <w:rsid w:val="007B1DE0"/>
    <w:rsid w:val="007F1F1A"/>
    <w:rsid w:val="00854CD7"/>
    <w:rsid w:val="008561FC"/>
    <w:rsid w:val="00897C26"/>
    <w:rsid w:val="008B4E9B"/>
    <w:rsid w:val="00912DB3"/>
    <w:rsid w:val="0091615C"/>
    <w:rsid w:val="009B023E"/>
    <w:rsid w:val="00A16E32"/>
    <w:rsid w:val="00A427FE"/>
    <w:rsid w:val="00A50D6F"/>
    <w:rsid w:val="00A863EC"/>
    <w:rsid w:val="00AF28DF"/>
    <w:rsid w:val="00AF68FA"/>
    <w:rsid w:val="00BA069D"/>
    <w:rsid w:val="00C10672"/>
    <w:rsid w:val="00C46B5E"/>
    <w:rsid w:val="00CB0ACF"/>
    <w:rsid w:val="00CC03E5"/>
    <w:rsid w:val="00CC7931"/>
    <w:rsid w:val="00CD34FC"/>
    <w:rsid w:val="00CD5627"/>
    <w:rsid w:val="00D72A21"/>
    <w:rsid w:val="00DB0F8E"/>
    <w:rsid w:val="00E131EB"/>
    <w:rsid w:val="00E23154"/>
    <w:rsid w:val="00E23B88"/>
    <w:rsid w:val="00E276FF"/>
    <w:rsid w:val="00E41E60"/>
    <w:rsid w:val="00E91CE1"/>
    <w:rsid w:val="00E9730E"/>
    <w:rsid w:val="00EC5071"/>
    <w:rsid w:val="00ED4D9B"/>
    <w:rsid w:val="00F22DCD"/>
    <w:rsid w:val="00F275FA"/>
    <w:rsid w:val="00F44F88"/>
    <w:rsid w:val="00F47530"/>
    <w:rsid w:val="00F75321"/>
    <w:rsid w:val="00F85BFD"/>
    <w:rsid w:val="00F8786D"/>
    <w:rsid w:val="00F87B6A"/>
    <w:rsid w:val="00F944D6"/>
    <w:rsid w:val="00FD104C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902CFB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68FA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3pt">
    <w:name w:val="Style Footnote Reference + 13 pt"/>
    <w:basedOn w:val="FootnoteReference"/>
    <w:rsid w:val="00AF68FA"/>
    <w:rPr>
      <w:rFonts w:ascii="Times New Roman" w:hAnsi="Times New Roman"/>
      <w:sz w:val="24"/>
      <w:szCs w:val="24"/>
      <w:vertAlign w:val="superscript"/>
    </w:rPr>
  </w:style>
  <w:style w:type="character" w:customStyle="1" w:styleId="FootnoteTextChar">
    <w:name w:val="Footnote Text Char"/>
    <w:link w:val="FootnoteText"/>
    <w:semiHidden/>
    <w:rsid w:val="004368C0"/>
    <w:rPr>
      <w:snapToGrid w:val="0"/>
    </w:rPr>
  </w:style>
  <w:style w:type="character" w:styleId="Hyperlink">
    <w:name w:val="Hyperlink"/>
    <w:uiPriority w:val="99"/>
    <w:unhideWhenUsed/>
    <w:rsid w:val="004368C0"/>
    <w:rPr>
      <w:color w:val="0000FF"/>
      <w:u w:val="single"/>
    </w:rPr>
  </w:style>
  <w:style w:type="character" w:styleId="FollowedHyperlink">
    <w:name w:val="FollowedHyperlink"/>
    <w:basedOn w:val="DefaultParagraphFont"/>
    <w:rsid w:val="00F944D6"/>
    <w:rPr>
      <w:color w:val="800080" w:themeColor="followedHyperlink"/>
      <w:u w:val="single"/>
    </w:rPr>
  </w:style>
  <w:style w:type="character" w:styleId="LineNumber">
    <w:name w:val="line number"/>
    <w:basedOn w:val="DefaultParagraphFont"/>
    <w:semiHidden/>
    <w:unhideWhenUsed/>
    <w:rsid w:val="005C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6</cp:revision>
  <cp:lastPrinted>2017-09-11T15:46:00Z</cp:lastPrinted>
  <dcterms:created xsi:type="dcterms:W3CDTF">2020-02-19T02:45:00Z</dcterms:created>
  <dcterms:modified xsi:type="dcterms:W3CDTF">2022-07-22T01:44:00Z</dcterms:modified>
</cp:coreProperties>
</file>